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A635C6" w14:textId="782E0973" w:rsidR="009A445C" w:rsidRPr="006A3F51" w:rsidRDefault="009A445C" w:rsidP="00524F65">
      <w:pPr>
        <w:pStyle w:val="MDPI11articletype"/>
        <w:tabs>
          <w:tab w:val="left" w:pos="2552"/>
        </w:tabs>
        <w:rPr>
          <w:rFonts w:ascii="Times New Roman" w:hAnsi="Times New Roman"/>
        </w:rPr>
      </w:pPr>
      <w:r w:rsidRPr="006A3F51">
        <w:rPr>
          <w:rFonts w:ascii="Times New Roman" w:hAnsi="Times New Roman"/>
        </w:rPr>
        <w:t>Review</w:t>
      </w:r>
    </w:p>
    <w:p w14:paraId="46D71881" w14:textId="77777777" w:rsidR="008E4AE3" w:rsidRPr="006A3F51" w:rsidRDefault="008E4AE3" w:rsidP="00524F65">
      <w:pPr>
        <w:pStyle w:val="MDPI13authornames"/>
        <w:tabs>
          <w:tab w:val="left" w:pos="2552"/>
        </w:tabs>
        <w:rPr>
          <w:rFonts w:ascii="Times New Roman" w:hAnsi="Times New Roman"/>
          <w:b w:val="0"/>
          <w:sz w:val="24"/>
          <w:szCs w:val="32"/>
        </w:rPr>
      </w:pPr>
      <w:r w:rsidRPr="006A3F51">
        <w:rPr>
          <w:rFonts w:ascii="Times New Roman" w:hAnsi="Times New Roman"/>
          <w:b w:val="0"/>
          <w:sz w:val="24"/>
          <w:szCs w:val="32"/>
        </w:rPr>
        <w:t>Comparative Assessment of Hybrid Wave Wind Energy Platforms: Classification, Performance, and Optimization Implications</w:t>
      </w:r>
    </w:p>
    <w:p w14:paraId="45F635A6" w14:textId="66986C85" w:rsidR="000A22B7" w:rsidRPr="00DF4872" w:rsidRDefault="000A22B7" w:rsidP="00DF4872">
      <w:pPr>
        <w:pStyle w:val="MDPI13authornames"/>
        <w:tabs>
          <w:tab w:val="left" w:pos="2552"/>
        </w:tabs>
        <w:rPr>
          <w:rFonts w:asciiTheme="majorBidi" w:hAnsiTheme="majorBidi" w:cstheme="majorBidi"/>
          <w:bCs/>
          <w:color w:val="000000" w:themeColor="text1"/>
          <w:vertAlign w:val="superscript"/>
        </w:rPr>
      </w:pPr>
      <w:bookmarkStart w:id="0" w:name="OLE_LINK2"/>
      <w:r>
        <w:rPr>
          <w:rFonts w:asciiTheme="majorBidi" w:hAnsiTheme="majorBidi" w:cstheme="majorBidi"/>
          <w:bCs/>
          <w:color w:val="000000" w:themeColor="text1"/>
        </w:rPr>
        <w:t xml:space="preserve">Amani Zaylaee </w:t>
      </w:r>
      <w:r>
        <w:rPr>
          <w:rFonts w:asciiTheme="majorBidi" w:hAnsiTheme="majorBidi" w:cstheme="majorBidi"/>
          <w:bCs/>
          <w:color w:val="000000" w:themeColor="text1"/>
          <w:vertAlign w:val="superscript"/>
        </w:rPr>
        <w:t>1</w:t>
      </w:r>
      <w:r>
        <w:rPr>
          <w:rFonts w:asciiTheme="majorBidi" w:hAnsiTheme="majorBidi" w:cstheme="majorBidi"/>
          <w:bCs/>
          <w:color w:val="000000" w:themeColor="text1"/>
        </w:rPr>
        <w:t xml:space="preserve">, </w:t>
      </w:r>
      <w:bookmarkStart w:id="1" w:name="OLE_LINK1"/>
      <w:r>
        <w:rPr>
          <w:rFonts w:asciiTheme="majorBidi" w:hAnsiTheme="majorBidi" w:cstheme="majorBidi"/>
          <w:bCs/>
          <w:color w:val="000000" w:themeColor="text1"/>
        </w:rPr>
        <w:t xml:space="preserve">Constantine </w:t>
      </w:r>
      <w:proofErr w:type="spellStart"/>
      <w:r>
        <w:rPr>
          <w:rFonts w:asciiTheme="majorBidi" w:hAnsiTheme="majorBidi" w:cstheme="majorBidi"/>
          <w:bCs/>
          <w:color w:val="000000" w:themeColor="text1"/>
        </w:rPr>
        <w:t>Michailides</w:t>
      </w:r>
      <w:proofErr w:type="spellEnd"/>
      <w:r>
        <w:rPr>
          <w:rFonts w:asciiTheme="majorBidi" w:hAnsiTheme="majorBidi" w:cstheme="majorBidi"/>
          <w:bCs/>
          <w:color w:val="000000" w:themeColor="text1"/>
          <w:vertAlign w:val="superscript"/>
        </w:rPr>
        <w:t xml:space="preserve"> </w:t>
      </w:r>
      <w:r w:rsidR="00A74883">
        <w:rPr>
          <w:rFonts w:asciiTheme="majorBidi" w:hAnsiTheme="majorBidi" w:cstheme="majorBidi"/>
          <w:bCs/>
          <w:color w:val="000000" w:themeColor="text1"/>
          <w:vertAlign w:val="superscript"/>
        </w:rPr>
        <w:t>2</w:t>
      </w:r>
      <w:r w:rsidR="009E5DC1">
        <w:rPr>
          <w:rFonts w:asciiTheme="majorBidi" w:hAnsiTheme="majorBidi" w:cstheme="majorBidi"/>
          <w:bCs/>
          <w:color w:val="000000" w:themeColor="text1"/>
          <w:vertAlign w:val="superscript"/>
        </w:rPr>
        <w:t>*</w:t>
      </w:r>
      <w:r>
        <w:rPr>
          <w:rFonts w:asciiTheme="majorBidi" w:hAnsiTheme="majorBidi" w:cstheme="majorBidi"/>
          <w:bCs/>
        </w:rPr>
        <w:t>, Ziwei Wang</w:t>
      </w:r>
      <w:r w:rsidR="00D774A1">
        <w:rPr>
          <w:rFonts w:asciiTheme="majorBidi" w:hAnsiTheme="majorBidi" w:cstheme="majorBidi"/>
          <w:bCs/>
          <w:color w:val="000000" w:themeColor="text1"/>
          <w:vertAlign w:val="superscript"/>
        </w:rPr>
        <w:t>1</w:t>
      </w:r>
      <w:r>
        <w:rPr>
          <w:rFonts w:asciiTheme="majorBidi" w:hAnsiTheme="majorBidi" w:cstheme="majorBidi"/>
          <w:bCs/>
        </w:rPr>
        <w:t>,</w:t>
      </w:r>
      <w:r w:rsidR="00DF4872" w:rsidRPr="00DF4872">
        <w:rPr>
          <w:rFonts w:asciiTheme="majorBidi" w:hAnsiTheme="majorBidi" w:cstheme="majorBidi"/>
          <w:bCs/>
        </w:rPr>
        <w:t xml:space="preserve"> </w:t>
      </w:r>
      <w:r w:rsidR="00DF4872">
        <w:rPr>
          <w:rFonts w:asciiTheme="majorBidi" w:hAnsiTheme="majorBidi" w:cstheme="majorBidi"/>
          <w:bCs/>
        </w:rPr>
        <w:t>George Aggidis</w:t>
      </w:r>
      <w:r w:rsidR="00D774A1">
        <w:rPr>
          <w:rFonts w:asciiTheme="majorBidi" w:hAnsiTheme="majorBidi" w:cstheme="majorBidi"/>
          <w:bCs/>
          <w:color w:val="000000" w:themeColor="text1"/>
          <w:vertAlign w:val="superscript"/>
        </w:rPr>
        <w:t>1</w:t>
      </w:r>
      <w:r w:rsidR="008226CB">
        <w:rPr>
          <w:rFonts w:asciiTheme="majorBidi" w:hAnsiTheme="majorBidi" w:cstheme="majorBidi"/>
          <w:bCs/>
        </w:rPr>
        <w:t>,</w:t>
      </w:r>
      <w:r w:rsidR="00DF4872">
        <w:rPr>
          <w:rFonts w:asciiTheme="majorBidi" w:hAnsiTheme="majorBidi" w:cstheme="majorBidi"/>
          <w:bCs/>
        </w:rPr>
        <w:t xml:space="preserve"> </w:t>
      </w:r>
      <w:proofErr w:type="spellStart"/>
      <w:r>
        <w:rPr>
          <w:rFonts w:asciiTheme="majorBidi" w:hAnsiTheme="majorBidi" w:cstheme="majorBidi"/>
          <w:bCs/>
        </w:rPr>
        <w:t>Xiandong</w:t>
      </w:r>
      <w:proofErr w:type="spellEnd"/>
      <w:r>
        <w:rPr>
          <w:rFonts w:asciiTheme="majorBidi" w:hAnsiTheme="majorBidi" w:cstheme="majorBidi"/>
          <w:bCs/>
        </w:rPr>
        <w:t xml:space="preserve"> Ma</w:t>
      </w:r>
      <w:r w:rsidR="00D774A1">
        <w:rPr>
          <w:rFonts w:asciiTheme="majorBidi" w:hAnsiTheme="majorBidi" w:cstheme="majorBidi"/>
          <w:bCs/>
          <w:color w:val="000000" w:themeColor="text1"/>
          <w:vertAlign w:val="superscript"/>
        </w:rPr>
        <w:t>1</w:t>
      </w:r>
    </w:p>
    <w:tbl>
      <w:tblPr>
        <w:tblpPr w:leftFromText="198" w:rightFromText="198" w:vertAnchor="page" w:horzAnchor="margin" w:tblpY="12541"/>
        <w:tblW w:w="2410" w:type="dxa"/>
        <w:tblLayout w:type="fixed"/>
        <w:tblCellMar>
          <w:left w:w="0" w:type="dxa"/>
          <w:right w:w="0" w:type="dxa"/>
        </w:tblCellMar>
        <w:tblLook w:val="04A0" w:firstRow="1" w:lastRow="0" w:firstColumn="1" w:lastColumn="0" w:noHBand="0" w:noVBand="1"/>
      </w:tblPr>
      <w:tblGrid>
        <w:gridCol w:w="2410"/>
      </w:tblGrid>
      <w:tr w:rsidR="00834E56" w:rsidRPr="006A3F51" w14:paraId="7C414561" w14:textId="77777777" w:rsidTr="000E60BC">
        <w:tc>
          <w:tcPr>
            <w:tcW w:w="2410" w:type="dxa"/>
          </w:tcPr>
          <w:p w14:paraId="7627EE41" w14:textId="77777777" w:rsidR="00834E56" w:rsidRPr="006A3F51" w:rsidRDefault="00834E56" w:rsidP="00524F65">
            <w:pPr>
              <w:pStyle w:val="MDPI15academiceditor"/>
              <w:tabs>
                <w:tab w:val="left" w:pos="2552"/>
              </w:tabs>
              <w:spacing w:before="0" w:after="120"/>
              <w:rPr>
                <w:rFonts w:ascii="Times New Roman" w:hAnsi="Times New Roman"/>
              </w:rPr>
            </w:pPr>
            <w:r w:rsidRPr="006A3F51">
              <w:rPr>
                <w:rFonts w:ascii="Times New Roman" w:hAnsi="Times New Roman"/>
              </w:rPr>
              <w:t xml:space="preserve">Academic Editor: </w:t>
            </w:r>
            <w:proofErr w:type="spellStart"/>
            <w:r w:rsidRPr="006A3F51">
              <w:rPr>
                <w:rFonts w:ascii="Times New Roman" w:hAnsi="Times New Roman"/>
              </w:rPr>
              <w:t>Firstname</w:t>
            </w:r>
            <w:proofErr w:type="spellEnd"/>
            <w:r w:rsidRPr="006A3F51">
              <w:rPr>
                <w:rFonts w:ascii="Times New Roman" w:hAnsi="Times New Roman"/>
              </w:rPr>
              <w:t xml:space="preserve"> Lastname</w:t>
            </w:r>
          </w:p>
          <w:p w14:paraId="74EC3529" w14:textId="77777777" w:rsidR="00834E56" w:rsidRPr="006A3F51" w:rsidRDefault="00834E56" w:rsidP="00524F65">
            <w:pPr>
              <w:pStyle w:val="MDPI14history"/>
              <w:tabs>
                <w:tab w:val="left" w:pos="2552"/>
              </w:tabs>
              <w:spacing w:before="120"/>
              <w:rPr>
                <w:rFonts w:ascii="Times New Roman" w:hAnsi="Times New Roman"/>
              </w:rPr>
            </w:pPr>
            <w:r w:rsidRPr="006A3F51">
              <w:rPr>
                <w:rFonts w:ascii="Times New Roman" w:hAnsi="Times New Roman"/>
              </w:rPr>
              <w:t>Received: date</w:t>
            </w:r>
          </w:p>
          <w:p w14:paraId="24C06859" w14:textId="77777777" w:rsidR="00834E56" w:rsidRPr="006A3F51" w:rsidRDefault="00834E56" w:rsidP="00524F65">
            <w:pPr>
              <w:pStyle w:val="MDPI14history"/>
              <w:tabs>
                <w:tab w:val="left" w:pos="2552"/>
              </w:tabs>
              <w:rPr>
                <w:rFonts w:ascii="Times New Roman" w:hAnsi="Times New Roman"/>
              </w:rPr>
            </w:pPr>
            <w:r w:rsidRPr="006A3F51">
              <w:rPr>
                <w:rFonts w:ascii="Times New Roman" w:hAnsi="Times New Roman"/>
              </w:rPr>
              <w:t>Revised: date</w:t>
            </w:r>
          </w:p>
          <w:p w14:paraId="046FDAF4" w14:textId="77777777" w:rsidR="00834E56" w:rsidRPr="006A3F51" w:rsidRDefault="00834E56" w:rsidP="00524F65">
            <w:pPr>
              <w:pStyle w:val="MDPI14history"/>
              <w:tabs>
                <w:tab w:val="left" w:pos="2552"/>
              </w:tabs>
              <w:rPr>
                <w:rFonts w:ascii="Times New Roman" w:hAnsi="Times New Roman"/>
              </w:rPr>
            </w:pPr>
            <w:r w:rsidRPr="006A3F51">
              <w:rPr>
                <w:rFonts w:ascii="Times New Roman" w:hAnsi="Times New Roman"/>
              </w:rPr>
              <w:t>Accepted: date</w:t>
            </w:r>
          </w:p>
          <w:p w14:paraId="522F7418" w14:textId="77777777" w:rsidR="00834E56" w:rsidRPr="006A3F51" w:rsidRDefault="00834E56" w:rsidP="00524F65">
            <w:pPr>
              <w:pStyle w:val="MDPI14history"/>
              <w:tabs>
                <w:tab w:val="left" w:pos="2552"/>
              </w:tabs>
              <w:spacing w:after="120"/>
              <w:rPr>
                <w:rFonts w:ascii="Times New Roman" w:hAnsi="Times New Roman"/>
              </w:rPr>
            </w:pPr>
            <w:r w:rsidRPr="006A3F51">
              <w:rPr>
                <w:rFonts w:ascii="Times New Roman" w:hAnsi="Times New Roman"/>
              </w:rPr>
              <w:t>Published: date</w:t>
            </w:r>
          </w:p>
          <w:p w14:paraId="01859211" w14:textId="77777777" w:rsidR="00834E56" w:rsidRPr="006A3F51" w:rsidRDefault="00834E56" w:rsidP="00524F65">
            <w:pPr>
              <w:pStyle w:val="MDPI72copyright"/>
              <w:tabs>
                <w:tab w:val="left" w:pos="2552"/>
              </w:tabs>
              <w:rPr>
                <w:rFonts w:ascii="Times New Roman" w:eastAsia="DengXian" w:hAnsi="Times New Roman"/>
                <w:noProof w:val="0"/>
                <w:lang w:val="en-US" w:bidi="en-US"/>
              </w:rPr>
            </w:pPr>
            <w:r w:rsidRPr="006A3F51">
              <w:rPr>
                <w:rFonts w:ascii="Times New Roman" w:eastAsia="DengXian" w:hAnsi="Times New Roman"/>
                <w:noProof w:val="0"/>
                <w:lang w:val="en-US" w:bidi="en-US"/>
              </w:rPr>
              <w:t xml:space="preserve">Copyright: © 2026 by the authors. Submitted for possible open access publication under the terms and conditions of the </w:t>
            </w:r>
            <w:hyperlink r:id="rId8" w:history="1">
              <w:r w:rsidRPr="006A3F51">
                <w:rPr>
                  <w:rStyle w:val="Hyperlink"/>
                  <w:rFonts w:ascii="Times New Roman" w:eastAsia="DengXian" w:hAnsi="Times New Roman"/>
                  <w:noProof w:val="0"/>
                  <w:u w:val="none"/>
                  <w:lang w:val="en-US" w:bidi="en-US"/>
                </w:rPr>
                <w:t>Creative Commons Attribution (CC BY) license</w:t>
              </w:r>
            </w:hyperlink>
            <w:r w:rsidRPr="006A3F51">
              <w:rPr>
                <w:rFonts w:ascii="Times New Roman" w:eastAsia="DengXian" w:hAnsi="Times New Roman"/>
                <w:noProof w:val="0"/>
                <w:lang w:val="en-US" w:bidi="en-US"/>
              </w:rPr>
              <w:t>.</w:t>
            </w:r>
          </w:p>
        </w:tc>
      </w:tr>
    </w:tbl>
    <w:p w14:paraId="582FDFF1" w14:textId="1439F549" w:rsidR="00D774A1" w:rsidRPr="00D774A1" w:rsidRDefault="00DF4872" w:rsidP="00D774A1">
      <w:pPr>
        <w:pStyle w:val="MDPI16affiliation"/>
        <w:numPr>
          <w:ilvl w:val="0"/>
          <w:numId w:val="27"/>
        </w:numPr>
        <w:tabs>
          <w:tab w:val="left" w:pos="2552"/>
        </w:tabs>
        <w:rPr>
          <w:rFonts w:asciiTheme="majorBidi" w:hAnsiTheme="majorBidi" w:cstheme="majorBidi"/>
          <w:snapToGrid w:val="0"/>
          <w:color w:val="004F88"/>
          <w:szCs w:val="16"/>
        </w:rPr>
      </w:pPr>
      <w:r>
        <w:rPr>
          <w:rFonts w:ascii="Times New Roman" w:hAnsi="Times New Roman"/>
          <w:snapToGrid w:val="0"/>
          <w:szCs w:val="16"/>
          <w14:ligatures w14:val="standardContextual"/>
        </w:rPr>
        <w:t xml:space="preserve">School of Engineering, Lancaster University, Lancaster LA1 4YW, UK; </w:t>
      </w:r>
      <w:hyperlink r:id="rId9" w:history="1">
        <w:r w:rsidRPr="00A74883">
          <w:rPr>
            <w:rStyle w:val="Hyperlink"/>
            <w:rFonts w:asciiTheme="majorBidi" w:hAnsiTheme="majorBidi" w:cstheme="majorBidi"/>
            <w:snapToGrid w:val="0"/>
            <w:szCs w:val="16"/>
            <w14:ligatures w14:val="standardContextual"/>
          </w:rPr>
          <w:t>a.zaylaee@lancaster.ac.uk</w:t>
        </w:r>
      </w:hyperlink>
      <w:r w:rsidR="00D774A1">
        <w:t xml:space="preserve"> </w:t>
      </w:r>
      <w:hyperlink r:id="rId10" w:history="1">
        <w:r w:rsidR="00D774A1" w:rsidRPr="00AB7BDB">
          <w:rPr>
            <w:rStyle w:val="Hyperlink"/>
            <w:rFonts w:asciiTheme="majorBidi" w:hAnsiTheme="majorBidi" w:cstheme="majorBidi"/>
            <w:snapToGrid w:val="0"/>
            <w:szCs w:val="16"/>
          </w:rPr>
          <w:t>; g.aggidis@lancaster.ac.uk</w:t>
        </w:r>
      </w:hyperlink>
      <w:r w:rsidR="00D774A1" w:rsidRPr="00AB7BDB">
        <w:rPr>
          <w:rFonts w:asciiTheme="majorBidi" w:hAnsiTheme="majorBidi" w:cstheme="majorBidi"/>
          <w:snapToGrid w:val="0"/>
          <w:szCs w:val="16"/>
        </w:rPr>
        <w:t xml:space="preserve"> </w:t>
      </w:r>
      <w:hyperlink r:id="rId11" w:history="1"/>
      <w:r w:rsidR="00D774A1">
        <w:rPr>
          <w:rFonts w:asciiTheme="majorBidi" w:hAnsiTheme="majorBidi" w:cstheme="majorBidi"/>
          <w:snapToGrid w:val="0"/>
          <w:color w:val="004F88"/>
          <w:szCs w:val="16"/>
        </w:rPr>
        <w:t xml:space="preserve"> </w:t>
      </w:r>
      <w:hyperlink r:id="rId12" w:history="1">
        <w:r w:rsidR="00EE3B02" w:rsidRPr="000F37E2">
          <w:rPr>
            <w:rStyle w:val="Hyperlink"/>
          </w:rPr>
          <w:t>z.wang82@lancaster.ac.uk</w:t>
        </w:r>
      </w:hyperlink>
      <w:r w:rsidR="00D774A1" w:rsidRPr="00D774A1">
        <w:rPr>
          <w:rFonts w:asciiTheme="majorBidi" w:hAnsiTheme="majorBidi" w:cstheme="majorBidi"/>
          <w:snapToGrid w:val="0"/>
          <w:color w:val="004F88"/>
          <w:szCs w:val="16"/>
        </w:rPr>
        <w:t xml:space="preserve"> </w:t>
      </w:r>
      <w:hyperlink r:id="rId13" w:history="1">
        <w:r w:rsidR="00D774A1">
          <w:rPr>
            <w:rStyle w:val="Hyperlink"/>
          </w:rPr>
          <w:t>xiandong.ma@lancaster.ac.uk</w:t>
        </w:r>
      </w:hyperlink>
      <w:r w:rsidR="00D774A1">
        <w:t xml:space="preserve">. </w:t>
      </w:r>
    </w:p>
    <w:p w14:paraId="13A665E3" w14:textId="77777777" w:rsidR="00D774A1" w:rsidRDefault="00D774A1" w:rsidP="00D774A1">
      <w:pPr>
        <w:pStyle w:val="MDPI16affiliation"/>
        <w:tabs>
          <w:tab w:val="left" w:pos="2552"/>
        </w:tabs>
        <w:ind w:left="2968" w:firstLine="0"/>
        <w:rPr>
          <w:rFonts w:asciiTheme="majorBidi" w:hAnsiTheme="majorBidi" w:cstheme="majorBidi"/>
          <w:color w:val="242424"/>
          <w:szCs w:val="16"/>
          <w:shd w:val="clear" w:color="auto" w:fill="FFFFFF"/>
          <w:vertAlign w:val="superscript"/>
        </w:rPr>
      </w:pPr>
    </w:p>
    <w:p w14:paraId="1598DD4E" w14:textId="79A789C3" w:rsidR="00DF4872" w:rsidRPr="00A74883" w:rsidRDefault="00D774A1" w:rsidP="00D774A1">
      <w:pPr>
        <w:pStyle w:val="MDPI16affiliation"/>
        <w:tabs>
          <w:tab w:val="left" w:pos="2552"/>
        </w:tabs>
        <w:rPr>
          <w:rFonts w:ascii="Times New Roman" w:hAnsi="Times New Roman"/>
          <w:color w:val="2E74B5" w:themeColor="accent5" w:themeShade="BF"/>
        </w:rPr>
      </w:pPr>
      <w:r>
        <w:rPr>
          <w:rFonts w:asciiTheme="majorBidi" w:hAnsiTheme="majorBidi" w:cstheme="majorBidi"/>
          <w:color w:val="242424"/>
          <w:szCs w:val="16"/>
          <w:shd w:val="clear" w:color="auto" w:fill="FFFFFF"/>
          <w:vertAlign w:val="superscript"/>
        </w:rPr>
        <w:t xml:space="preserve">2.       </w:t>
      </w:r>
      <w:r w:rsidR="00A74883" w:rsidRPr="00A74883">
        <w:rPr>
          <w:rFonts w:asciiTheme="majorBidi" w:hAnsiTheme="majorBidi" w:cstheme="majorBidi"/>
          <w:color w:val="242424"/>
          <w:szCs w:val="16"/>
          <w:shd w:val="clear" w:color="auto" w:fill="FFFFFF"/>
        </w:rPr>
        <w:t>School of Engineering, International Hellenic University, Serres, Greece LA1</w:t>
      </w:r>
      <w:r w:rsidR="00A74883" w:rsidRPr="00A74883">
        <w:rPr>
          <w:rFonts w:asciiTheme="majorBidi" w:hAnsiTheme="majorBidi" w:cstheme="majorBidi"/>
          <w:color w:val="2E74B5" w:themeColor="accent5" w:themeShade="BF"/>
          <w:szCs w:val="16"/>
          <w:shd w:val="clear" w:color="auto" w:fill="FFFFFF"/>
        </w:rPr>
        <w:t>;</w:t>
      </w:r>
      <w:r w:rsidR="00A74883" w:rsidRPr="00A74883">
        <w:rPr>
          <w:rStyle w:val="apple-converted-space"/>
          <w:rFonts w:asciiTheme="majorBidi" w:hAnsiTheme="majorBidi" w:cstheme="majorBidi"/>
          <w:color w:val="2E74B5" w:themeColor="accent5" w:themeShade="BF"/>
          <w:szCs w:val="16"/>
          <w:shd w:val="clear" w:color="auto" w:fill="FFFFFF"/>
        </w:rPr>
        <w:t> </w:t>
      </w:r>
      <w:hyperlink r:id="rId14" w:history="1">
        <w:r w:rsidR="00E61F69">
          <w:rPr>
            <w:rStyle w:val="Hyperlink"/>
          </w:rPr>
          <w:t>cmichailides@ihu.gr</w:t>
        </w:r>
      </w:hyperlink>
    </w:p>
    <w:p w14:paraId="207B4306" w14:textId="77777777" w:rsidR="00D774A1" w:rsidRPr="00D774A1" w:rsidRDefault="00D774A1" w:rsidP="00D774A1">
      <w:pPr>
        <w:pStyle w:val="MDPI16affiliation"/>
        <w:tabs>
          <w:tab w:val="left" w:pos="2552"/>
        </w:tabs>
        <w:ind w:left="0" w:firstLine="0"/>
        <w:rPr>
          <w:rFonts w:asciiTheme="majorBidi" w:hAnsiTheme="majorBidi" w:cstheme="majorBidi"/>
          <w:snapToGrid w:val="0"/>
          <w:color w:val="004F88"/>
          <w:szCs w:val="16"/>
        </w:rPr>
      </w:pPr>
    </w:p>
    <w:p w14:paraId="35594FFF" w14:textId="4D674651" w:rsidR="00A74883" w:rsidRPr="00A74883" w:rsidRDefault="009A445C" w:rsidP="00A74883">
      <w:pPr>
        <w:pStyle w:val="MDPI16affiliation"/>
        <w:tabs>
          <w:tab w:val="left" w:pos="2552"/>
        </w:tabs>
        <w:rPr>
          <w:rFonts w:ascii="Times New Roman" w:hAnsi="Times New Roman"/>
          <w:color w:val="4472C4" w:themeColor="accent1"/>
          <w:lang w:bidi="ar-S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A3F51">
        <w:rPr>
          <w:rFonts w:ascii="Times New Roman" w:hAnsi="Times New Roman"/>
        </w:rPr>
        <w:t>*</w:t>
      </w:r>
      <w:r w:rsidRPr="006A3F51">
        <w:rPr>
          <w:rFonts w:ascii="Times New Roman" w:hAnsi="Times New Roman"/>
        </w:rPr>
        <w:tab/>
        <w:t>Correspondence</w:t>
      </w:r>
      <w:r w:rsidR="00DF4872">
        <w:rPr>
          <w:rFonts w:ascii="Times New Roman" w:hAnsi="Times New Roman"/>
        </w:rPr>
        <w:t xml:space="preserve"> </w:t>
      </w:r>
      <w:hyperlink r:id="rId15" w:history="1">
        <w:r w:rsidR="009E5DC1">
          <w:rPr>
            <w:rStyle w:val="Hyperlink"/>
          </w:rPr>
          <w:t>cmichailides@ihu.gr</w:t>
        </w:r>
      </w:hyperlink>
      <w:r w:rsidR="009E5DC1">
        <w:t xml:space="preserve"> </w:t>
      </w:r>
    </w:p>
    <w:bookmarkEnd w:id="0"/>
    <w:p w14:paraId="2CB056A1" w14:textId="40EF900A" w:rsidR="00DF4872" w:rsidRPr="006A3F51" w:rsidRDefault="00DF4872" w:rsidP="004B2EBA">
      <w:pPr>
        <w:pStyle w:val="MDPI16affiliation"/>
        <w:tabs>
          <w:tab w:val="left" w:pos="2552"/>
        </w:tabs>
        <w:rPr>
          <w:rFonts w:ascii="Times New Roman" w:hAnsi="Times New Roman"/>
        </w:rPr>
      </w:pPr>
      <w:r>
        <w:rPr>
          <w:rFonts w:ascii="Times New Roman" w:hAnsi="Times New Roman"/>
        </w:rPr>
        <w:t xml:space="preserve"> </w:t>
      </w:r>
    </w:p>
    <w:bookmarkEnd w:id="1"/>
    <w:p w14:paraId="2E9F62CA" w14:textId="77777777" w:rsidR="00F83216" w:rsidRPr="004B2EBA" w:rsidRDefault="00F83216" w:rsidP="000C4E0D">
      <w:pPr>
        <w:pStyle w:val="MDPI17abstract"/>
        <w:tabs>
          <w:tab w:val="left" w:pos="2552"/>
        </w:tabs>
        <w:ind w:left="2552"/>
        <w:rPr>
          <w:b/>
          <w:bCs/>
          <w:rtl/>
          <w:lang w:bidi="ar-SA"/>
        </w:rPr>
      </w:pPr>
      <w:r w:rsidRPr="004B2EBA">
        <w:rPr>
          <w:b/>
          <w:bCs/>
        </w:rPr>
        <w:t>Abstract</w:t>
      </w:r>
    </w:p>
    <w:p w14:paraId="339DAFDB" w14:textId="549828EA" w:rsidR="00F83216" w:rsidRPr="000C4E0D" w:rsidRDefault="00F83216" w:rsidP="000C4E0D">
      <w:pPr>
        <w:pStyle w:val="font-claude-response-body"/>
        <w:tabs>
          <w:tab w:val="left" w:pos="2552"/>
        </w:tabs>
        <w:ind w:left="2552"/>
        <w:jc w:val="both"/>
        <w:rPr>
          <w:rFonts w:ascii="Palatino Linotype" w:hAnsi="Palatino Linotype"/>
          <w:sz w:val="20"/>
          <w:szCs w:val="20"/>
        </w:rPr>
      </w:pPr>
      <w:r w:rsidRPr="000C4E0D">
        <w:rPr>
          <w:rFonts w:ascii="Palatino Linotype" w:hAnsi="Palatino Linotype"/>
          <w:sz w:val="20"/>
          <w:szCs w:val="20"/>
        </w:rPr>
        <w:t xml:space="preserve">Offshore renewable energy is widely recognised as a critical pathway toward decarbonising global electricity systems, offering high-capacity resources with substantial potential to improve energy security and reduce greenhouse gas </w:t>
      </w:r>
      <w:r w:rsidR="00B05D67" w:rsidRPr="000C4E0D">
        <w:rPr>
          <w:rFonts w:ascii="Palatino Linotype" w:hAnsi="Palatino Linotype"/>
          <w:sz w:val="20"/>
          <w:szCs w:val="20"/>
        </w:rPr>
        <w:t>emissions.</w:t>
      </w:r>
      <w:r w:rsidRPr="000C4E0D">
        <w:rPr>
          <w:rFonts w:ascii="Palatino Linotype" w:hAnsi="Palatino Linotype"/>
          <w:sz w:val="20"/>
          <w:szCs w:val="20"/>
        </w:rPr>
        <w:t xml:space="preserve"> Hybrid platforms that integrate floating offshore wind turbines with wave energy converters have attracted growing research interest as a means of mitigating resource intermittency, improving capacity factors, and enabling infrastructure sharing — including mooring systems, subsea cables, and electrical connections — thereby reducing both capital and operational </w:t>
      </w:r>
      <w:r w:rsidR="00B05D67" w:rsidRPr="000C4E0D">
        <w:rPr>
          <w:rFonts w:ascii="Palatino Linotype" w:hAnsi="Palatino Linotype"/>
          <w:sz w:val="20"/>
          <w:szCs w:val="20"/>
        </w:rPr>
        <w:t>expenditure.</w:t>
      </w:r>
    </w:p>
    <w:p w14:paraId="4370418B" w14:textId="2E74CB31" w:rsidR="00F83216" w:rsidRPr="000C4E0D" w:rsidRDefault="00F83216" w:rsidP="000C4E0D">
      <w:pPr>
        <w:pStyle w:val="font-claude-response-body"/>
        <w:tabs>
          <w:tab w:val="left" w:pos="2552"/>
        </w:tabs>
        <w:ind w:left="2552"/>
        <w:jc w:val="both"/>
        <w:rPr>
          <w:rFonts w:ascii="Palatino Linotype" w:hAnsi="Palatino Linotype"/>
          <w:sz w:val="20"/>
          <w:szCs w:val="20"/>
        </w:rPr>
      </w:pPr>
      <w:r w:rsidRPr="000C4E0D">
        <w:rPr>
          <w:rFonts w:ascii="Palatino Linotype" w:hAnsi="Palatino Linotype"/>
          <w:sz w:val="20"/>
          <w:szCs w:val="20"/>
        </w:rPr>
        <w:t xml:space="preserve">Despite this promise, the design of hybrid wave–wind systems </w:t>
      </w:r>
      <w:proofErr w:type="gramStart"/>
      <w:r w:rsidR="00564F3E" w:rsidRPr="000C4E0D">
        <w:rPr>
          <w:rFonts w:ascii="Palatino Linotype" w:hAnsi="Palatino Linotype"/>
          <w:sz w:val="20"/>
        </w:rPr>
        <w:t>is</w:t>
      </w:r>
      <w:proofErr w:type="gramEnd"/>
      <w:r w:rsidRPr="000C4E0D">
        <w:rPr>
          <w:rFonts w:ascii="Palatino Linotype" w:hAnsi="Palatino Linotype"/>
          <w:sz w:val="20"/>
        </w:rPr>
        <w:t xml:space="preserve"> inherently complex, demanding simultaneous consideration of coupled aerodynamic, hydrodynamic, structural, and economic </w:t>
      </w:r>
      <w:r w:rsidR="00B05D67" w:rsidRPr="000C4E0D">
        <w:rPr>
          <w:rFonts w:ascii="Palatino Linotype" w:hAnsi="Palatino Linotype"/>
          <w:sz w:val="20"/>
        </w:rPr>
        <w:t>performance.</w:t>
      </w:r>
      <w:r w:rsidRPr="000C4E0D">
        <w:rPr>
          <w:rFonts w:ascii="Palatino Linotype" w:hAnsi="Palatino Linotype"/>
          <w:sz w:val="20"/>
        </w:rPr>
        <w:t xml:space="preserve"> This paper presents a systematic review of optimization methods applied to combined wave–wind offshore platforms, covering device-level strategies — including hull geometry, power take-off (PTO) parameter selection, and WEC placement — as well as system-level approaches addressing platform layout, mooring configuration, control, and multi-objective trade-</w:t>
      </w:r>
      <w:r w:rsidR="00B05D67" w:rsidRPr="000C4E0D">
        <w:rPr>
          <w:rFonts w:ascii="Palatino Linotype" w:hAnsi="Palatino Linotype"/>
          <w:sz w:val="20"/>
        </w:rPr>
        <w:t>offs.</w:t>
      </w:r>
    </w:p>
    <w:p w14:paraId="448F5B4B" w14:textId="17FD916D" w:rsidR="00F83216" w:rsidRPr="000C4E0D" w:rsidRDefault="00F83216" w:rsidP="000C4E0D">
      <w:pPr>
        <w:pStyle w:val="font-claude-response-body"/>
        <w:tabs>
          <w:tab w:val="left" w:pos="2552"/>
        </w:tabs>
        <w:ind w:left="2552"/>
        <w:jc w:val="both"/>
        <w:rPr>
          <w:rFonts w:ascii="Palatino Linotype" w:hAnsi="Palatino Linotype"/>
          <w:sz w:val="20"/>
          <w:szCs w:val="20"/>
        </w:rPr>
      </w:pPr>
      <w:r w:rsidRPr="000C4E0D">
        <w:rPr>
          <w:rFonts w:ascii="Palatino Linotype" w:hAnsi="Palatino Linotype"/>
          <w:sz w:val="20"/>
          <w:szCs w:val="20"/>
        </w:rPr>
        <w:t xml:space="preserve">The review critically examines the modelling frameworks underpinning these optimization studies, with particular attention to their computational tractability and suitability for practical design </w:t>
      </w:r>
      <w:r w:rsidR="00B05D67" w:rsidRPr="000C4E0D">
        <w:rPr>
          <w:rFonts w:ascii="Palatino Linotype" w:hAnsi="Palatino Linotype"/>
          <w:sz w:val="20"/>
          <w:szCs w:val="20"/>
        </w:rPr>
        <w:t>applications.</w:t>
      </w:r>
      <w:r w:rsidRPr="000C4E0D">
        <w:rPr>
          <w:rFonts w:ascii="Palatino Linotype" w:hAnsi="Palatino Linotype"/>
          <w:sz w:val="20"/>
          <w:szCs w:val="20"/>
        </w:rPr>
        <w:t xml:space="preserve"> Key gaps are identified, including the limited treatment of fully coupled aero-hydrodynamic interactions within optimization workflows and the scarcity of validated case studies under realistic irregular sea states. Future research directions are proposed, with emphasis on high-fidelity surrogate modelling, multi-physics co-optimization, and structured experimental validation to support the commercial maturation of hybrid offshore energy platforms.</w:t>
      </w:r>
    </w:p>
    <w:p w14:paraId="2FC8AE02" w14:textId="6B6C965F" w:rsidR="00564F3E" w:rsidRPr="004B2EBA" w:rsidRDefault="00F83216" w:rsidP="004B2EBA">
      <w:pPr>
        <w:tabs>
          <w:tab w:val="left" w:pos="2552"/>
        </w:tabs>
        <w:spacing w:before="100" w:beforeAutospacing="1" w:after="100" w:afterAutospacing="1"/>
        <w:ind w:left="2552"/>
        <w:rPr>
          <w:rFonts w:eastAsia="Times New Roman"/>
          <w:color w:val="0F1115"/>
          <w:shd w:val="clear" w:color="auto" w:fill="FFFFFF"/>
          <w:lang w:val="en-GB" w:eastAsia="en-GB"/>
        </w:rPr>
      </w:pPr>
      <w:r w:rsidRPr="004B2EBA">
        <w:rPr>
          <w:b/>
          <w:bCs/>
          <w:szCs w:val="18"/>
        </w:rPr>
        <w:lastRenderedPageBreak/>
        <w:t>Keywords</w:t>
      </w:r>
      <w:r w:rsidRPr="000C4E0D">
        <w:rPr>
          <w:szCs w:val="18"/>
        </w:rPr>
        <w:t xml:space="preserve">: </w:t>
      </w:r>
      <w:r w:rsidRPr="000C4E0D">
        <w:rPr>
          <w:rFonts w:eastAsia="Times New Roman"/>
          <w:color w:val="0F1115"/>
          <w:shd w:val="clear" w:color="auto" w:fill="FFFFFF"/>
          <w:lang w:val="en-GB" w:eastAsia="en-GB"/>
        </w:rPr>
        <w:t>Hybrid wave–wind energy; floating offshore wind; point absorber WEC; oscillating water column; flap-type WEC; multi-objective optimization; platform stability.</w:t>
      </w:r>
    </w:p>
    <w:p w14:paraId="06D13BD3" w14:textId="77777777" w:rsidR="00F83216" w:rsidRPr="004B2EBA" w:rsidRDefault="00F83216" w:rsidP="000C4E0D">
      <w:pPr>
        <w:pStyle w:val="MDPI21heading1"/>
        <w:tabs>
          <w:tab w:val="left" w:pos="2410"/>
        </w:tabs>
        <w:ind w:left="2552"/>
        <w:jc w:val="both"/>
        <w:rPr>
          <w:bCs/>
          <w:sz w:val="20"/>
          <w:szCs w:val="18"/>
        </w:rPr>
      </w:pPr>
      <w:r w:rsidRPr="004B2EBA">
        <w:rPr>
          <w:bCs/>
          <w:sz w:val="20"/>
          <w:szCs w:val="18"/>
        </w:rPr>
        <w:t>1. Introduction</w:t>
      </w:r>
    </w:p>
    <w:p w14:paraId="23F0C9AC" w14:textId="61340F6B" w:rsidR="00F83216" w:rsidRPr="000C4E0D" w:rsidRDefault="00F83216" w:rsidP="000C4E0D">
      <w:pPr>
        <w:pStyle w:val="ds-markdown-paragraph"/>
        <w:shd w:val="clear" w:color="auto" w:fill="FFFFFF"/>
        <w:tabs>
          <w:tab w:val="left" w:pos="2552"/>
        </w:tabs>
        <w:spacing w:before="240" w:beforeAutospacing="0" w:after="240" w:afterAutospacing="0" w:line="276" w:lineRule="auto"/>
        <w:ind w:left="2410"/>
        <w:jc w:val="both"/>
        <w:rPr>
          <w:rFonts w:ascii="Palatino Linotype" w:hAnsi="Palatino Linotype"/>
          <w:color w:val="0F1115"/>
          <w:sz w:val="20"/>
          <w:szCs w:val="20"/>
        </w:rPr>
      </w:pPr>
      <w:r w:rsidRPr="000C4E0D">
        <w:rPr>
          <w:rFonts w:ascii="Palatino Linotype" w:hAnsi="Palatino Linotype"/>
          <w:color w:val="0F1115"/>
          <w:sz w:val="20"/>
          <w:szCs w:val="20"/>
        </w:rPr>
        <w:t>Offshore renewable energy plays a critical role in the global transition toward low-carbon energy systems [</w:t>
      </w:r>
      <w:r w:rsidR="00F43E66">
        <w:rPr>
          <w:rFonts w:ascii="Palatino Linotype" w:hAnsi="Palatino Linotype"/>
          <w:color w:val="0F1115"/>
          <w:sz w:val="20"/>
          <w:szCs w:val="20"/>
        </w:rPr>
        <w:t>1,</w:t>
      </w:r>
      <w:r w:rsidR="000346B9">
        <w:rPr>
          <w:rFonts w:ascii="Palatino Linotype" w:hAnsi="Palatino Linotype"/>
          <w:color w:val="0F1115"/>
          <w:sz w:val="20"/>
          <w:szCs w:val="20"/>
        </w:rPr>
        <w:t>2,</w:t>
      </w:r>
      <w:r w:rsidR="00B431EF" w:rsidRPr="000C4E0D">
        <w:rPr>
          <w:rFonts w:ascii="Palatino Linotype" w:hAnsi="Palatino Linotype"/>
          <w:color w:val="0F1115"/>
          <w:sz w:val="20"/>
          <w:szCs w:val="20"/>
        </w:rPr>
        <w:t>7</w:t>
      </w:r>
      <w:r w:rsidRPr="000C4E0D">
        <w:rPr>
          <w:rFonts w:ascii="Palatino Linotype" w:hAnsi="Palatino Linotype"/>
          <w:color w:val="0F1115"/>
          <w:sz w:val="20"/>
          <w:szCs w:val="20"/>
        </w:rPr>
        <w:t xml:space="preserve">]. Among available technologies, offshore wind energy has reached a relatively high level of technological maturity, with global installed capacity exceeding </w:t>
      </w:r>
      <w:r w:rsidR="00D304FD" w:rsidRPr="000C4E0D">
        <w:rPr>
          <w:rFonts w:ascii="Palatino Linotype" w:hAnsi="Palatino Linotype"/>
          <w:color w:val="0F1115"/>
          <w:sz w:val="20"/>
          <w:szCs w:val="20"/>
        </w:rPr>
        <w:t>75</w:t>
      </w:r>
      <w:r w:rsidRPr="000C4E0D">
        <w:rPr>
          <w:rFonts w:ascii="Palatino Linotype" w:hAnsi="Palatino Linotype"/>
          <w:color w:val="0F1115"/>
          <w:sz w:val="20"/>
          <w:szCs w:val="20"/>
        </w:rPr>
        <w:t xml:space="preserve"> GW by 2023 [8], while wave energy remains at a pre-commercial stage despite its significant resource potential estimated at approximately </w:t>
      </w:r>
      <w:r w:rsidR="00D304FD" w:rsidRPr="000C4E0D">
        <w:rPr>
          <w:rFonts w:ascii="Palatino Linotype" w:hAnsi="Palatino Linotype"/>
          <w:color w:val="0F1115"/>
          <w:sz w:val="20"/>
          <w:szCs w:val="20"/>
        </w:rPr>
        <w:t>32,000</w:t>
      </w:r>
      <w:r w:rsidRPr="000C4E0D">
        <w:rPr>
          <w:rFonts w:ascii="Palatino Linotype" w:hAnsi="Palatino Linotype"/>
          <w:color w:val="0F1115"/>
          <w:sz w:val="20"/>
          <w:szCs w:val="20"/>
        </w:rPr>
        <w:t xml:space="preserve"> TWh/year globally [9]. Both technologies, however, face inherent limitations when deployed as standalone systems. Offshore wind turbines are subjected to substantial wave-induced loads that affect structural integrity and fatigue life [10], whereas wave energy converters often suffer from low power capture efficiency, high capital costs, and survivability challenges under extreme sea states [11].</w:t>
      </w:r>
    </w:p>
    <w:p w14:paraId="5996659E" w14:textId="7E128331" w:rsidR="00DF4872" w:rsidRPr="00B06280" w:rsidRDefault="00F83216" w:rsidP="000C4E0D">
      <w:pPr>
        <w:pStyle w:val="ds-markdown-paragraph"/>
        <w:shd w:val="clear" w:color="auto" w:fill="FFFFFF"/>
        <w:tabs>
          <w:tab w:val="left" w:pos="2552"/>
        </w:tabs>
        <w:spacing w:before="240" w:beforeAutospacing="0" w:after="240" w:afterAutospacing="0" w:line="276" w:lineRule="auto"/>
        <w:ind w:left="2410"/>
        <w:jc w:val="both"/>
        <w:rPr>
          <w:rFonts w:ascii="Palatino Linotype" w:hAnsi="Palatino Linotype"/>
          <w:noProof/>
          <w:color w:val="000000" w:themeColor="text1"/>
          <w:sz w:val="20"/>
          <w:szCs w:val="20"/>
        </w:rPr>
      </w:pPr>
      <w:r w:rsidRPr="00B06280">
        <w:rPr>
          <w:rFonts w:ascii="Palatino Linotype" w:hAnsi="Palatino Linotype"/>
          <w:color w:val="000000" w:themeColor="text1"/>
          <w:sz w:val="20"/>
          <w:szCs w:val="20"/>
        </w:rPr>
        <w:t>Hybrid wave–wind energy systems have emerged as a promising solution to address these limitations by integrating wave energy converters with floating offshore wind platforms [</w:t>
      </w:r>
      <w:r w:rsidR="00E071CD" w:rsidRPr="00B06280">
        <w:rPr>
          <w:rFonts w:ascii="Palatino Linotype" w:hAnsi="Palatino Linotype"/>
          <w:color w:val="000000" w:themeColor="text1"/>
          <w:sz w:val="20"/>
          <w:szCs w:val="20"/>
        </w:rPr>
        <w:t>4,21</w:t>
      </w:r>
      <w:r w:rsidRPr="00B06280">
        <w:rPr>
          <w:rFonts w:ascii="Palatino Linotype" w:hAnsi="Palatino Linotype"/>
          <w:color w:val="000000" w:themeColor="text1"/>
          <w:sz w:val="20"/>
          <w:szCs w:val="20"/>
        </w:rPr>
        <w:t>]. By sharing structural components, mooring systems, and electrical infrastructure, hybrid platforms offer the potential to reduce overall costs while improving energy yield and platform stability [</w:t>
      </w:r>
      <w:r w:rsidR="0029416C" w:rsidRPr="00B06280">
        <w:rPr>
          <w:rFonts w:ascii="Palatino Linotype" w:hAnsi="Palatino Linotype"/>
          <w:color w:val="000000" w:themeColor="text1"/>
          <w:sz w:val="20"/>
          <w:szCs w:val="20"/>
        </w:rPr>
        <w:t>4,</w:t>
      </w:r>
      <w:r w:rsidRPr="00B06280">
        <w:rPr>
          <w:rFonts w:ascii="Palatino Linotype" w:hAnsi="Palatino Linotype"/>
          <w:color w:val="000000" w:themeColor="text1"/>
          <w:sz w:val="20"/>
          <w:szCs w:val="20"/>
        </w:rPr>
        <w:t>13</w:t>
      </w:r>
      <w:r w:rsidR="008C5AB8" w:rsidRPr="00B06280">
        <w:rPr>
          <w:rFonts w:ascii="Palatino Linotype" w:hAnsi="Palatino Linotype"/>
          <w:color w:val="000000" w:themeColor="text1"/>
          <w:sz w:val="20"/>
          <w:szCs w:val="20"/>
        </w:rPr>
        <w:t>,</w:t>
      </w:r>
      <w:r w:rsidR="0029416C" w:rsidRPr="00B06280">
        <w:rPr>
          <w:rFonts w:ascii="Palatino Linotype" w:hAnsi="Palatino Linotype"/>
          <w:color w:val="000000" w:themeColor="text1"/>
          <w:sz w:val="20"/>
          <w:szCs w:val="20"/>
        </w:rPr>
        <w:t>19,</w:t>
      </w:r>
      <w:r w:rsidR="008C5AB8" w:rsidRPr="00B06280">
        <w:rPr>
          <w:rFonts w:ascii="Palatino Linotype" w:hAnsi="Palatino Linotype"/>
          <w:color w:val="000000" w:themeColor="text1"/>
          <w:sz w:val="20"/>
          <w:szCs w:val="20"/>
        </w:rPr>
        <w:t>31</w:t>
      </w:r>
      <w:r w:rsidRPr="00B06280">
        <w:rPr>
          <w:rFonts w:ascii="Palatino Linotype" w:hAnsi="Palatino Linotype"/>
          <w:color w:val="000000" w:themeColor="text1"/>
          <w:sz w:val="20"/>
          <w:szCs w:val="20"/>
        </w:rPr>
        <w:t>]. Moreover, wave energy devices can provide additional hydrodynamic damping, which may reduce platform motions and structural loads acting on the wind turbine [14]. This synergy makes hybrid wave–wind structures particularly attractive for deep-water offshore environments where floating solutions are required [</w:t>
      </w:r>
      <w:r w:rsidR="0029416C" w:rsidRPr="00B06280">
        <w:rPr>
          <w:rFonts w:ascii="Palatino Linotype" w:hAnsi="Palatino Linotype"/>
          <w:color w:val="000000" w:themeColor="text1"/>
          <w:sz w:val="20"/>
          <w:szCs w:val="20"/>
        </w:rPr>
        <w:t>24,28,34</w:t>
      </w:r>
      <w:r w:rsidRPr="00B06280">
        <w:rPr>
          <w:rFonts w:ascii="Palatino Linotype" w:hAnsi="Palatino Linotype"/>
          <w:color w:val="000000" w:themeColor="text1"/>
          <w:sz w:val="20"/>
          <w:szCs w:val="20"/>
        </w:rPr>
        <w:t>].</w:t>
      </w:r>
      <w:r w:rsidR="00DF4872" w:rsidRPr="00B06280">
        <w:rPr>
          <w:rFonts w:ascii="Palatino Linotype" w:hAnsi="Palatino Linotype"/>
          <w:color w:val="000000" w:themeColor="text1"/>
          <w:sz w:val="20"/>
          <w:szCs w:val="20"/>
        </w:rPr>
        <w:t xml:space="preserve"> Figure </w:t>
      </w:r>
      <w:r w:rsidR="00A32020" w:rsidRPr="00B06280">
        <w:rPr>
          <w:rFonts w:ascii="Palatino Linotype" w:hAnsi="Palatino Linotype"/>
          <w:color w:val="000000" w:themeColor="text1"/>
          <w:sz w:val="20"/>
          <w:szCs w:val="20"/>
        </w:rPr>
        <w:t>1</w:t>
      </w:r>
      <w:r w:rsidR="00DF4872" w:rsidRPr="00B06280">
        <w:rPr>
          <w:rFonts w:ascii="Palatino Linotype" w:hAnsi="Palatino Linotype"/>
          <w:color w:val="000000" w:themeColor="text1"/>
          <w:sz w:val="20"/>
          <w:szCs w:val="20"/>
        </w:rPr>
        <w:t xml:space="preserve"> illustrates representative examples of floating hybrid wave–wind energy system designs across the main platform and WEC type combinations addressed in this review.</w:t>
      </w:r>
      <w:r w:rsidR="00DF4872" w:rsidRPr="00B06280">
        <w:rPr>
          <w:rFonts w:ascii="Palatino Linotype" w:hAnsi="Palatino Linotype"/>
          <w:noProof/>
          <w:color w:val="000000" w:themeColor="text1"/>
          <w:sz w:val="20"/>
          <w:szCs w:val="20"/>
        </w:rPr>
        <w:t xml:space="preserve"> </w:t>
      </w:r>
    </w:p>
    <w:p w14:paraId="0FC9C0DF" w14:textId="77777777" w:rsidR="00AB25DA" w:rsidRDefault="00AB25DA" w:rsidP="000C4E0D">
      <w:pPr>
        <w:pStyle w:val="ds-markdown-paragraph"/>
        <w:shd w:val="clear" w:color="auto" w:fill="FFFFFF"/>
        <w:tabs>
          <w:tab w:val="left" w:pos="2552"/>
        </w:tabs>
        <w:spacing w:before="240" w:beforeAutospacing="0" w:after="240" w:afterAutospacing="0" w:line="276" w:lineRule="auto"/>
        <w:ind w:left="2410"/>
        <w:jc w:val="both"/>
        <w:rPr>
          <w:rFonts w:ascii="Palatino Linotype" w:hAnsi="Palatino Linotype"/>
          <w:noProof/>
          <w:sz w:val="20"/>
          <w:szCs w:val="20"/>
        </w:rPr>
      </w:pPr>
    </w:p>
    <w:p w14:paraId="56FA1321" w14:textId="77777777" w:rsidR="00AB25DA" w:rsidRDefault="00AB25DA" w:rsidP="000C4E0D">
      <w:pPr>
        <w:pStyle w:val="ds-markdown-paragraph"/>
        <w:shd w:val="clear" w:color="auto" w:fill="FFFFFF"/>
        <w:tabs>
          <w:tab w:val="left" w:pos="2552"/>
        </w:tabs>
        <w:spacing w:before="240" w:beforeAutospacing="0" w:after="240" w:afterAutospacing="0" w:line="276" w:lineRule="auto"/>
        <w:ind w:left="2410"/>
        <w:jc w:val="both"/>
        <w:rPr>
          <w:rFonts w:ascii="Palatino Linotype" w:hAnsi="Palatino Linotype"/>
          <w:noProof/>
          <w:sz w:val="20"/>
          <w:szCs w:val="20"/>
        </w:rPr>
      </w:pPr>
    </w:p>
    <w:p w14:paraId="018BEA37" w14:textId="77777777" w:rsidR="00AB25DA" w:rsidRDefault="00AB25DA" w:rsidP="000C4E0D">
      <w:pPr>
        <w:pStyle w:val="ds-markdown-paragraph"/>
        <w:shd w:val="clear" w:color="auto" w:fill="FFFFFF"/>
        <w:tabs>
          <w:tab w:val="left" w:pos="2552"/>
        </w:tabs>
        <w:spacing w:before="240" w:beforeAutospacing="0" w:after="240" w:afterAutospacing="0" w:line="276" w:lineRule="auto"/>
        <w:ind w:left="2410"/>
        <w:jc w:val="both"/>
        <w:rPr>
          <w:rFonts w:ascii="Palatino Linotype" w:hAnsi="Palatino Linotype"/>
          <w:noProof/>
          <w:sz w:val="20"/>
          <w:szCs w:val="20"/>
        </w:rPr>
      </w:pPr>
    </w:p>
    <w:p w14:paraId="35F9D511" w14:textId="77777777" w:rsidR="00AB25DA" w:rsidRDefault="00AB25DA" w:rsidP="000C4E0D">
      <w:pPr>
        <w:pStyle w:val="ds-markdown-paragraph"/>
        <w:shd w:val="clear" w:color="auto" w:fill="FFFFFF"/>
        <w:tabs>
          <w:tab w:val="left" w:pos="2552"/>
        </w:tabs>
        <w:spacing w:before="240" w:beforeAutospacing="0" w:after="240" w:afterAutospacing="0" w:line="276" w:lineRule="auto"/>
        <w:ind w:left="2410"/>
        <w:jc w:val="both"/>
        <w:rPr>
          <w:rFonts w:ascii="Palatino Linotype" w:hAnsi="Palatino Linotype"/>
          <w:noProof/>
          <w:sz w:val="20"/>
          <w:szCs w:val="20"/>
        </w:rPr>
      </w:pPr>
    </w:p>
    <w:p w14:paraId="0C6DBAE3" w14:textId="77777777" w:rsidR="00AB25DA" w:rsidRDefault="00AB25DA" w:rsidP="000C4E0D">
      <w:pPr>
        <w:pStyle w:val="ds-markdown-paragraph"/>
        <w:shd w:val="clear" w:color="auto" w:fill="FFFFFF"/>
        <w:tabs>
          <w:tab w:val="left" w:pos="2552"/>
        </w:tabs>
        <w:spacing w:before="240" w:beforeAutospacing="0" w:after="240" w:afterAutospacing="0" w:line="276" w:lineRule="auto"/>
        <w:ind w:left="2410"/>
        <w:jc w:val="both"/>
        <w:rPr>
          <w:rFonts w:ascii="Palatino Linotype" w:hAnsi="Palatino Linotype"/>
          <w:noProof/>
          <w:sz w:val="20"/>
          <w:szCs w:val="20"/>
        </w:rPr>
      </w:pPr>
    </w:p>
    <w:p w14:paraId="45894F93" w14:textId="1448A98C" w:rsidR="00AB25DA" w:rsidRPr="000C4E0D" w:rsidRDefault="00AB25DA" w:rsidP="000C4E0D">
      <w:pPr>
        <w:pStyle w:val="ds-markdown-paragraph"/>
        <w:shd w:val="clear" w:color="auto" w:fill="FFFFFF"/>
        <w:tabs>
          <w:tab w:val="left" w:pos="2552"/>
        </w:tabs>
        <w:spacing w:before="240" w:beforeAutospacing="0" w:after="240" w:afterAutospacing="0" w:line="276" w:lineRule="auto"/>
        <w:ind w:left="2410"/>
        <w:jc w:val="both"/>
        <w:rPr>
          <w:rFonts w:ascii="Palatino Linotype" w:hAnsi="Palatino Linotype"/>
          <w:sz w:val="20"/>
          <w:szCs w:val="20"/>
        </w:rPr>
      </w:pPr>
      <w:r w:rsidRPr="000C4E0D">
        <w:rPr>
          <w:rFonts w:ascii="Palatino Linotype" w:hAnsi="Palatino Linotype"/>
          <w:noProof/>
          <w:sz w:val="20"/>
          <w:szCs w:val="20"/>
        </w:rPr>
        <w:lastRenderedPageBreak/>
        <w:drawing>
          <wp:anchor distT="0" distB="0" distL="114300" distR="114300" simplePos="0" relativeHeight="251663360" behindDoc="0" locked="0" layoutInCell="1" allowOverlap="1" wp14:anchorId="2903421E" wp14:editId="26497B5D">
            <wp:simplePos x="0" y="0"/>
            <wp:positionH relativeFrom="column">
              <wp:posOffset>1440815</wp:posOffset>
            </wp:positionH>
            <wp:positionV relativeFrom="paragraph">
              <wp:posOffset>-154076</wp:posOffset>
            </wp:positionV>
            <wp:extent cx="4086225" cy="2440217"/>
            <wp:effectExtent l="0" t="0" r="3175" b="0"/>
            <wp:wrapNone/>
            <wp:docPr id="332432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140057" name="Picture 455140057"/>
                    <pic:cNvPicPr/>
                  </pic:nvPicPr>
                  <pic:blipFill>
                    <a:blip r:embed="rId16"/>
                    <a:stretch>
                      <a:fillRect/>
                    </a:stretch>
                  </pic:blipFill>
                  <pic:spPr>
                    <a:xfrm>
                      <a:off x="0" y="0"/>
                      <a:ext cx="4086225" cy="2440217"/>
                    </a:xfrm>
                    <a:prstGeom prst="rect">
                      <a:avLst/>
                    </a:prstGeom>
                  </pic:spPr>
                </pic:pic>
              </a:graphicData>
            </a:graphic>
            <wp14:sizeRelH relativeFrom="page">
              <wp14:pctWidth>0</wp14:pctWidth>
            </wp14:sizeRelH>
            <wp14:sizeRelV relativeFrom="page">
              <wp14:pctHeight>0</wp14:pctHeight>
            </wp14:sizeRelV>
          </wp:anchor>
        </w:drawing>
      </w:r>
    </w:p>
    <w:p w14:paraId="677591EA" w14:textId="7A30B407" w:rsidR="00F83216" w:rsidRPr="000C4E0D" w:rsidRDefault="00F83216" w:rsidP="000C4E0D">
      <w:pPr>
        <w:pStyle w:val="ds-markdown-paragraph"/>
        <w:shd w:val="clear" w:color="auto" w:fill="FFFFFF"/>
        <w:tabs>
          <w:tab w:val="left" w:pos="2552"/>
        </w:tabs>
        <w:spacing w:before="240" w:beforeAutospacing="0" w:after="240" w:afterAutospacing="0" w:line="276" w:lineRule="auto"/>
        <w:ind w:left="2410"/>
        <w:jc w:val="both"/>
        <w:rPr>
          <w:rFonts w:ascii="Palatino Linotype" w:hAnsi="Palatino Linotype"/>
          <w:color w:val="0F1115"/>
          <w:sz w:val="20"/>
          <w:szCs w:val="20"/>
        </w:rPr>
      </w:pPr>
    </w:p>
    <w:p w14:paraId="598FAE7C" w14:textId="6802BA21" w:rsidR="00DF4872" w:rsidRPr="000C4E0D" w:rsidRDefault="00DF4872" w:rsidP="000C4E0D">
      <w:pPr>
        <w:pStyle w:val="ds-markdown-paragraph"/>
        <w:shd w:val="clear" w:color="auto" w:fill="FFFFFF"/>
        <w:tabs>
          <w:tab w:val="left" w:pos="2552"/>
        </w:tabs>
        <w:spacing w:before="240" w:beforeAutospacing="0" w:after="240" w:afterAutospacing="0" w:line="276" w:lineRule="auto"/>
        <w:ind w:left="2410"/>
        <w:jc w:val="both"/>
        <w:rPr>
          <w:rFonts w:ascii="Palatino Linotype" w:hAnsi="Palatino Linotype"/>
          <w:color w:val="0F1115"/>
          <w:sz w:val="20"/>
          <w:szCs w:val="20"/>
        </w:rPr>
      </w:pPr>
    </w:p>
    <w:p w14:paraId="0CFF4360" w14:textId="5BAF371A" w:rsidR="00DF4872" w:rsidRPr="000C4E0D" w:rsidRDefault="00DF4872" w:rsidP="000C4E0D">
      <w:pPr>
        <w:pStyle w:val="ds-markdown-paragraph"/>
        <w:shd w:val="clear" w:color="auto" w:fill="FFFFFF"/>
        <w:tabs>
          <w:tab w:val="left" w:pos="2552"/>
        </w:tabs>
        <w:spacing w:before="240" w:beforeAutospacing="0" w:after="240" w:afterAutospacing="0" w:line="276" w:lineRule="auto"/>
        <w:ind w:left="2410"/>
        <w:jc w:val="both"/>
        <w:rPr>
          <w:rFonts w:ascii="Palatino Linotype" w:hAnsi="Palatino Linotype"/>
          <w:color w:val="0F1115"/>
          <w:sz w:val="20"/>
          <w:szCs w:val="20"/>
        </w:rPr>
      </w:pPr>
    </w:p>
    <w:p w14:paraId="5616D8FB" w14:textId="5318FAB4" w:rsidR="00DF4872" w:rsidRPr="000C4E0D" w:rsidRDefault="00DF4872" w:rsidP="000C4E0D">
      <w:pPr>
        <w:pStyle w:val="ds-markdown-paragraph"/>
        <w:shd w:val="clear" w:color="auto" w:fill="FFFFFF"/>
        <w:tabs>
          <w:tab w:val="left" w:pos="2552"/>
        </w:tabs>
        <w:spacing w:before="240" w:beforeAutospacing="0" w:after="240" w:afterAutospacing="0" w:line="276" w:lineRule="auto"/>
        <w:ind w:left="2410"/>
        <w:jc w:val="both"/>
        <w:rPr>
          <w:rFonts w:ascii="Palatino Linotype" w:hAnsi="Palatino Linotype"/>
          <w:color w:val="0F1115"/>
          <w:sz w:val="20"/>
          <w:szCs w:val="20"/>
        </w:rPr>
      </w:pPr>
    </w:p>
    <w:p w14:paraId="70970D6D" w14:textId="77777777" w:rsidR="00DF4872" w:rsidRPr="000C4E0D" w:rsidRDefault="00DF4872" w:rsidP="00AB25DA">
      <w:pPr>
        <w:pStyle w:val="ds-markdown-paragraph"/>
        <w:shd w:val="clear" w:color="auto" w:fill="FFFFFF"/>
        <w:tabs>
          <w:tab w:val="left" w:pos="2552"/>
        </w:tabs>
        <w:spacing w:before="240" w:beforeAutospacing="0" w:after="240" w:afterAutospacing="0" w:line="276" w:lineRule="auto"/>
        <w:jc w:val="both"/>
        <w:rPr>
          <w:rFonts w:ascii="Palatino Linotype" w:hAnsi="Palatino Linotype"/>
          <w:color w:val="0F1115"/>
          <w:sz w:val="20"/>
          <w:szCs w:val="20"/>
        </w:rPr>
      </w:pPr>
    </w:p>
    <w:p w14:paraId="15DC661B" w14:textId="77777777" w:rsidR="00840370" w:rsidRPr="00840370" w:rsidRDefault="00840370" w:rsidP="000C4E0D">
      <w:pPr>
        <w:pStyle w:val="ds-markdown-paragraph"/>
        <w:shd w:val="clear" w:color="auto" w:fill="FFFFFF"/>
        <w:tabs>
          <w:tab w:val="left" w:pos="2552"/>
        </w:tabs>
        <w:spacing w:before="240" w:beforeAutospacing="0" w:after="240" w:afterAutospacing="0" w:line="276" w:lineRule="auto"/>
        <w:ind w:left="2410"/>
        <w:jc w:val="both"/>
        <w:rPr>
          <w:rFonts w:ascii="Palatino Linotype" w:hAnsi="Palatino Linotype"/>
          <w:sz w:val="20"/>
          <w:szCs w:val="20"/>
        </w:rPr>
      </w:pPr>
      <w:r w:rsidRPr="00840370">
        <w:rPr>
          <w:rFonts w:ascii="Palatino Linotype" w:hAnsi="Palatino Linotype"/>
          <w:b/>
          <w:bCs/>
          <w:sz w:val="20"/>
          <w:szCs w:val="20"/>
        </w:rPr>
        <w:t xml:space="preserve">Figure 1. </w:t>
      </w:r>
      <w:r w:rsidRPr="00840370">
        <w:rPr>
          <w:rFonts w:ascii="Palatino Linotype" w:hAnsi="Palatino Linotype"/>
          <w:sz w:val="20"/>
          <w:szCs w:val="20"/>
        </w:rPr>
        <w:t xml:space="preserve">Examples of floating hybrid wave–wind energy system designs across different FOWT platform types (barge, semi-submersible, spar, TLP) and WEC categories (heaving device, oscillating water column, oscillating wave surge converter). Reproduced from </w:t>
      </w:r>
      <w:proofErr w:type="spellStart"/>
      <w:r w:rsidRPr="00840370">
        <w:rPr>
          <w:rFonts w:ascii="Palatino Linotype" w:hAnsi="Palatino Linotype"/>
          <w:sz w:val="20"/>
          <w:szCs w:val="20"/>
        </w:rPr>
        <w:t>Sergiienko</w:t>
      </w:r>
      <w:proofErr w:type="spellEnd"/>
      <w:r w:rsidRPr="00840370">
        <w:rPr>
          <w:rFonts w:ascii="Palatino Linotype" w:hAnsi="Palatino Linotype"/>
          <w:sz w:val="20"/>
          <w:szCs w:val="20"/>
        </w:rPr>
        <w:t xml:space="preserve"> et al. [6], © 2025 The Authors. Published by Elsevier Ltd. under the CC BY 4.0 license.</w:t>
      </w:r>
    </w:p>
    <w:p w14:paraId="246BB452" w14:textId="37676D64" w:rsidR="00F83216" w:rsidRPr="00B06280" w:rsidRDefault="00F83216" w:rsidP="000C4E0D">
      <w:pPr>
        <w:pStyle w:val="ds-markdown-paragraph"/>
        <w:shd w:val="clear" w:color="auto" w:fill="FFFFFF"/>
        <w:tabs>
          <w:tab w:val="left" w:pos="2552"/>
        </w:tabs>
        <w:spacing w:before="240" w:beforeAutospacing="0" w:after="240" w:afterAutospacing="0" w:line="276" w:lineRule="auto"/>
        <w:ind w:left="2410"/>
        <w:jc w:val="both"/>
        <w:rPr>
          <w:rFonts w:ascii="Palatino Linotype" w:hAnsi="Palatino Linotype"/>
          <w:color w:val="000000" w:themeColor="text1"/>
          <w:sz w:val="20"/>
          <w:szCs w:val="20"/>
        </w:rPr>
      </w:pPr>
      <w:r w:rsidRPr="00B06280">
        <w:rPr>
          <w:rFonts w:ascii="Palatino Linotype" w:hAnsi="Palatino Linotype"/>
          <w:color w:val="000000" w:themeColor="text1"/>
          <w:sz w:val="20"/>
          <w:szCs w:val="20"/>
        </w:rPr>
        <w:t xml:space="preserve">Despite growing research interest, the design of hybrid wave–wind structures </w:t>
      </w:r>
      <w:proofErr w:type="gramStart"/>
      <w:r w:rsidRPr="00B06280">
        <w:rPr>
          <w:rFonts w:ascii="Palatino Linotype" w:hAnsi="Palatino Linotype"/>
          <w:color w:val="000000" w:themeColor="text1"/>
          <w:sz w:val="20"/>
        </w:rPr>
        <w:t>remains</w:t>
      </w:r>
      <w:proofErr w:type="gramEnd"/>
      <w:r w:rsidRPr="00B06280">
        <w:rPr>
          <w:rFonts w:ascii="Palatino Linotype" w:hAnsi="Palatino Linotype"/>
          <w:color w:val="000000" w:themeColor="text1"/>
          <w:sz w:val="20"/>
        </w:rPr>
        <w:t xml:space="preserve"> highly complex [16]. The interaction between aerodynamic loads from the wind turbine and hydrodynamic loads from waves introduces strong coupling effects that influence platform motions, power performance, and structural response [1</w:t>
      </w:r>
      <w:r w:rsidR="003A03D4" w:rsidRPr="00B06280">
        <w:rPr>
          <w:rFonts w:ascii="Palatino Linotype" w:hAnsi="Palatino Linotype"/>
          <w:color w:val="000000" w:themeColor="text1"/>
          <w:sz w:val="20"/>
        </w:rPr>
        <w:t>6</w:t>
      </w:r>
      <w:r w:rsidRPr="00B06280">
        <w:rPr>
          <w:rFonts w:ascii="Palatino Linotype" w:hAnsi="Palatino Linotype"/>
          <w:color w:val="000000" w:themeColor="text1"/>
          <w:sz w:val="20"/>
        </w:rPr>
        <w:t>]. The effectiveness of a hybrid system is strongly dependent on multiple design parameters, including platform geometry, WEC type and placement, mass distribution, and mooring configuration [</w:t>
      </w:r>
      <w:r w:rsidR="0029416C" w:rsidRPr="00B06280">
        <w:rPr>
          <w:rFonts w:ascii="Palatino Linotype" w:hAnsi="Palatino Linotype"/>
          <w:color w:val="000000" w:themeColor="text1"/>
          <w:sz w:val="20"/>
        </w:rPr>
        <w:t>14,21,42</w:t>
      </w:r>
      <w:r w:rsidRPr="00B06280">
        <w:rPr>
          <w:rFonts w:ascii="Palatino Linotype" w:hAnsi="Palatino Linotype"/>
          <w:color w:val="000000" w:themeColor="text1"/>
          <w:sz w:val="20"/>
        </w:rPr>
        <w:t>]. Consequently, different hybrid concepts exhibit significantly different performance characteristics, and there is currently no consensus on optimal integration strategies [19].</w:t>
      </w:r>
    </w:p>
    <w:p w14:paraId="29124508" w14:textId="28CEF3B4" w:rsidR="00BF76CF" w:rsidRPr="00B06280" w:rsidRDefault="00F83216" w:rsidP="000C4E0D">
      <w:pPr>
        <w:pStyle w:val="ds-markdown-paragraph"/>
        <w:shd w:val="clear" w:color="auto" w:fill="FFFFFF"/>
        <w:tabs>
          <w:tab w:val="left" w:pos="2552"/>
        </w:tabs>
        <w:spacing w:before="240" w:beforeAutospacing="0" w:after="240" w:afterAutospacing="0" w:line="276" w:lineRule="auto"/>
        <w:ind w:left="2410"/>
        <w:jc w:val="both"/>
        <w:rPr>
          <w:rFonts w:ascii="Palatino Linotype" w:hAnsi="Palatino Linotype"/>
          <w:color w:val="000000" w:themeColor="text1"/>
          <w:sz w:val="20"/>
          <w:szCs w:val="20"/>
        </w:rPr>
      </w:pPr>
      <w:r w:rsidRPr="00B06280">
        <w:rPr>
          <w:rFonts w:ascii="Palatino Linotype" w:hAnsi="Palatino Linotype"/>
          <w:color w:val="000000" w:themeColor="text1"/>
          <w:sz w:val="20"/>
          <w:szCs w:val="20"/>
        </w:rPr>
        <w:t>Existing studies have largely focused on individual hybrid concepts or specific performance aspects, such as motion reduction or wave power extraction [</w:t>
      </w:r>
      <w:r w:rsidR="00B22A2E" w:rsidRPr="00B06280">
        <w:rPr>
          <w:rFonts w:ascii="Palatino Linotype" w:hAnsi="Palatino Linotype"/>
          <w:color w:val="000000" w:themeColor="text1"/>
          <w:sz w:val="20"/>
          <w:szCs w:val="20"/>
        </w:rPr>
        <w:t>4,21</w:t>
      </w:r>
      <w:r w:rsidRPr="00B06280">
        <w:rPr>
          <w:rFonts w:ascii="Palatino Linotype" w:hAnsi="Palatino Linotype"/>
          <w:color w:val="000000" w:themeColor="text1"/>
          <w:sz w:val="20"/>
          <w:szCs w:val="20"/>
        </w:rPr>
        <w:t>]. However, a systematic and step-by-step comparison between different hybrid wave–wind structures is still lacking [21]. Such a comparison is essential to identify key design trade-offs, understand the influence of integration strategies, and highlight the parameters that are most critical for performance optimization [22].</w:t>
      </w:r>
    </w:p>
    <w:p w14:paraId="67B595C0" w14:textId="4A09EB96" w:rsidR="00F83216" w:rsidRPr="000C4E0D" w:rsidRDefault="00F83216" w:rsidP="000C4E0D">
      <w:pPr>
        <w:pStyle w:val="ds-markdown-paragraph"/>
        <w:shd w:val="clear" w:color="auto" w:fill="FFFFFF"/>
        <w:tabs>
          <w:tab w:val="left" w:pos="2552"/>
        </w:tabs>
        <w:spacing w:before="240" w:beforeAutospacing="0" w:after="240" w:afterAutospacing="0" w:line="276" w:lineRule="auto"/>
        <w:ind w:left="2410"/>
        <w:jc w:val="both"/>
        <w:rPr>
          <w:rFonts w:ascii="Palatino Linotype" w:hAnsi="Palatino Linotype"/>
          <w:sz w:val="20"/>
          <w:szCs w:val="20"/>
        </w:rPr>
      </w:pPr>
      <w:r w:rsidRPr="000C4E0D">
        <w:rPr>
          <w:rFonts w:ascii="Palatino Linotype" w:hAnsi="Palatino Linotype"/>
          <w:sz w:val="20"/>
          <w:szCs w:val="20"/>
        </w:rPr>
        <w:t xml:space="preserve">This paper addresses this gap by presenting a structured review and comparison of representative hybrid wave–wind energy concepts, with optimization methods serving as the dominant analytical lens [21,22]. Rather than treating optimization as a secondary discussion, the paper examines how different design strategies — encompassing platform geometry, WEC type and placement, PTO </w:t>
      </w:r>
      <w:r w:rsidRPr="000C4E0D">
        <w:rPr>
          <w:rFonts w:ascii="Palatino Linotype" w:hAnsi="Palatino Linotype"/>
          <w:sz w:val="20"/>
          <w:szCs w:val="20"/>
        </w:rPr>
        <w:lastRenderedPageBreak/>
        <w:t>parameters, mass distribution, and control architecture — have been approached in the literature and identifies which optimization techniques have been applied and to what effect [</w:t>
      </w:r>
      <w:r w:rsidR="002F2E3C">
        <w:rPr>
          <w:rFonts w:ascii="Palatino Linotype" w:hAnsi="Palatino Linotype"/>
          <w:sz w:val="20"/>
          <w:szCs w:val="20"/>
        </w:rPr>
        <w:t>14,42,</w:t>
      </w:r>
      <w:r w:rsidRPr="000C4E0D">
        <w:rPr>
          <w:rFonts w:ascii="Palatino Linotype" w:hAnsi="Palatino Linotype"/>
          <w:sz w:val="20"/>
          <w:szCs w:val="20"/>
        </w:rPr>
        <w:t>93]. Hydrodynamic performance, energy output, and structural complexity are assessed in so far as they define the objective functions and constraints within which these optimization problems are posed [5,1</w:t>
      </w:r>
      <w:r w:rsidR="003A03D4" w:rsidRPr="000C4E0D">
        <w:rPr>
          <w:rFonts w:ascii="Palatino Linotype" w:hAnsi="Palatino Linotype"/>
          <w:sz w:val="20"/>
          <w:szCs w:val="20"/>
        </w:rPr>
        <w:t>6</w:t>
      </w:r>
      <w:r w:rsidRPr="000C4E0D">
        <w:rPr>
          <w:rFonts w:ascii="Palatino Linotype" w:hAnsi="Palatino Linotype"/>
          <w:sz w:val="20"/>
          <w:szCs w:val="20"/>
        </w:rPr>
        <w:t>,18].</w:t>
      </w:r>
      <w:r w:rsidR="00F846BA" w:rsidRPr="000C4E0D">
        <w:rPr>
          <w:rFonts w:ascii="Palatino Linotype" w:hAnsi="Palatino Linotype"/>
        </w:rPr>
        <w:t xml:space="preserve"> </w:t>
      </w:r>
      <w:r w:rsidR="00F846BA" w:rsidRPr="000C4E0D">
        <w:rPr>
          <w:rFonts w:ascii="Palatino Linotype" w:hAnsi="Palatino Linotype"/>
          <w:sz w:val="20"/>
          <w:szCs w:val="20"/>
        </w:rPr>
        <w:t>Figure</w:t>
      </w:r>
      <w:r w:rsidR="00331F13" w:rsidRPr="000C4E0D">
        <w:rPr>
          <w:rFonts w:ascii="Palatino Linotype" w:hAnsi="Palatino Linotype"/>
          <w:sz w:val="20"/>
          <w:szCs w:val="20"/>
        </w:rPr>
        <w:t xml:space="preserve"> </w:t>
      </w:r>
      <w:r w:rsidR="00267189" w:rsidRPr="000C4E0D">
        <w:rPr>
          <w:rFonts w:ascii="Palatino Linotype" w:hAnsi="Palatino Linotype"/>
          <w:sz w:val="20"/>
          <w:szCs w:val="20"/>
        </w:rPr>
        <w:t>2</w:t>
      </w:r>
      <w:r w:rsidR="00F846BA" w:rsidRPr="000C4E0D">
        <w:rPr>
          <w:rFonts w:ascii="Palatino Linotype" w:hAnsi="Palatino Linotype"/>
          <w:sz w:val="20"/>
          <w:szCs w:val="20"/>
        </w:rPr>
        <w:t xml:space="preserve"> presents a chronological overview of representative hybrid wave–wind energy concepts reported in the literature, illustrating the evolution of platform integration strategies and optimization-focused research trends from early conceptual systems to recent advanced hybrid configurations.</w:t>
      </w:r>
    </w:p>
    <w:p w14:paraId="3C3EDDA9" w14:textId="549ECEE1" w:rsidR="00F83216" w:rsidRPr="000C4E0D" w:rsidRDefault="00F83216" w:rsidP="000C4E0D">
      <w:pPr>
        <w:pStyle w:val="ds-markdown-paragraph"/>
        <w:shd w:val="clear" w:color="auto" w:fill="FFFFFF"/>
        <w:tabs>
          <w:tab w:val="left" w:pos="2552"/>
        </w:tabs>
        <w:spacing w:before="240" w:beforeAutospacing="0" w:after="240" w:afterAutospacing="0"/>
        <w:ind w:left="2552"/>
        <w:jc w:val="both"/>
        <w:rPr>
          <w:rFonts w:ascii="Palatino Linotype" w:hAnsi="Palatino Linotype"/>
          <w:color w:val="0F1115"/>
          <w:sz w:val="20"/>
          <w:szCs w:val="20"/>
        </w:rPr>
      </w:pPr>
      <w:r w:rsidRPr="000C4E0D">
        <w:rPr>
          <w:rFonts w:ascii="Palatino Linotype" w:hAnsi="Palatino Linotype"/>
          <w:color w:val="0F1115"/>
          <w:sz w:val="20"/>
          <w:szCs w:val="20"/>
        </w:rPr>
        <w:t>The main contributions of this work are:</w:t>
      </w:r>
    </w:p>
    <w:p w14:paraId="52CA8059" w14:textId="0F655BC5" w:rsidR="00F83216" w:rsidRPr="000C4E0D" w:rsidRDefault="00F83216" w:rsidP="000C4E0D">
      <w:pPr>
        <w:pStyle w:val="ListParagraph"/>
        <w:numPr>
          <w:ilvl w:val="0"/>
          <w:numId w:val="24"/>
        </w:numPr>
        <w:tabs>
          <w:tab w:val="left" w:pos="2552"/>
        </w:tabs>
        <w:spacing w:after="0" w:line="240" w:lineRule="auto"/>
        <w:ind w:left="2552" w:firstLine="0"/>
        <w:rPr>
          <w:rFonts w:ascii="Palatino Linotype" w:eastAsia="Times New Roman" w:hAnsi="Palatino Linotype" w:cs="Times New Roman"/>
          <w:lang w:val="en-GB" w:eastAsia="en-GB"/>
        </w:rPr>
      </w:pPr>
      <w:r w:rsidRPr="000C4E0D">
        <w:rPr>
          <w:rFonts w:ascii="Palatino Linotype" w:eastAsia="Times New Roman" w:hAnsi="Palatino Linotype" w:cs="Times New Roman"/>
          <w:lang w:val="en-GB" w:eastAsia="en-GB"/>
        </w:rPr>
        <w:t xml:space="preserve">The classification of hybrid wave–wind structures based on platform type, wave energy integration approach, and energy </w:t>
      </w:r>
      <w:r w:rsidR="00D21B44" w:rsidRPr="000C4E0D">
        <w:rPr>
          <w:rFonts w:ascii="Palatino Linotype" w:eastAsia="Times New Roman" w:hAnsi="Palatino Linotype" w:cs="Times New Roman"/>
          <w:lang w:val="en-GB" w:eastAsia="en-GB"/>
        </w:rPr>
        <w:t>dominance.</w:t>
      </w:r>
    </w:p>
    <w:p w14:paraId="3DAABC03" w14:textId="3BA00C10" w:rsidR="00F83216" w:rsidRPr="000C4E0D" w:rsidRDefault="00F83216" w:rsidP="000C4E0D">
      <w:pPr>
        <w:pStyle w:val="ListParagraph"/>
        <w:numPr>
          <w:ilvl w:val="0"/>
          <w:numId w:val="24"/>
        </w:numPr>
        <w:tabs>
          <w:tab w:val="left" w:pos="2552"/>
        </w:tabs>
        <w:spacing w:after="0" w:line="240" w:lineRule="auto"/>
        <w:ind w:left="2552" w:firstLine="0"/>
        <w:rPr>
          <w:rFonts w:ascii="Palatino Linotype" w:eastAsia="Times New Roman" w:hAnsi="Palatino Linotype" w:cs="Times New Roman"/>
          <w:lang w:val="en-GB" w:eastAsia="en-GB"/>
        </w:rPr>
      </w:pPr>
      <w:r w:rsidRPr="000C4E0D">
        <w:rPr>
          <w:rFonts w:ascii="Palatino Linotype" w:eastAsia="Times New Roman" w:hAnsi="Palatino Linotype" w:cs="Times New Roman"/>
          <w:lang w:val="en-GB" w:eastAsia="en-GB"/>
        </w:rPr>
        <w:t>A structured comparison framework for evaluating hybrid concepts with particular emphasis on the optimization parameters relevant to each configuration.</w:t>
      </w:r>
    </w:p>
    <w:p w14:paraId="59FB8539" w14:textId="5DE7FD39" w:rsidR="00F83216" w:rsidRPr="000C4E0D" w:rsidRDefault="00F83216" w:rsidP="000C4E0D">
      <w:pPr>
        <w:pStyle w:val="ListParagraph"/>
        <w:numPr>
          <w:ilvl w:val="0"/>
          <w:numId w:val="24"/>
        </w:numPr>
        <w:tabs>
          <w:tab w:val="left" w:pos="2552"/>
        </w:tabs>
        <w:spacing w:after="0" w:line="240" w:lineRule="auto"/>
        <w:ind w:left="2552" w:firstLine="0"/>
        <w:rPr>
          <w:rFonts w:ascii="Palatino Linotype" w:eastAsia="Times New Roman" w:hAnsi="Palatino Linotype" w:cs="Times New Roman"/>
          <w:lang w:val="en-GB" w:eastAsia="en-GB"/>
        </w:rPr>
      </w:pPr>
      <w:r w:rsidRPr="000C4E0D">
        <w:rPr>
          <w:rFonts w:ascii="Palatino Linotype" w:eastAsia="Times New Roman" w:hAnsi="Palatino Linotype" w:cs="Times New Roman"/>
          <w:lang w:val="en-GB" w:eastAsia="en-GB"/>
        </w:rPr>
        <w:t xml:space="preserve">The identification of key design trade-offs and parameters that most strongly influence hybrid system performance and optimization </w:t>
      </w:r>
      <w:r w:rsidR="00D21B44" w:rsidRPr="000C4E0D">
        <w:rPr>
          <w:rFonts w:ascii="Palatino Linotype" w:eastAsia="Times New Roman" w:hAnsi="Palatino Linotype" w:cs="Times New Roman"/>
          <w:lang w:val="en-GB" w:eastAsia="en-GB"/>
        </w:rPr>
        <w:t>potential.</w:t>
      </w:r>
    </w:p>
    <w:p w14:paraId="2132B626" w14:textId="5E980E1D" w:rsidR="00F83216" w:rsidRPr="000C4E0D" w:rsidRDefault="00F83216" w:rsidP="000C4E0D">
      <w:pPr>
        <w:pStyle w:val="ListParagraph"/>
        <w:numPr>
          <w:ilvl w:val="0"/>
          <w:numId w:val="24"/>
        </w:numPr>
        <w:tabs>
          <w:tab w:val="left" w:pos="2552"/>
        </w:tabs>
        <w:spacing w:line="240" w:lineRule="auto"/>
        <w:ind w:left="2552" w:firstLine="0"/>
        <w:rPr>
          <w:rFonts w:ascii="Palatino Linotype" w:eastAsia="Times New Roman" w:hAnsi="Palatino Linotype" w:cs="Times New Roman"/>
          <w:lang w:val="en-GB" w:eastAsia="en-GB"/>
        </w:rPr>
      </w:pPr>
      <w:r w:rsidRPr="000C4E0D">
        <w:rPr>
          <w:rFonts w:ascii="Palatino Linotype" w:eastAsia="Times New Roman" w:hAnsi="Palatino Linotype" w:cs="Times New Roman"/>
          <w:lang w:val="en-GB" w:eastAsia="en-GB"/>
        </w:rPr>
        <w:t>A critical survey of optimization methods applied to hybrid wave–wind platforms to date, together with identified gaps and recommended directions for future research</w:t>
      </w:r>
      <w:r w:rsidR="00D21B44">
        <w:rPr>
          <w:rFonts w:ascii="Palatino Linotype" w:eastAsia="Times New Roman" w:hAnsi="Palatino Linotype" w:cs="Times New Roman"/>
          <w:lang w:val="en-GB" w:eastAsia="en-GB"/>
        </w:rPr>
        <w:t>.</w:t>
      </w:r>
    </w:p>
    <w:p w14:paraId="31828C7F" w14:textId="77777777" w:rsidR="00F83216" w:rsidRPr="004B2EBA" w:rsidRDefault="00F83216" w:rsidP="000C4E0D">
      <w:pPr>
        <w:tabs>
          <w:tab w:val="left" w:pos="2552"/>
        </w:tabs>
        <w:spacing w:line="240" w:lineRule="auto"/>
        <w:ind w:left="2552"/>
        <w:rPr>
          <w:sz w:val="24"/>
          <w:szCs w:val="24"/>
        </w:rPr>
      </w:pPr>
      <w:r w:rsidRPr="004B2EBA">
        <w:rPr>
          <w:rStyle w:val="Strong"/>
          <w:color w:val="000000" w:themeColor="text1"/>
          <w:sz w:val="24"/>
          <w:szCs w:val="24"/>
        </w:rPr>
        <w:t>2. Classification of Hybrid Wave–Wind Energy Structures</w:t>
      </w:r>
    </w:p>
    <w:p w14:paraId="6476A830" w14:textId="75B3216D" w:rsidR="006E378D" w:rsidRPr="000C4E0D" w:rsidRDefault="00F83216" w:rsidP="00B06280">
      <w:pPr>
        <w:tabs>
          <w:tab w:val="left" w:pos="2552"/>
        </w:tabs>
        <w:spacing w:line="240" w:lineRule="auto"/>
        <w:ind w:left="2552"/>
      </w:pPr>
      <w:r w:rsidRPr="000C4E0D">
        <w:t>Hybrid wave–wind energy systems can be broadly classified based on the characteristics of the floating wind platform and the method used to integrate wave energy conversion devices [23]. This classification is essential for understanding the design space of hybrid systems and for enabling a systematic comparison between different concepts [24]. To contextualize this classification, Figure</w:t>
      </w:r>
      <w:r w:rsidR="00CF5E54" w:rsidRPr="000C4E0D">
        <w:t xml:space="preserve"> </w:t>
      </w:r>
      <w:r w:rsidR="00DF4872" w:rsidRPr="000C4E0D">
        <w:t>2</w:t>
      </w:r>
      <w:r w:rsidRPr="000C4E0D">
        <w:t xml:space="preserve"> presents a chronological timeline of hybrid wave–wind concepts reported in the literature, illustrating how the field has evolved from early conceptual proposals through to recent numerical and experimental demonstrations [12,</w:t>
      </w:r>
      <w:r w:rsidR="001B6728">
        <w:t>70</w:t>
      </w:r>
      <w:r w:rsidRPr="000C4E0D">
        <w:t>]. Key milestones and platform archetypes are annotated to allow trends in integration strategy and platform type to be traced over time, and to provide a basis for identifying which periods have seen the greatest concentration of optimization-focused research [4,</w:t>
      </w:r>
      <w:r w:rsidR="002F2E3C">
        <w:t>14,</w:t>
      </w:r>
      <w:r w:rsidRPr="000C4E0D">
        <w:t>22]. As shown in the timeline, early studies focused primarily on structural feasibility and hydrodynamic characterization [23,25], whereas more recent work has increasingly shifted toward performance optimization and multi-objective design frameworks [</w:t>
      </w:r>
      <w:r w:rsidR="002F2E3C">
        <w:t>14,</w:t>
      </w:r>
      <w:r w:rsidR="000D1316" w:rsidRPr="000C4E0D">
        <w:t>42</w:t>
      </w:r>
      <w:r w:rsidRPr="000C4E0D">
        <w:t>,</w:t>
      </w:r>
      <w:r w:rsidR="004E324E" w:rsidRPr="000C4E0D">
        <w:t>19</w:t>
      </w:r>
      <w:r w:rsidRPr="000C4E0D">
        <w:t xml:space="preserve">]. This evolution motivates the classification structure adopted in this paper, which organizes hybrid concepts not only by platform type and WEC integration approach, but also by energy dominance — a third classification axis introduced in Section 2.1 </w:t>
      </w:r>
      <w:r w:rsidRPr="000C4E0D">
        <w:lastRenderedPageBreak/>
        <w:t>to distinguish concepts in which wave energy constitutes a primary rather than supplementary contribution to total platform output [</w:t>
      </w:r>
      <w:r w:rsidR="002F2E3C">
        <w:t>14,</w:t>
      </w:r>
      <w:r w:rsidRPr="000C4E0D">
        <w:t>21]</w:t>
      </w:r>
      <w:r w:rsidR="00C361C9" w:rsidRPr="000C4E0D">
        <w:t>.</w:t>
      </w:r>
    </w:p>
    <w:p w14:paraId="0BA0405C" w14:textId="34C9DCE3" w:rsidR="006E378D" w:rsidRPr="000C4E0D" w:rsidRDefault="006E378D" w:rsidP="000C4E0D">
      <w:pPr>
        <w:pStyle w:val="MDPI31text"/>
        <w:tabs>
          <w:tab w:val="left" w:pos="2552"/>
        </w:tabs>
      </w:pPr>
    </w:p>
    <w:p w14:paraId="4AF35043" w14:textId="0A62C86F" w:rsidR="006E378D" w:rsidRPr="000C4E0D" w:rsidRDefault="006E378D" w:rsidP="000C4E0D">
      <w:pPr>
        <w:pStyle w:val="MDPI31text"/>
        <w:tabs>
          <w:tab w:val="left" w:pos="2552"/>
        </w:tabs>
      </w:pPr>
    </w:p>
    <w:p w14:paraId="12125B5A" w14:textId="5EE12259" w:rsidR="006E378D" w:rsidRPr="000C4E0D" w:rsidRDefault="006E378D" w:rsidP="000C4E0D">
      <w:pPr>
        <w:pStyle w:val="MDPI31text"/>
        <w:tabs>
          <w:tab w:val="left" w:pos="2552"/>
        </w:tabs>
      </w:pPr>
    </w:p>
    <w:p w14:paraId="67959A5F" w14:textId="0AB00200" w:rsidR="008E4AE3" w:rsidRPr="000C4E0D" w:rsidRDefault="00D21B44" w:rsidP="000C4E0D">
      <w:pPr>
        <w:pStyle w:val="MDPI31text"/>
        <w:tabs>
          <w:tab w:val="left" w:pos="2552"/>
        </w:tabs>
        <w:ind w:left="0" w:firstLine="0"/>
      </w:pPr>
      <w:r>
        <w:rPr>
          <w:noProof/>
          <w:snapToGrid/>
        </w:rPr>
        <w:drawing>
          <wp:anchor distT="0" distB="0" distL="114300" distR="114300" simplePos="0" relativeHeight="251661312" behindDoc="0" locked="0" layoutInCell="1" allowOverlap="1" wp14:anchorId="0C61E7BF" wp14:editId="65322728">
            <wp:simplePos x="0" y="0"/>
            <wp:positionH relativeFrom="column">
              <wp:posOffset>94279</wp:posOffset>
            </wp:positionH>
            <wp:positionV relativeFrom="paragraph">
              <wp:posOffset>-314923</wp:posOffset>
            </wp:positionV>
            <wp:extent cx="6022975" cy="2885440"/>
            <wp:effectExtent l="0" t="0" r="0" b="0"/>
            <wp:wrapNone/>
            <wp:docPr id="1726828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828218" name="Picture 1726828218"/>
                    <pic:cNvPicPr/>
                  </pic:nvPicPr>
                  <pic:blipFill>
                    <a:blip r:embed="rId17"/>
                    <a:stretch>
                      <a:fillRect/>
                    </a:stretch>
                  </pic:blipFill>
                  <pic:spPr>
                    <a:xfrm>
                      <a:off x="0" y="0"/>
                      <a:ext cx="6022975" cy="2885440"/>
                    </a:xfrm>
                    <a:prstGeom prst="rect">
                      <a:avLst/>
                    </a:prstGeom>
                  </pic:spPr>
                </pic:pic>
              </a:graphicData>
            </a:graphic>
            <wp14:sizeRelH relativeFrom="page">
              <wp14:pctWidth>0</wp14:pctWidth>
            </wp14:sizeRelH>
            <wp14:sizeRelV relativeFrom="page">
              <wp14:pctHeight>0</wp14:pctHeight>
            </wp14:sizeRelV>
          </wp:anchor>
        </w:drawing>
      </w:r>
    </w:p>
    <w:p w14:paraId="3CA3122D" w14:textId="4E35052F" w:rsidR="006E378D" w:rsidRPr="000C4E0D" w:rsidRDefault="006E378D" w:rsidP="000C4E0D">
      <w:pPr>
        <w:pStyle w:val="MDPI31text"/>
        <w:tabs>
          <w:tab w:val="left" w:pos="2552"/>
        </w:tabs>
        <w:ind w:left="0" w:firstLine="0"/>
      </w:pPr>
    </w:p>
    <w:p w14:paraId="73F919EC" w14:textId="30DB6748" w:rsidR="006E378D" w:rsidRPr="000C4E0D" w:rsidRDefault="006E378D" w:rsidP="000C4E0D">
      <w:pPr>
        <w:pStyle w:val="MDPI31text"/>
        <w:tabs>
          <w:tab w:val="left" w:pos="2552"/>
        </w:tabs>
        <w:ind w:left="0" w:firstLine="0"/>
      </w:pPr>
    </w:p>
    <w:p w14:paraId="3CAD8AA6" w14:textId="77777777" w:rsidR="00524F65" w:rsidRDefault="00524F65" w:rsidP="000C4E0D">
      <w:pPr>
        <w:tabs>
          <w:tab w:val="left" w:pos="2410"/>
          <w:tab w:val="left" w:pos="2552"/>
        </w:tabs>
      </w:pPr>
      <w:r w:rsidRPr="000C4E0D">
        <w:t xml:space="preserve">              </w:t>
      </w:r>
    </w:p>
    <w:p w14:paraId="1F059677" w14:textId="77777777" w:rsidR="004B2EBA" w:rsidRDefault="004B2EBA" w:rsidP="000C4E0D">
      <w:pPr>
        <w:tabs>
          <w:tab w:val="left" w:pos="2410"/>
          <w:tab w:val="left" w:pos="2552"/>
        </w:tabs>
      </w:pPr>
    </w:p>
    <w:p w14:paraId="22D5A248" w14:textId="77777777" w:rsidR="004B2EBA" w:rsidRDefault="004B2EBA" w:rsidP="000C4E0D">
      <w:pPr>
        <w:tabs>
          <w:tab w:val="left" w:pos="2410"/>
          <w:tab w:val="left" w:pos="2552"/>
        </w:tabs>
      </w:pPr>
    </w:p>
    <w:p w14:paraId="753C832F" w14:textId="77777777" w:rsidR="004B2EBA" w:rsidRPr="000C4E0D" w:rsidRDefault="004B2EBA" w:rsidP="000C4E0D">
      <w:pPr>
        <w:tabs>
          <w:tab w:val="left" w:pos="2410"/>
          <w:tab w:val="left" w:pos="2552"/>
        </w:tabs>
      </w:pPr>
    </w:p>
    <w:p w14:paraId="533FC6C5" w14:textId="77777777" w:rsidR="004B2EBA" w:rsidRDefault="004B2EBA" w:rsidP="000C4E0D">
      <w:pPr>
        <w:tabs>
          <w:tab w:val="left" w:pos="2552"/>
        </w:tabs>
        <w:ind w:left="2552"/>
      </w:pPr>
    </w:p>
    <w:p w14:paraId="4D5521C2" w14:textId="77777777" w:rsidR="004B2EBA" w:rsidRDefault="004B2EBA" w:rsidP="000C4E0D">
      <w:pPr>
        <w:tabs>
          <w:tab w:val="left" w:pos="2552"/>
        </w:tabs>
        <w:ind w:left="2552"/>
      </w:pPr>
    </w:p>
    <w:p w14:paraId="580F0C80" w14:textId="77777777" w:rsidR="004B2EBA" w:rsidRDefault="004B2EBA" w:rsidP="000C4E0D">
      <w:pPr>
        <w:tabs>
          <w:tab w:val="left" w:pos="2552"/>
        </w:tabs>
        <w:ind w:left="2552"/>
      </w:pPr>
    </w:p>
    <w:p w14:paraId="71258D91" w14:textId="77777777" w:rsidR="004B2EBA" w:rsidRDefault="004B2EBA" w:rsidP="000C4E0D">
      <w:pPr>
        <w:tabs>
          <w:tab w:val="left" w:pos="2552"/>
        </w:tabs>
        <w:ind w:left="2552"/>
      </w:pPr>
    </w:p>
    <w:p w14:paraId="7EDD6F17" w14:textId="77777777" w:rsidR="0089016F" w:rsidRDefault="0089016F" w:rsidP="000C4E0D">
      <w:pPr>
        <w:tabs>
          <w:tab w:val="left" w:pos="2552"/>
        </w:tabs>
        <w:ind w:left="2552"/>
        <w:rPr>
          <w:b/>
          <w:bCs/>
        </w:rPr>
      </w:pPr>
    </w:p>
    <w:p w14:paraId="72CD5C03" w14:textId="77777777" w:rsidR="0089016F" w:rsidRDefault="0089016F" w:rsidP="000C4E0D">
      <w:pPr>
        <w:tabs>
          <w:tab w:val="left" w:pos="2552"/>
        </w:tabs>
        <w:ind w:left="2552"/>
        <w:rPr>
          <w:b/>
          <w:bCs/>
        </w:rPr>
      </w:pPr>
    </w:p>
    <w:p w14:paraId="608F3E17" w14:textId="3FC3B37C" w:rsidR="00DF4872" w:rsidRPr="001809A8" w:rsidRDefault="001809A8" w:rsidP="001809A8">
      <w:pPr>
        <w:tabs>
          <w:tab w:val="left" w:pos="2552"/>
        </w:tabs>
        <w:ind w:left="2552"/>
        <w:rPr>
          <w:rStyle w:val="Strong"/>
        </w:rPr>
      </w:pPr>
      <w:r w:rsidRPr="001809A8">
        <w:rPr>
          <w:b/>
          <w:bCs/>
        </w:rPr>
        <w:t xml:space="preserve">Figure 2. </w:t>
      </w:r>
      <w:r w:rsidRPr="001809A8">
        <w:t>Chronological timeline of representative hybrid wave–wind energy concepts (2000–2024). Original figure created by the authors based on information from [4,12,14,15,19,21–23,25,42].</w:t>
      </w:r>
    </w:p>
    <w:p w14:paraId="27B472F6" w14:textId="77777777" w:rsidR="00DF4872" w:rsidRPr="000C4E0D" w:rsidRDefault="00DF4872" w:rsidP="000C4E0D">
      <w:pPr>
        <w:tabs>
          <w:tab w:val="left" w:pos="2552"/>
        </w:tabs>
        <w:ind w:left="2552"/>
        <w:rPr>
          <w:rStyle w:val="Strong"/>
          <w:b w:val="0"/>
          <w:bCs w:val="0"/>
          <w:color w:val="000000" w:themeColor="text1"/>
          <w:sz w:val="24"/>
          <w:szCs w:val="24"/>
        </w:rPr>
      </w:pPr>
    </w:p>
    <w:p w14:paraId="2CAF02B3" w14:textId="08F12F69" w:rsidR="008E4AE3" w:rsidRPr="004B2EBA" w:rsidRDefault="008E4AE3" w:rsidP="000C4E0D">
      <w:pPr>
        <w:tabs>
          <w:tab w:val="left" w:pos="2552"/>
        </w:tabs>
        <w:spacing w:line="240" w:lineRule="auto"/>
        <w:ind w:left="2552"/>
        <w:rPr>
          <w:rStyle w:val="Strong"/>
          <w:color w:val="000000" w:themeColor="text1"/>
          <w:sz w:val="24"/>
          <w:szCs w:val="24"/>
        </w:rPr>
      </w:pPr>
      <w:r w:rsidRPr="004B2EBA">
        <w:rPr>
          <w:rStyle w:val="Strong"/>
          <w:color w:val="000000" w:themeColor="text1"/>
          <w:sz w:val="24"/>
          <w:szCs w:val="24"/>
        </w:rPr>
        <w:t xml:space="preserve">2.1 Classification by Floating Platform Type </w:t>
      </w:r>
    </w:p>
    <w:p w14:paraId="51076598" w14:textId="47BC1A47" w:rsidR="008E4AE3" w:rsidRPr="000C4E0D" w:rsidRDefault="008E4AE3" w:rsidP="000C4E0D">
      <w:pPr>
        <w:tabs>
          <w:tab w:val="left" w:pos="2552"/>
        </w:tabs>
        <w:spacing w:line="240" w:lineRule="auto"/>
        <w:ind w:left="2552"/>
      </w:pPr>
      <w:r w:rsidRPr="000C4E0D">
        <w:t xml:space="preserve">All hybrid wave–wind concepts reviewed in this paper are classified simultaneously across three axes: floating platform </w:t>
      </w:r>
      <w:r w:rsidR="002C3D9F" w:rsidRPr="000C4E0D">
        <w:t>type,</w:t>
      </w:r>
      <w:r w:rsidRPr="000C4E0D">
        <w:t xml:space="preserve"> WEC integration method (Section 2.2), and energy dominance (Section 2.3). Table 1 consolidates this three-axis classification for every concept in the reference list, enabling direct cross-comparison. A single concept — for </w:t>
      </w:r>
      <w:r w:rsidR="006A3F51" w:rsidRPr="000C4E0D">
        <w:t>example,</w:t>
      </w:r>
      <w:r w:rsidRPr="000C4E0D">
        <w:t xml:space="preserve"> the SFC — appears once in the table but carries entries across all three columns, reflecting the fact that classification axes are independent and complementary rather than mutually exclusive.</w:t>
      </w:r>
    </w:p>
    <w:p w14:paraId="23D14685" w14:textId="77777777" w:rsidR="008E4AE3" w:rsidRPr="004B2EBA" w:rsidRDefault="008E4AE3" w:rsidP="000C4E0D">
      <w:pPr>
        <w:tabs>
          <w:tab w:val="left" w:pos="2552"/>
        </w:tabs>
        <w:spacing w:line="240" w:lineRule="auto"/>
        <w:ind w:left="2552"/>
        <w:rPr>
          <w:sz w:val="24"/>
          <w:szCs w:val="24"/>
        </w:rPr>
      </w:pPr>
      <w:r w:rsidRPr="004B2EBA">
        <w:rPr>
          <w:rStyle w:val="Strong"/>
          <w:color w:val="000000" w:themeColor="text1"/>
          <w:sz w:val="24"/>
          <w:szCs w:val="24"/>
        </w:rPr>
        <w:t>2.1.1 Spar-type platforms</w:t>
      </w:r>
    </w:p>
    <w:p w14:paraId="2E8B2F0A" w14:textId="0FDBB5BF" w:rsidR="008E4AE3" w:rsidRPr="00F43E66" w:rsidRDefault="008E4AE3" w:rsidP="000C4E0D">
      <w:pPr>
        <w:pStyle w:val="font-claude-response-body"/>
        <w:tabs>
          <w:tab w:val="left" w:pos="2552"/>
        </w:tabs>
        <w:ind w:left="2552"/>
        <w:jc w:val="both"/>
        <w:rPr>
          <w:rFonts w:ascii="Palatino Linotype" w:hAnsi="Palatino Linotype"/>
          <w:color w:val="000000" w:themeColor="text1"/>
          <w:sz w:val="20"/>
          <w:szCs w:val="20"/>
        </w:rPr>
      </w:pPr>
      <w:r w:rsidRPr="000C4E0D">
        <w:rPr>
          <w:rFonts w:ascii="Palatino Linotype" w:hAnsi="Palatino Linotype"/>
          <w:sz w:val="20"/>
          <w:szCs w:val="20"/>
        </w:rPr>
        <w:t xml:space="preserve">Spar platforms are characterised by a deep draft and relatively small waterplane area, which together provide excellent pitch and roll stability through ballast-induced restoring forces [25]. </w:t>
      </w:r>
      <w:r w:rsidR="00B22A2E" w:rsidRPr="00B22A2E">
        <w:rPr>
          <w:rFonts w:ascii="Palatino Linotype" w:hAnsi="Palatino Linotype"/>
          <w:sz w:val="20"/>
          <w:szCs w:val="20"/>
        </w:rPr>
        <w:t>These platforms are well suited to deep-water deployments typically exceeding 100 m water depth [25,28]. The Hywind concept developed by Equinor remains the most commercially advanced spar-type floating wind platform and has demonstrated long-term operational viability at full scale [28].</w:t>
      </w:r>
      <w:r w:rsidR="00F43E66" w:rsidRPr="00F43E66">
        <w:rPr>
          <w:rFonts w:ascii="Palatino Linotype" w:hAnsi="Palatino Linotype"/>
          <w:color w:val="FF0000"/>
          <w:sz w:val="20"/>
          <w:szCs w:val="20"/>
        </w:rPr>
        <w:t xml:space="preserve"> </w:t>
      </w:r>
      <w:r w:rsidR="00F43E66" w:rsidRPr="00F43E66">
        <w:rPr>
          <w:rFonts w:ascii="Palatino Linotype" w:hAnsi="Palatino Linotype"/>
          <w:color w:val="000000" w:themeColor="text1"/>
          <w:sz w:val="20"/>
          <w:szCs w:val="20"/>
        </w:rPr>
        <w:t>A quantitative comparison of the dynamic responses of three principal platform types under equivalent loading conditions was provided by Jonkman and Matha [3], establishing benchmark motion characteristics that continue to inform spar-type hybrid design assessments.</w:t>
      </w:r>
    </w:p>
    <w:p w14:paraId="709F7130" w14:textId="6A25C725" w:rsidR="00AA2BE5" w:rsidRPr="000C4E0D" w:rsidRDefault="00AA2BE5" w:rsidP="000C4E0D">
      <w:pPr>
        <w:pStyle w:val="font-claude-response-body"/>
        <w:tabs>
          <w:tab w:val="left" w:pos="2552"/>
        </w:tabs>
        <w:ind w:left="2552"/>
        <w:jc w:val="both"/>
        <w:rPr>
          <w:rFonts w:ascii="Palatino Linotype" w:hAnsi="Palatino Linotype"/>
          <w:sz w:val="20"/>
          <w:szCs w:val="20"/>
        </w:rPr>
      </w:pPr>
      <w:r w:rsidRPr="000C4E0D">
        <w:rPr>
          <w:rFonts w:ascii="Palatino Linotype" w:hAnsi="Palatino Linotype"/>
          <w:sz w:val="20"/>
          <w:szCs w:val="20"/>
        </w:rPr>
        <w:lastRenderedPageBreak/>
        <w:t xml:space="preserve">When wave energy converters are integrated onto spar platforms, the inherent pitch stability of the hull can be both an advantage and a constraint. </w:t>
      </w:r>
      <w:r w:rsidR="00AA4E96" w:rsidRPr="00AA4E96">
        <w:rPr>
          <w:rFonts w:ascii="Palatino Linotype" w:hAnsi="Palatino Linotype"/>
          <w:sz w:val="20"/>
          <w:szCs w:val="20"/>
        </w:rPr>
        <w:t>Reduced platform motion limits the relative displacement available to surface-following or heaving WEC types, which depend on relative body–wave or body–platform motion for energy extraction [27,41].</w:t>
      </w:r>
      <w:r w:rsidR="00AA4E96">
        <w:rPr>
          <w:rFonts w:ascii="Palatino Linotype" w:hAnsi="Palatino Linotype"/>
          <w:sz w:val="20"/>
          <w:szCs w:val="20"/>
        </w:rPr>
        <w:t xml:space="preserve"> </w:t>
      </w:r>
      <w:r w:rsidRPr="000C4E0D">
        <w:rPr>
          <w:rFonts w:ascii="Palatino Linotype" w:hAnsi="Palatino Linotype"/>
          <w:sz w:val="20"/>
          <w:szCs w:val="20"/>
        </w:rPr>
        <w:t>Consequently, the hybrid concepts based on spar platforms reviewed in this paper predominantly employ torus-shaped heaving absorbers or pressure-differential devices positioned along the submerged column, where relative axial motion remains exploitable despite the platform's stability characteristics [21,25,27].</w:t>
      </w:r>
    </w:p>
    <w:p w14:paraId="2FC62AB6" w14:textId="18D1726C" w:rsidR="00AA2BE5" w:rsidRPr="000C4E0D" w:rsidRDefault="00AA2BE5" w:rsidP="000C4E0D">
      <w:pPr>
        <w:pStyle w:val="font-claude-response-body"/>
        <w:tabs>
          <w:tab w:val="left" w:pos="2552"/>
        </w:tabs>
        <w:ind w:left="2552"/>
        <w:jc w:val="both"/>
        <w:rPr>
          <w:rFonts w:ascii="Palatino Linotype" w:hAnsi="Palatino Linotype"/>
          <w:sz w:val="20"/>
          <w:szCs w:val="20"/>
        </w:rPr>
      </w:pPr>
      <w:r w:rsidRPr="000C4E0D">
        <w:rPr>
          <w:rFonts w:ascii="Palatino Linotype" w:hAnsi="Palatino Linotype"/>
          <w:sz w:val="20"/>
          <w:szCs w:val="20"/>
        </w:rPr>
        <w:t>From an energy dominance perspective (Section 2.3), spar-based hybrid concepts are almost exclusively wind-turbine-dominated, with WEC contributions typically reported in the range of 5–15% of total platform output [</w:t>
      </w:r>
      <w:r w:rsidR="002F2E3C">
        <w:rPr>
          <w:rFonts w:ascii="Palatino Linotype" w:hAnsi="Palatino Linotype"/>
          <w:sz w:val="20"/>
          <w:szCs w:val="20"/>
        </w:rPr>
        <w:t>14,</w:t>
      </w:r>
      <w:r w:rsidRPr="000C4E0D">
        <w:rPr>
          <w:rFonts w:ascii="Palatino Linotype" w:hAnsi="Palatino Linotype"/>
          <w:sz w:val="20"/>
          <w:szCs w:val="20"/>
        </w:rPr>
        <w:t>2</w:t>
      </w:r>
      <w:r w:rsidR="002F2E3C">
        <w:rPr>
          <w:rFonts w:ascii="Palatino Linotype" w:hAnsi="Palatino Linotype"/>
          <w:sz w:val="20"/>
          <w:szCs w:val="20"/>
        </w:rPr>
        <w:t>1</w:t>
      </w:r>
      <w:r w:rsidRPr="000C4E0D">
        <w:rPr>
          <w:rFonts w:ascii="Palatino Linotype" w:hAnsi="Palatino Linotype"/>
          <w:sz w:val="20"/>
          <w:szCs w:val="20"/>
        </w:rPr>
        <w:t>]. This reflects both the geometric constraints on WEC sizing imposed by the spar hull and the early-stage nature of wave energy integration in these configurations, where the primary design objective has remained wind power delivery with wave energy as a supplementary harvest [</w:t>
      </w:r>
      <w:r w:rsidR="000D1316" w:rsidRPr="000C4E0D">
        <w:rPr>
          <w:rFonts w:ascii="Palatino Linotype" w:hAnsi="Palatino Linotype"/>
          <w:sz w:val="20"/>
          <w:szCs w:val="20"/>
        </w:rPr>
        <w:t>42</w:t>
      </w:r>
      <w:r w:rsidRPr="000C4E0D">
        <w:rPr>
          <w:rFonts w:ascii="Palatino Linotype" w:hAnsi="Palatino Linotype"/>
          <w:sz w:val="20"/>
          <w:szCs w:val="20"/>
        </w:rPr>
        <w:t>].</w:t>
      </w:r>
    </w:p>
    <w:p w14:paraId="0C3B6690" w14:textId="2D52778A" w:rsidR="00DF4872" w:rsidRPr="001061FC" w:rsidRDefault="00AA2BE5" w:rsidP="001061FC">
      <w:pPr>
        <w:pStyle w:val="font-claude-response-body"/>
        <w:tabs>
          <w:tab w:val="left" w:pos="2552"/>
        </w:tabs>
        <w:ind w:left="2552"/>
        <w:jc w:val="both"/>
        <w:rPr>
          <w:rStyle w:val="Strong"/>
          <w:rFonts w:ascii="Palatino Linotype" w:hAnsi="Palatino Linotype"/>
          <w:b w:val="0"/>
          <w:bCs w:val="0"/>
          <w:sz w:val="20"/>
          <w:szCs w:val="20"/>
        </w:rPr>
      </w:pPr>
      <w:r w:rsidRPr="000C4E0D">
        <w:rPr>
          <w:rFonts w:ascii="Palatino Linotype" w:hAnsi="Palatino Linotype"/>
          <w:sz w:val="20"/>
          <w:szCs w:val="20"/>
        </w:rPr>
        <w:t>Cross-referencing with Table 1, spar-type platforms appear in combination with the following WEC integration categories: heaving point absorbers mounted on the platform column, oscillating water column devices embedded within the hull structure, and, in a small number of conceptual studies, tethered submerged pressure differential devices [23,27,</w:t>
      </w:r>
      <w:r w:rsidR="000D1316" w:rsidRPr="000C4E0D">
        <w:rPr>
          <w:rFonts w:ascii="Palatino Linotype" w:hAnsi="Palatino Linotype"/>
          <w:sz w:val="20"/>
          <w:szCs w:val="20"/>
        </w:rPr>
        <w:t>42</w:t>
      </w:r>
      <w:r w:rsidRPr="000C4E0D">
        <w:rPr>
          <w:rFonts w:ascii="Palatino Linotype" w:hAnsi="Palatino Linotype"/>
          <w:sz w:val="20"/>
          <w:szCs w:val="20"/>
        </w:rPr>
        <w:t>]. The optimi</w:t>
      </w:r>
      <w:r w:rsidR="002C3D9F" w:rsidRPr="000C4E0D">
        <w:rPr>
          <w:rFonts w:ascii="Palatino Linotype" w:hAnsi="Palatino Linotype"/>
          <w:sz w:val="20"/>
          <w:szCs w:val="20"/>
        </w:rPr>
        <w:t>z</w:t>
      </w:r>
      <w:r w:rsidRPr="000C4E0D">
        <w:rPr>
          <w:rFonts w:ascii="Palatino Linotype" w:hAnsi="Palatino Linotype"/>
          <w:sz w:val="20"/>
          <w:szCs w:val="20"/>
        </w:rPr>
        <w:t xml:space="preserve">ation methods applied to these configurations are discussed in detail in Section 4, with spar-specific studies highlighted where the platform type introduces </w:t>
      </w:r>
      <w:proofErr w:type="gramStart"/>
      <w:r w:rsidRPr="000C4E0D">
        <w:rPr>
          <w:rFonts w:ascii="Palatino Linotype" w:hAnsi="Palatino Linotype"/>
          <w:sz w:val="20"/>
          <w:szCs w:val="20"/>
        </w:rPr>
        <w:t>particular constraints</w:t>
      </w:r>
      <w:proofErr w:type="gramEnd"/>
      <w:r w:rsidRPr="000C4E0D">
        <w:rPr>
          <w:rFonts w:ascii="Palatino Linotype" w:hAnsi="Palatino Linotype"/>
          <w:sz w:val="20"/>
          <w:szCs w:val="20"/>
        </w:rPr>
        <w:t xml:space="preserve"> on the objective function or design variable space.</w:t>
      </w:r>
    </w:p>
    <w:p w14:paraId="0FEFA899" w14:textId="6749908D" w:rsidR="00AA2BE5" w:rsidRPr="004B2EBA" w:rsidRDefault="00AA2BE5" w:rsidP="000C4E0D">
      <w:pPr>
        <w:tabs>
          <w:tab w:val="left" w:pos="2552"/>
        </w:tabs>
        <w:ind w:left="2552"/>
        <w:rPr>
          <w:sz w:val="24"/>
          <w:szCs w:val="24"/>
        </w:rPr>
      </w:pPr>
      <w:r w:rsidRPr="004B2EBA">
        <w:rPr>
          <w:rStyle w:val="Strong"/>
          <w:color w:val="000000" w:themeColor="text1"/>
          <w:sz w:val="24"/>
          <w:szCs w:val="24"/>
        </w:rPr>
        <w:t>2.1.2 Semi-submersible platforms</w:t>
      </w:r>
    </w:p>
    <w:p w14:paraId="3A4BC63E" w14:textId="77777777" w:rsidR="00DE51D2" w:rsidRDefault="00DE51D2" w:rsidP="000C4E0D">
      <w:pPr>
        <w:pStyle w:val="font-claude-response-body"/>
        <w:tabs>
          <w:tab w:val="left" w:pos="2552"/>
        </w:tabs>
        <w:ind w:left="2552"/>
        <w:jc w:val="both"/>
        <w:rPr>
          <w:rFonts w:ascii="Palatino Linotype" w:hAnsi="Palatino Linotype"/>
          <w:sz w:val="20"/>
          <w:szCs w:val="20"/>
        </w:rPr>
      </w:pPr>
      <w:r w:rsidRPr="00DE51D2">
        <w:rPr>
          <w:rFonts w:ascii="Palatino Linotype" w:hAnsi="Palatino Linotype"/>
          <w:sz w:val="20"/>
          <w:szCs w:val="20"/>
        </w:rPr>
        <w:t>Semi-submersible platforms consist of multiple vertical columns connected by submerged pontoons, producing a large waterplane area and moderate draft [29,30]. This configuration provides good stability across a range of sea states while offering significant geometric flexibility in the placement and sizing of wave energy conversion devices, as demonstrated in semi-submersible hybrid concepts incorporating flap-type WECs [32,54]. Semi-submersibles are among the most frequently studied platform types for hybrid wave–wind systems in the reviewed literature, reflecting their modularity, scalability, and compatibility with a wide range of WEC integration strategies [21,42].</w:t>
      </w:r>
    </w:p>
    <w:p w14:paraId="708355E6" w14:textId="3EDCDE5F" w:rsidR="00753372" w:rsidRPr="00AD6CB0" w:rsidRDefault="00753372" w:rsidP="000C4E0D">
      <w:pPr>
        <w:pStyle w:val="font-claude-response-body"/>
        <w:tabs>
          <w:tab w:val="left" w:pos="2552"/>
        </w:tabs>
        <w:ind w:left="2552"/>
        <w:jc w:val="both"/>
        <w:rPr>
          <w:rFonts w:ascii="Palatino Linotype" w:hAnsi="Palatino Linotype"/>
          <w:color w:val="000000" w:themeColor="text1"/>
          <w:sz w:val="20"/>
          <w:szCs w:val="20"/>
        </w:rPr>
      </w:pPr>
      <w:r w:rsidRPr="00AD6CB0">
        <w:rPr>
          <w:rFonts w:ascii="Palatino Linotype" w:hAnsi="Palatino Linotype"/>
          <w:color w:val="000000" w:themeColor="text1"/>
          <w:sz w:val="20"/>
          <w:szCs w:val="20"/>
        </w:rPr>
        <w:t xml:space="preserve">The </w:t>
      </w:r>
      <w:proofErr w:type="spellStart"/>
      <w:r w:rsidRPr="00AD6CB0">
        <w:rPr>
          <w:rFonts w:ascii="Palatino Linotype" w:hAnsi="Palatino Linotype"/>
          <w:color w:val="000000" w:themeColor="text1"/>
          <w:sz w:val="20"/>
          <w:szCs w:val="20"/>
        </w:rPr>
        <w:t>WindFloat</w:t>
      </w:r>
      <w:proofErr w:type="spellEnd"/>
      <w:r w:rsidRPr="00AD6CB0">
        <w:rPr>
          <w:rFonts w:ascii="Palatino Linotype" w:hAnsi="Palatino Linotype"/>
          <w:color w:val="000000" w:themeColor="text1"/>
          <w:sz w:val="20"/>
          <w:szCs w:val="20"/>
        </w:rPr>
        <w:t xml:space="preserve"> concept developed by </w:t>
      </w:r>
      <w:proofErr w:type="gramStart"/>
      <w:r w:rsidR="00B57DAE" w:rsidRPr="00AD6CB0">
        <w:rPr>
          <w:rFonts w:ascii="Palatino Linotype" w:hAnsi="Palatino Linotype"/>
          <w:color w:val="000000" w:themeColor="text1"/>
          <w:sz w:val="20"/>
          <w:szCs w:val="20"/>
        </w:rPr>
        <w:t>Principle</w:t>
      </w:r>
      <w:proofErr w:type="gramEnd"/>
      <w:r w:rsidRPr="00AD6CB0">
        <w:rPr>
          <w:rFonts w:ascii="Palatino Linotype" w:hAnsi="Palatino Linotype"/>
          <w:color w:val="000000" w:themeColor="text1"/>
          <w:sz w:val="20"/>
          <w:szCs w:val="20"/>
        </w:rPr>
        <w:t xml:space="preserve"> Power exemplifies the commercial maturity of semi-submersible floating wind technology [29–31], while the SFC concept has specifically explored semi-submersible geometries as hosts for integrated flap-type wave energy devices [32]. Cross-referencing with Section </w:t>
      </w:r>
      <w:r w:rsidRPr="00AD6CB0">
        <w:rPr>
          <w:rFonts w:ascii="Palatino Linotype" w:hAnsi="Palatino Linotype"/>
          <w:color w:val="000000" w:themeColor="text1"/>
          <w:sz w:val="20"/>
          <w:szCs w:val="20"/>
        </w:rPr>
        <w:lastRenderedPageBreak/>
        <w:t>2.2, semi-submersible platforms in the reviewed literature appear in combination with the broadest range of WEC types of any platform category, including oscillating surge and rotating flap devices mounted on column faces or pontoon structures, heaving point absorbers positioned at column tops or on outrigger arms, oscillating water column devices integrated into column walls, and multi-body relative-motion devices exploiting inter-column dynamics [23,30,42]. The SFC concept, for example, is simultaneously classified in Table 1 as semi-submersible by platform type and rotating flap by WEC integration method.</w:t>
      </w:r>
    </w:p>
    <w:p w14:paraId="4A487B77" w14:textId="5357F5F3" w:rsidR="006A3F51" w:rsidRPr="000C4E0D" w:rsidRDefault="00AA2BE5" w:rsidP="000C4E0D">
      <w:pPr>
        <w:pStyle w:val="font-claude-response-body"/>
        <w:tabs>
          <w:tab w:val="left" w:pos="2552"/>
        </w:tabs>
        <w:ind w:left="2552"/>
        <w:jc w:val="both"/>
        <w:rPr>
          <w:rFonts w:ascii="Palatino Linotype" w:hAnsi="Palatino Linotype"/>
          <w:sz w:val="20"/>
          <w:szCs w:val="20"/>
        </w:rPr>
      </w:pPr>
      <w:r w:rsidRPr="000C4E0D">
        <w:rPr>
          <w:rFonts w:ascii="Palatino Linotype" w:hAnsi="Palatino Linotype"/>
          <w:sz w:val="20"/>
          <w:szCs w:val="20"/>
        </w:rPr>
        <w:t>From an energy dominance perspective, semi-submersible hybrid concepts span all three classification categories defined in Section 2.3. The majority remain wind-turbine-dominated, with WEC contributions in the 5–15% range [</w:t>
      </w:r>
      <w:r w:rsidR="003D066A" w:rsidRPr="000C4E0D">
        <w:rPr>
          <w:rFonts w:ascii="Palatino Linotype" w:hAnsi="Palatino Linotype"/>
          <w:sz w:val="20"/>
          <w:szCs w:val="20"/>
        </w:rPr>
        <w:t>14</w:t>
      </w:r>
      <w:r w:rsidRPr="000C4E0D">
        <w:rPr>
          <w:rFonts w:ascii="Palatino Linotype" w:hAnsi="Palatino Linotype"/>
          <w:sz w:val="20"/>
          <w:szCs w:val="20"/>
        </w:rPr>
        <w:t>]; however, a subset of concepts — particularly those featuring large arrays of point absorbers distributed across extended platform geometries — report balanced contributions, and a small number of early conceptual studies proposed configurations in which wave energy output was intended to match or exceed wind power at specific design sea states [21,</w:t>
      </w:r>
      <w:r w:rsidR="000D1316" w:rsidRPr="000C4E0D">
        <w:rPr>
          <w:rFonts w:ascii="Palatino Linotype" w:hAnsi="Palatino Linotype"/>
          <w:sz w:val="20"/>
          <w:szCs w:val="20"/>
        </w:rPr>
        <w:t>42</w:t>
      </w:r>
      <w:r w:rsidRPr="000C4E0D">
        <w:rPr>
          <w:rFonts w:ascii="Palatino Linotype" w:hAnsi="Palatino Linotype"/>
          <w:sz w:val="20"/>
          <w:szCs w:val="20"/>
        </w:rPr>
        <w:t xml:space="preserve">]. </w:t>
      </w:r>
    </w:p>
    <w:p w14:paraId="1461E986" w14:textId="622C0C3C" w:rsidR="00586A94" w:rsidRPr="004B6A18" w:rsidRDefault="00AA2BE5" w:rsidP="004B6A18">
      <w:pPr>
        <w:pStyle w:val="font-claude-response-body"/>
        <w:tabs>
          <w:tab w:val="left" w:pos="2552"/>
        </w:tabs>
        <w:ind w:left="2552"/>
        <w:jc w:val="both"/>
        <w:rPr>
          <w:rStyle w:val="Strong"/>
          <w:rFonts w:ascii="Palatino Linotype" w:hAnsi="Palatino Linotype"/>
          <w:b w:val="0"/>
          <w:bCs w:val="0"/>
          <w:sz w:val="20"/>
          <w:szCs w:val="20"/>
        </w:rPr>
      </w:pPr>
      <w:r w:rsidRPr="000C4E0D">
        <w:rPr>
          <w:rFonts w:ascii="Palatino Linotype" w:hAnsi="Palatino Linotype"/>
          <w:sz w:val="20"/>
          <w:szCs w:val="20"/>
        </w:rPr>
        <w:t>This spread makes the semi-submersible category the most analytically rich for optimi</w:t>
      </w:r>
      <w:r w:rsidR="002C3D9F" w:rsidRPr="000C4E0D">
        <w:rPr>
          <w:rFonts w:ascii="Palatino Linotype" w:hAnsi="Palatino Linotype"/>
          <w:sz w:val="20"/>
          <w:szCs w:val="20"/>
        </w:rPr>
        <w:t>z</w:t>
      </w:r>
      <w:r w:rsidRPr="000C4E0D">
        <w:rPr>
          <w:rFonts w:ascii="Palatino Linotype" w:hAnsi="Palatino Linotype"/>
          <w:sz w:val="20"/>
          <w:szCs w:val="20"/>
        </w:rPr>
        <w:t xml:space="preserve">ation studies, as the wider geometric freedom expands the feasible design space considerably. </w:t>
      </w:r>
      <w:r w:rsidR="007B18D7" w:rsidRPr="000C4E0D">
        <w:rPr>
          <w:rFonts w:ascii="Palatino Linotype" w:hAnsi="Palatino Linotype"/>
          <w:sz w:val="20"/>
          <w:szCs w:val="20"/>
        </w:rPr>
        <w:t>Optimization methods applied to semi-submersible hybrid concepts are reviewed in Section 5.5</w:t>
      </w:r>
      <w:r w:rsidR="00C361C9" w:rsidRPr="000C4E0D">
        <w:rPr>
          <w:rFonts w:ascii="Palatino Linotype" w:hAnsi="Palatino Linotype"/>
          <w:sz w:val="20"/>
          <w:szCs w:val="20"/>
        </w:rPr>
        <w:t>.</w:t>
      </w:r>
    </w:p>
    <w:p w14:paraId="0924BFD4" w14:textId="45A63592" w:rsidR="00AA2BE5" w:rsidRPr="004B2EBA" w:rsidRDefault="00AA2BE5" w:rsidP="000C4E0D">
      <w:pPr>
        <w:pStyle w:val="font-claude-response-body"/>
        <w:tabs>
          <w:tab w:val="left" w:pos="2552"/>
        </w:tabs>
        <w:ind w:left="2552"/>
        <w:jc w:val="both"/>
        <w:rPr>
          <w:rFonts w:ascii="Palatino Linotype" w:hAnsi="Palatino Linotype"/>
        </w:rPr>
      </w:pPr>
      <w:r w:rsidRPr="004B2EBA">
        <w:rPr>
          <w:rStyle w:val="Strong"/>
          <w:rFonts w:ascii="Palatino Linotype" w:hAnsi="Palatino Linotype"/>
          <w:color w:val="000000" w:themeColor="text1"/>
        </w:rPr>
        <w:t>2.1.3 Barge-type platforms</w:t>
      </w:r>
    </w:p>
    <w:p w14:paraId="6F071A70" w14:textId="77777777" w:rsidR="00992ED1" w:rsidRDefault="00992ED1" w:rsidP="000C4E0D">
      <w:pPr>
        <w:pStyle w:val="font-claude-response-body"/>
        <w:tabs>
          <w:tab w:val="left" w:pos="2552"/>
        </w:tabs>
        <w:ind w:left="2552"/>
        <w:jc w:val="both"/>
        <w:rPr>
          <w:rFonts w:ascii="Palatino Linotype" w:hAnsi="Palatino Linotype"/>
          <w:sz w:val="20"/>
          <w:szCs w:val="20"/>
        </w:rPr>
      </w:pPr>
      <w:r w:rsidRPr="00992ED1">
        <w:rPr>
          <w:rFonts w:ascii="Palatino Linotype" w:hAnsi="Palatino Linotype"/>
          <w:sz w:val="20"/>
          <w:szCs w:val="20"/>
        </w:rPr>
        <w:t>Barge-type platforms are shallow-draft structures with large planar deck areas and high waterplane inertia, but their wave-induced pitch and heave responses are generally more sensitive to incident wave excitation than those of spar or semi-submersible concepts [3,24]. Hybridisation with wave energy converters has been proposed as a passive motion-mitigation strategy for floating platforms, with WEC reaction forces potentially reducing platform response amplitude near resonant frequencies [14,21,42].</w:t>
      </w:r>
    </w:p>
    <w:p w14:paraId="62B810AB" w14:textId="027A48BF" w:rsidR="00AA2BE5" w:rsidRPr="000C4E0D" w:rsidRDefault="00177E8A" w:rsidP="000C4E0D">
      <w:pPr>
        <w:pStyle w:val="font-claude-response-body"/>
        <w:tabs>
          <w:tab w:val="left" w:pos="2552"/>
        </w:tabs>
        <w:ind w:left="2552"/>
        <w:jc w:val="both"/>
        <w:rPr>
          <w:rFonts w:ascii="Palatino Linotype" w:hAnsi="Palatino Linotype"/>
          <w:sz w:val="20"/>
          <w:szCs w:val="20"/>
        </w:rPr>
      </w:pPr>
      <w:r w:rsidRPr="00177E8A">
        <w:rPr>
          <w:rFonts w:ascii="Palatino Linotype" w:hAnsi="Palatino Linotype"/>
          <w:sz w:val="20"/>
          <w:szCs w:val="20"/>
        </w:rPr>
        <w:t>The OC4 Deep C wind semi-submersible and related floating-platform reference models have been extensively used in the reviewed literature as numerical benchmarks for assessing coupled dynamic response under standardised conditions [34,39].</w:t>
      </w:r>
      <w:r>
        <w:rPr>
          <w:rFonts w:ascii="Palatino Linotype" w:hAnsi="Palatino Linotype"/>
          <w:sz w:val="20"/>
          <w:szCs w:val="20"/>
        </w:rPr>
        <w:t xml:space="preserve"> </w:t>
      </w:r>
      <w:r w:rsidR="00AA2BE5" w:rsidRPr="000C4E0D">
        <w:rPr>
          <w:rFonts w:ascii="Palatino Linotype" w:hAnsi="Palatino Linotype"/>
          <w:sz w:val="20"/>
          <w:szCs w:val="20"/>
        </w:rPr>
        <w:t xml:space="preserve">Cross-referencing with Section 2.2, barge-type platforms reviewed in this paper are </w:t>
      </w:r>
      <w:proofErr w:type="gramStart"/>
      <w:r w:rsidR="00AA2BE5" w:rsidRPr="000C4E0D">
        <w:rPr>
          <w:rFonts w:ascii="Palatino Linotype" w:hAnsi="Palatino Linotype"/>
          <w:sz w:val="20"/>
          <w:szCs w:val="20"/>
        </w:rPr>
        <w:t>most commonly integrated</w:t>
      </w:r>
      <w:proofErr w:type="gramEnd"/>
      <w:r w:rsidR="00AA2BE5" w:rsidRPr="000C4E0D">
        <w:rPr>
          <w:rFonts w:ascii="Palatino Linotype" w:hAnsi="Palatino Linotype"/>
          <w:sz w:val="20"/>
          <w:szCs w:val="20"/>
        </w:rPr>
        <w:t xml:space="preserve"> with oscillating water column devices exploiting the hull's large internal volume, and with arrays of heaving point absorbers distributed across the deck perimeter [23,36]. The large waterplane area of barge platforms uniquely enables high WEC packing </w:t>
      </w:r>
      <w:r w:rsidR="00AA2BE5" w:rsidRPr="000C4E0D">
        <w:rPr>
          <w:rFonts w:ascii="Palatino Linotype" w:hAnsi="Palatino Linotype"/>
          <w:sz w:val="20"/>
          <w:szCs w:val="20"/>
        </w:rPr>
        <w:lastRenderedPageBreak/>
        <w:t>densities, which has motivated several optimi</w:t>
      </w:r>
      <w:r w:rsidR="002C3D9F" w:rsidRPr="000C4E0D">
        <w:rPr>
          <w:rFonts w:ascii="Palatino Linotype" w:hAnsi="Palatino Linotype"/>
          <w:sz w:val="20"/>
          <w:szCs w:val="20"/>
        </w:rPr>
        <w:t>z</w:t>
      </w:r>
      <w:r w:rsidR="00AA2BE5" w:rsidRPr="000C4E0D">
        <w:rPr>
          <w:rFonts w:ascii="Palatino Linotype" w:hAnsi="Palatino Linotype"/>
          <w:sz w:val="20"/>
          <w:szCs w:val="20"/>
        </w:rPr>
        <w:t>ation studies focused on WEC array layout and spacing as primary design variables [</w:t>
      </w:r>
      <w:r w:rsidR="002F2E3C">
        <w:rPr>
          <w:rFonts w:ascii="Palatino Linotype" w:hAnsi="Palatino Linotype"/>
          <w:sz w:val="20"/>
          <w:szCs w:val="20"/>
        </w:rPr>
        <w:t>14,</w:t>
      </w:r>
      <w:r w:rsidR="000D1316" w:rsidRPr="000C4E0D">
        <w:rPr>
          <w:rFonts w:ascii="Palatino Linotype" w:hAnsi="Palatino Linotype"/>
          <w:sz w:val="20"/>
          <w:szCs w:val="20"/>
        </w:rPr>
        <w:t>4</w:t>
      </w:r>
      <w:r w:rsidR="002F2E3C">
        <w:rPr>
          <w:rFonts w:ascii="Palatino Linotype" w:hAnsi="Palatino Linotype"/>
          <w:sz w:val="20"/>
          <w:szCs w:val="20"/>
        </w:rPr>
        <w:t>2</w:t>
      </w:r>
      <w:r w:rsidR="00AA2BE5" w:rsidRPr="000C4E0D">
        <w:rPr>
          <w:rFonts w:ascii="Palatino Linotype" w:hAnsi="Palatino Linotype"/>
          <w:sz w:val="20"/>
          <w:szCs w:val="20"/>
        </w:rPr>
        <w:t>].</w:t>
      </w:r>
    </w:p>
    <w:p w14:paraId="59561FD3" w14:textId="49D7F4BC" w:rsidR="00C12CD3" w:rsidRPr="004B2EBA" w:rsidRDefault="00AA2BE5" w:rsidP="004B2EBA">
      <w:pPr>
        <w:pStyle w:val="font-claude-response-body"/>
        <w:tabs>
          <w:tab w:val="left" w:pos="2552"/>
        </w:tabs>
        <w:ind w:left="2552"/>
        <w:jc w:val="both"/>
        <w:rPr>
          <w:rFonts w:ascii="Palatino Linotype" w:hAnsi="Palatino Linotype"/>
          <w:sz w:val="20"/>
          <w:szCs w:val="20"/>
        </w:rPr>
      </w:pPr>
      <w:r w:rsidRPr="000C4E0D">
        <w:rPr>
          <w:rFonts w:ascii="Palatino Linotype" w:hAnsi="Palatino Linotype"/>
          <w:sz w:val="20"/>
          <w:szCs w:val="20"/>
        </w:rPr>
        <w:t>From an energy dominance perspective, barge-based hybrid concepts are more evenly distributed across the wind-turbine-dominated and balanced categories than spar-type configurations. The relatively unconstrained deck geometry allows larger WEC arrays to be accommodated, and several reviewed concepts report WEC power fractions exceeding 20% of total platform output under rated conditions [21,</w:t>
      </w:r>
      <w:r w:rsidR="000D1316" w:rsidRPr="000C4E0D">
        <w:rPr>
          <w:rFonts w:ascii="Palatino Linotype" w:hAnsi="Palatino Linotype"/>
          <w:sz w:val="20"/>
          <w:szCs w:val="20"/>
        </w:rPr>
        <w:t>42</w:t>
      </w:r>
      <w:r w:rsidRPr="000C4E0D">
        <w:rPr>
          <w:rFonts w:ascii="Palatino Linotype" w:hAnsi="Palatino Linotype"/>
          <w:sz w:val="20"/>
          <w:szCs w:val="20"/>
        </w:rPr>
        <w:t>]. No reviewed barge-type concept achieves WEC-dominated classification, though the potential exists in principle given the available deck area. Optimi</w:t>
      </w:r>
      <w:r w:rsidR="002C3D9F" w:rsidRPr="000C4E0D">
        <w:rPr>
          <w:rFonts w:ascii="Palatino Linotype" w:hAnsi="Palatino Linotype"/>
          <w:sz w:val="20"/>
          <w:szCs w:val="20"/>
        </w:rPr>
        <w:t>z</w:t>
      </w:r>
      <w:r w:rsidRPr="000C4E0D">
        <w:rPr>
          <w:rFonts w:ascii="Palatino Linotype" w:hAnsi="Palatino Linotype"/>
          <w:sz w:val="20"/>
          <w:szCs w:val="20"/>
        </w:rPr>
        <w:t xml:space="preserve">ation challenges specific to barge platforms — particularly the coupling between WEC layout, platform inertia, and motion response — are discussed in Section </w:t>
      </w:r>
      <w:r w:rsidR="007B18D7" w:rsidRPr="000C4E0D">
        <w:rPr>
          <w:rFonts w:ascii="Palatino Linotype" w:hAnsi="Palatino Linotype"/>
          <w:sz w:val="20"/>
          <w:szCs w:val="20"/>
        </w:rPr>
        <w:t>5.5</w:t>
      </w:r>
      <w:r w:rsidR="004B2EBA">
        <w:rPr>
          <w:rFonts w:ascii="Palatino Linotype" w:hAnsi="Palatino Linotype"/>
          <w:sz w:val="20"/>
          <w:szCs w:val="20"/>
        </w:rPr>
        <w:t>.</w:t>
      </w:r>
    </w:p>
    <w:p w14:paraId="0C307DA7" w14:textId="1EF157AF" w:rsidR="0010602C" w:rsidRPr="0010602C" w:rsidRDefault="00AA2BE5" w:rsidP="0010602C">
      <w:pPr>
        <w:pStyle w:val="MDPI12title"/>
        <w:tabs>
          <w:tab w:val="left" w:pos="2552"/>
        </w:tabs>
        <w:ind w:left="2552"/>
        <w:jc w:val="both"/>
        <w:rPr>
          <w:bCs/>
          <w:sz w:val="24"/>
          <w:szCs w:val="15"/>
        </w:rPr>
      </w:pPr>
      <w:r w:rsidRPr="004B2EBA">
        <w:rPr>
          <w:bCs/>
          <w:sz w:val="24"/>
          <w:szCs w:val="15"/>
        </w:rPr>
        <w:t>2.1.4 Tension Leg Platforms (TLPs)</w:t>
      </w:r>
    </w:p>
    <w:p w14:paraId="31DDDE34" w14:textId="16B4D371" w:rsidR="0010602C" w:rsidRPr="0010602C" w:rsidRDefault="0010602C" w:rsidP="0010602C">
      <w:pPr>
        <w:pStyle w:val="font-claude-response-body"/>
        <w:tabs>
          <w:tab w:val="left" w:pos="2552"/>
        </w:tabs>
        <w:ind w:left="2552"/>
        <w:jc w:val="both"/>
        <w:rPr>
          <w:rFonts w:ascii="Palatino Linotype" w:hAnsi="Palatino Linotype"/>
          <w:sz w:val="20"/>
          <w:szCs w:val="20"/>
        </w:rPr>
      </w:pPr>
      <w:r w:rsidRPr="0010602C">
        <w:rPr>
          <w:rFonts w:ascii="Palatino Linotype" w:hAnsi="Palatino Linotype"/>
          <w:sz w:val="20"/>
          <w:szCs w:val="20"/>
        </w:rPr>
        <w:t>Tension leg platforms employ vertical pre-tensioned tendons connecting the hull to the seabed, providing high stiffness in heave, pitch, and roll while permitting relatively compliant horizontal motion [37,38]. This motion profile can be favourable for wind turbine performance because reduced pitch response helps maintain rotor alignment and limit tower/drivetrain loading relative to more compliant floating configurations [37]. However, TLP concepts require carefully designed tendon pretension and station-keeping systems, which increases installation and design complexity relative to some semi-submersible and spar alternatives [37,38].</w:t>
      </w:r>
    </w:p>
    <w:p w14:paraId="14766383" w14:textId="7D8E65B9" w:rsidR="0010602C" w:rsidRPr="0010602C" w:rsidRDefault="0010602C" w:rsidP="0010602C">
      <w:pPr>
        <w:pStyle w:val="font-claude-response-body"/>
        <w:tabs>
          <w:tab w:val="left" w:pos="2552"/>
        </w:tabs>
        <w:ind w:left="2552"/>
        <w:rPr>
          <w:rFonts w:ascii="Palatino Linotype" w:hAnsi="Palatino Linotype"/>
          <w:sz w:val="20"/>
          <w:szCs w:val="20"/>
        </w:rPr>
      </w:pPr>
      <w:r w:rsidRPr="0010602C">
        <w:rPr>
          <w:rFonts w:ascii="Palatino Linotype" w:hAnsi="Palatino Linotype"/>
          <w:sz w:val="20"/>
          <w:szCs w:val="20"/>
        </w:rPr>
        <w:t xml:space="preserve">Application of TLP configurations to hybrid wave–wind systems </w:t>
      </w:r>
      <w:proofErr w:type="gramStart"/>
      <w:r w:rsidRPr="0010602C">
        <w:rPr>
          <w:rFonts w:ascii="Palatino Linotype" w:hAnsi="Palatino Linotype"/>
          <w:sz w:val="20"/>
          <w:szCs w:val="20"/>
        </w:rPr>
        <w:t>remains</w:t>
      </w:r>
      <w:proofErr w:type="gramEnd"/>
      <w:r w:rsidRPr="0010602C">
        <w:rPr>
          <w:rFonts w:ascii="Palatino Linotype" w:hAnsi="Palatino Linotype"/>
          <w:sz w:val="20"/>
          <w:szCs w:val="20"/>
        </w:rPr>
        <w:t xml:space="preserve"> the least developed area within the reviewed literature. The high structural stiffness that makes TLPs attractive for wind turbine hosting may also constrain the relative motions available for WEC energy extraction, creating a design tension that requires further investigation [21,40]. Cross-referencing with Section 2.2, the small number of TLP-based hybrid concepts identified in the reviewed literature employ submerged pressure-differential devices or tethered oscillating bodies that rely on local device motion rather than large hull motion as the primary energy extraction mechanism [21,40].</w:t>
      </w:r>
    </w:p>
    <w:p w14:paraId="79481E27" w14:textId="1CD44420" w:rsidR="00276DCF" w:rsidRPr="000C4E0D" w:rsidRDefault="0010602C" w:rsidP="0010602C">
      <w:pPr>
        <w:pStyle w:val="font-claude-response-body"/>
        <w:tabs>
          <w:tab w:val="left" w:pos="2552"/>
        </w:tabs>
        <w:ind w:left="2552"/>
        <w:jc w:val="both"/>
        <w:rPr>
          <w:rFonts w:ascii="Palatino Linotype" w:hAnsi="Palatino Linotype"/>
          <w:sz w:val="20"/>
          <w:szCs w:val="20"/>
        </w:rPr>
      </w:pPr>
      <w:r w:rsidRPr="0010602C">
        <w:rPr>
          <w:rFonts w:ascii="Palatino Linotype" w:hAnsi="Palatino Linotype"/>
          <w:sz w:val="20"/>
          <w:szCs w:val="20"/>
        </w:rPr>
        <w:t xml:space="preserve">From an energy dominance perspective, TLP-based hybrid concepts reviewed in this paper are expected to remain wind-turbine-dominated, with WEC contributions likely toward the lower end of the supplementary range reported for other wind-dominated hybrid configurations [14,21]. This reflects both the early conceptual stage of TLP </w:t>
      </w:r>
      <w:proofErr w:type="gramStart"/>
      <w:r w:rsidRPr="0010602C">
        <w:rPr>
          <w:rFonts w:ascii="Palatino Linotype" w:hAnsi="Palatino Linotype"/>
          <w:sz w:val="20"/>
          <w:szCs w:val="20"/>
        </w:rPr>
        <w:t>hybridisation</w:t>
      </w:r>
      <w:proofErr w:type="gramEnd"/>
      <w:r w:rsidRPr="0010602C">
        <w:rPr>
          <w:rFonts w:ascii="Palatino Linotype" w:hAnsi="Palatino Linotype"/>
          <w:sz w:val="20"/>
          <w:szCs w:val="20"/>
        </w:rPr>
        <w:t xml:space="preserve"> and the geometric constraints imposed by tendon systems on WEC sizing and placement. The relative scarcity of optimization studies targeting TLP-based hybrid platforms is noted as a gap </w:t>
      </w:r>
      <w:r w:rsidRPr="0010602C">
        <w:rPr>
          <w:rFonts w:ascii="Palatino Linotype" w:hAnsi="Palatino Linotype"/>
          <w:sz w:val="20"/>
          <w:szCs w:val="20"/>
        </w:rPr>
        <w:lastRenderedPageBreak/>
        <w:t>in the literature; this is returned to in the future research directions discussed in Section 6.</w:t>
      </w:r>
    </w:p>
    <w:tbl>
      <w:tblPr>
        <w:tblStyle w:val="GridTable4-Accent1"/>
        <w:tblpPr w:leftFromText="180" w:rightFromText="180" w:vertAnchor="text" w:horzAnchor="margin" w:tblpXSpec="right" w:tblpY="429"/>
        <w:tblW w:w="7861" w:type="dxa"/>
        <w:tblLook w:val="04A0" w:firstRow="1" w:lastRow="0" w:firstColumn="1" w:lastColumn="0" w:noHBand="0" w:noVBand="1"/>
      </w:tblPr>
      <w:tblGrid>
        <w:gridCol w:w="1299"/>
        <w:gridCol w:w="1351"/>
        <w:gridCol w:w="1631"/>
        <w:gridCol w:w="1912"/>
        <w:gridCol w:w="1668"/>
      </w:tblGrid>
      <w:tr w:rsidR="006A3F51" w:rsidRPr="000C4E0D" w14:paraId="795DFBAD" w14:textId="77777777" w:rsidTr="0014141B">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0" w:type="auto"/>
            <w:hideMark/>
          </w:tcPr>
          <w:p w14:paraId="39597648" w14:textId="77777777" w:rsidR="006A3F51" w:rsidRPr="000C4E0D" w:rsidRDefault="006A3F51" w:rsidP="000C4E0D">
            <w:pPr>
              <w:tabs>
                <w:tab w:val="left" w:pos="2552"/>
              </w:tabs>
              <w:rPr>
                <w:rFonts w:eastAsia="Times New Roman" w:cs="Times New Roman"/>
                <w:b w:val="0"/>
                <w:bCs w:val="0"/>
                <w:lang w:val="en-GB" w:eastAsia="en-GB"/>
              </w:rPr>
            </w:pPr>
            <w:r w:rsidRPr="000C4E0D">
              <w:rPr>
                <w:rFonts w:eastAsia="Times New Roman" w:cs="Times New Roman"/>
                <w:b w:val="0"/>
                <w:bCs w:val="0"/>
                <w:lang w:val="en-GB" w:eastAsia="en-GB"/>
              </w:rPr>
              <w:t>Platform Type</w:t>
            </w:r>
          </w:p>
        </w:tc>
        <w:tc>
          <w:tcPr>
            <w:tcW w:w="0" w:type="auto"/>
            <w:hideMark/>
          </w:tcPr>
          <w:p w14:paraId="381B6EAA" w14:textId="77777777" w:rsidR="006A3F51" w:rsidRPr="000C4E0D" w:rsidRDefault="006A3F51" w:rsidP="000C4E0D">
            <w:pPr>
              <w:tabs>
                <w:tab w:val="left" w:pos="2552"/>
              </w:tabs>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lang w:val="en-GB" w:eastAsia="en-GB"/>
              </w:rPr>
            </w:pPr>
            <w:r w:rsidRPr="000C4E0D">
              <w:rPr>
                <w:rFonts w:eastAsia="Times New Roman" w:cs="Times New Roman"/>
                <w:b w:val="0"/>
                <w:bCs w:val="0"/>
                <w:lang w:val="en-GB" w:eastAsia="en-GB"/>
              </w:rPr>
              <w:t>WEC Type</w:t>
            </w:r>
          </w:p>
        </w:tc>
        <w:tc>
          <w:tcPr>
            <w:tcW w:w="0" w:type="auto"/>
            <w:hideMark/>
          </w:tcPr>
          <w:p w14:paraId="0F7146AE" w14:textId="77777777" w:rsidR="006A3F51" w:rsidRPr="000C4E0D" w:rsidRDefault="006A3F51" w:rsidP="000C4E0D">
            <w:pPr>
              <w:tabs>
                <w:tab w:val="left" w:pos="2552"/>
              </w:tabs>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lang w:val="en-GB" w:eastAsia="en-GB"/>
              </w:rPr>
            </w:pPr>
            <w:r w:rsidRPr="000C4E0D">
              <w:rPr>
                <w:rFonts w:eastAsia="Times New Roman" w:cs="Times New Roman"/>
                <w:b w:val="0"/>
                <w:bCs w:val="0"/>
                <w:lang w:val="en-GB" w:eastAsia="en-GB"/>
              </w:rPr>
              <w:t>Energy Dominance</w:t>
            </w:r>
          </w:p>
        </w:tc>
        <w:tc>
          <w:tcPr>
            <w:tcW w:w="0" w:type="auto"/>
            <w:hideMark/>
          </w:tcPr>
          <w:p w14:paraId="07B1294D" w14:textId="77777777" w:rsidR="006A3F51" w:rsidRPr="000C4E0D" w:rsidRDefault="006A3F51" w:rsidP="000C4E0D">
            <w:pPr>
              <w:tabs>
                <w:tab w:val="left" w:pos="2552"/>
              </w:tabs>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lang w:val="en-GB" w:eastAsia="en-GB"/>
              </w:rPr>
            </w:pPr>
            <w:r w:rsidRPr="000C4E0D">
              <w:rPr>
                <w:rFonts w:eastAsia="Times New Roman" w:cs="Times New Roman"/>
                <w:b w:val="0"/>
                <w:bCs w:val="0"/>
                <w:lang w:val="en-GB" w:eastAsia="en-GB"/>
              </w:rPr>
              <w:t>Optimization Variables</w:t>
            </w:r>
          </w:p>
        </w:tc>
        <w:tc>
          <w:tcPr>
            <w:tcW w:w="0" w:type="auto"/>
            <w:hideMark/>
          </w:tcPr>
          <w:p w14:paraId="328A2945" w14:textId="77777777" w:rsidR="006A3F51" w:rsidRPr="000C4E0D" w:rsidRDefault="006A3F51" w:rsidP="000C4E0D">
            <w:pPr>
              <w:tabs>
                <w:tab w:val="left" w:pos="2552"/>
              </w:tabs>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lang w:val="en-GB" w:eastAsia="en-GB"/>
              </w:rPr>
            </w:pPr>
            <w:r w:rsidRPr="000C4E0D">
              <w:rPr>
                <w:rFonts w:eastAsia="Times New Roman" w:cs="Times New Roman"/>
                <w:b w:val="0"/>
                <w:bCs w:val="0"/>
                <w:lang w:val="en-GB" w:eastAsia="en-GB"/>
              </w:rPr>
              <w:t>Primary Objective</w:t>
            </w:r>
          </w:p>
        </w:tc>
      </w:tr>
      <w:tr w:rsidR="006A3F51" w:rsidRPr="000C4E0D" w14:paraId="72F8F5D7" w14:textId="77777777" w:rsidTr="0014141B">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0" w:type="auto"/>
            <w:hideMark/>
          </w:tcPr>
          <w:p w14:paraId="258D2438" w14:textId="77777777" w:rsidR="006A3F51" w:rsidRPr="000C4E0D" w:rsidRDefault="006A3F51" w:rsidP="000C4E0D">
            <w:pPr>
              <w:tabs>
                <w:tab w:val="left" w:pos="2552"/>
              </w:tabs>
              <w:rPr>
                <w:rFonts w:eastAsia="Times New Roman" w:cs="Times New Roman"/>
                <w:b w:val="0"/>
                <w:bCs w:val="0"/>
                <w:lang w:val="en-GB" w:eastAsia="en-GB"/>
              </w:rPr>
            </w:pPr>
            <w:r w:rsidRPr="000C4E0D">
              <w:rPr>
                <w:rFonts w:eastAsia="Times New Roman" w:cs="Times New Roman"/>
                <w:b w:val="0"/>
                <w:bCs w:val="0"/>
                <w:lang w:val="en-GB" w:eastAsia="en-GB"/>
              </w:rPr>
              <w:t>Spar</w:t>
            </w:r>
          </w:p>
        </w:tc>
        <w:tc>
          <w:tcPr>
            <w:tcW w:w="0" w:type="auto"/>
            <w:hideMark/>
          </w:tcPr>
          <w:p w14:paraId="32B3424D" w14:textId="77777777" w:rsidR="006A3F51" w:rsidRPr="000C4E0D" w:rsidRDefault="006A3F51" w:rsidP="000C4E0D">
            <w:pPr>
              <w:tabs>
                <w:tab w:val="left" w:pos="2552"/>
              </w:tabs>
              <w:cnfStyle w:val="000000100000" w:firstRow="0" w:lastRow="0" w:firstColumn="0" w:lastColumn="0" w:oddVBand="0" w:evenVBand="0" w:oddHBand="1" w:evenHBand="0" w:firstRowFirstColumn="0" w:firstRowLastColumn="0" w:lastRowFirstColumn="0" w:lastRowLastColumn="0"/>
              <w:rPr>
                <w:rFonts w:eastAsia="Times New Roman" w:cs="Times New Roman"/>
                <w:lang w:val="en-GB" w:eastAsia="en-GB"/>
              </w:rPr>
            </w:pPr>
            <w:r w:rsidRPr="000C4E0D">
              <w:rPr>
                <w:rFonts w:eastAsia="Times New Roman" w:cs="Times New Roman"/>
                <w:lang w:val="en-GB" w:eastAsia="en-GB"/>
              </w:rPr>
              <w:t>Point absorber</w:t>
            </w:r>
          </w:p>
        </w:tc>
        <w:tc>
          <w:tcPr>
            <w:tcW w:w="0" w:type="auto"/>
            <w:hideMark/>
          </w:tcPr>
          <w:p w14:paraId="2203422A" w14:textId="77777777" w:rsidR="006A3F51" w:rsidRPr="000C4E0D" w:rsidRDefault="006A3F51" w:rsidP="000C4E0D">
            <w:pPr>
              <w:tabs>
                <w:tab w:val="left" w:pos="2552"/>
              </w:tabs>
              <w:cnfStyle w:val="000000100000" w:firstRow="0" w:lastRow="0" w:firstColumn="0" w:lastColumn="0" w:oddVBand="0" w:evenVBand="0" w:oddHBand="1" w:evenHBand="0" w:firstRowFirstColumn="0" w:firstRowLastColumn="0" w:lastRowFirstColumn="0" w:lastRowLastColumn="0"/>
              <w:rPr>
                <w:rFonts w:eastAsia="Times New Roman" w:cs="Times New Roman"/>
                <w:lang w:val="en-GB" w:eastAsia="en-GB"/>
              </w:rPr>
            </w:pPr>
            <w:r w:rsidRPr="000C4E0D">
              <w:rPr>
                <w:rFonts w:eastAsia="Times New Roman" w:cs="Times New Roman"/>
                <w:lang w:val="en-GB" w:eastAsia="en-GB"/>
              </w:rPr>
              <w:t>Wind-dominated</w:t>
            </w:r>
          </w:p>
        </w:tc>
        <w:tc>
          <w:tcPr>
            <w:tcW w:w="0" w:type="auto"/>
            <w:hideMark/>
          </w:tcPr>
          <w:p w14:paraId="720E15F4" w14:textId="77777777" w:rsidR="006A3F51" w:rsidRPr="000C4E0D" w:rsidRDefault="006A3F51" w:rsidP="000C4E0D">
            <w:pPr>
              <w:tabs>
                <w:tab w:val="left" w:pos="2552"/>
              </w:tabs>
              <w:cnfStyle w:val="000000100000" w:firstRow="0" w:lastRow="0" w:firstColumn="0" w:lastColumn="0" w:oddVBand="0" w:evenVBand="0" w:oddHBand="1" w:evenHBand="0" w:firstRowFirstColumn="0" w:firstRowLastColumn="0" w:lastRowFirstColumn="0" w:lastRowLastColumn="0"/>
              <w:rPr>
                <w:rFonts w:eastAsia="Times New Roman" w:cs="Times New Roman"/>
                <w:lang w:val="en-GB" w:eastAsia="en-GB"/>
              </w:rPr>
            </w:pPr>
            <w:r w:rsidRPr="000C4E0D">
              <w:rPr>
                <w:rFonts w:eastAsia="Times New Roman" w:cs="Times New Roman"/>
                <w:lang w:val="en-GB" w:eastAsia="en-GB"/>
              </w:rPr>
              <w:t>PTO damping, mass</w:t>
            </w:r>
          </w:p>
        </w:tc>
        <w:tc>
          <w:tcPr>
            <w:tcW w:w="0" w:type="auto"/>
            <w:hideMark/>
          </w:tcPr>
          <w:p w14:paraId="216D2389" w14:textId="77777777" w:rsidR="006A3F51" w:rsidRPr="000C4E0D" w:rsidRDefault="006A3F51" w:rsidP="000C4E0D">
            <w:pPr>
              <w:tabs>
                <w:tab w:val="left" w:pos="2552"/>
              </w:tabs>
              <w:cnfStyle w:val="000000100000" w:firstRow="0" w:lastRow="0" w:firstColumn="0" w:lastColumn="0" w:oddVBand="0" w:evenVBand="0" w:oddHBand="1" w:evenHBand="0" w:firstRowFirstColumn="0" w:firstRowLastColumn="0" w:lastRowFirstColumn="0" w:lastRowLastColumn="0"/>
              <w:rPr>
                <w:rFonts w:eastAsia="Times New Roman" w:cs="Times New Roman"/>
                <w:lang w:val="en-GB" w:eastAsia="en-GB"/>
              </w:rPr>
            </w:pPr>
            <w:r w:rsidRPr="000C4E0D">
              <w:rPr>
                <w:rFonts w:eastAsia="Times New Roman" w:cs="Times New Roman"/>
                <w:lang w:val="en-GB" w:eastAsia="en-GB"/>
              </w:rPr>
              <w:t>Motion reduction</w:t>
            </w:r>
          </w:p>
        </w:tc>
      </w:tr>
      <w:tr w:rsidR="006A3F51" w:rsidRPr="000C4E0D" w14:paraId="5AD6968C" w14:textId="77777777" w:rsidTr="0014141B">
        <w:trPr>
          <w:trHeight w:val="324"/>
        </w:trPr>
        <w:tc>
          <w:tcPr>
            <w:cnfStyle w:val="001000000000" w:firstRow="0" w:lastRow="0" w:firstColumn="1" w:lastColumn="0" w:oddVBand="0" w:evenVBand="0" w:oddHBand="0" w:evenHBand="0" w:firstRowFirstColumn="0" w:firstRowLastColumn="0" w:lastRowFirstColumn="0" w:lastRowLastColumn="0"/>
            <w:tcW w:w="0" w:type="auto"/>
            <w:hideMark/>
          </w:tcPr>
          <w:p w14:paraId="53FC265A" w14:textId="77777777" w:rsidR="006A3F51" w:rsidRPr="000C4E0D" w:rsidRDefault="006A3F51" w:rsidP="000C4E0D">
            <w:pPr>
              <w:tabs>
                <w:tab w:val="left" w:pos="2552"/>
              </w:tabs>
              <w:rPr>
                <w:rFonts w:eastAsia="Times New Roman" w:cs="Times New Roman"/>
                <w:b w:val="0"/>
                <w:bCs w:val="0"/>
                <w:lang w:val="en-GB" w:eastAsia="en-GB"/>
              </w:rPr>
            </w:pPr>
            <w:r w:rsidRPr="000C4E0D">
              <w:rPr>
                <w:rFonts w:eastAsia="Times New Roman" w:cs="Times New Roman"/>
                <w:b w:val="0"/>
                <w:bCs w:val="0"/>
                <w:lang w:val="en-GB" w:eastAsia="en-GB"/>
              </w:rPr>
              <w:t>Semi-sub</w:t>
            </w:r>
          </w:p>
        </w:tc>
        <w:tc>
          <w:tcPr>
            <w:tcW w:w="0" w:type="auto"/>
            <w:hideMark/>
          </w:tcPr>
          <w:p w14:paraId="0B581E3E" w14:textId="77777777" w:rsidR="006A3F51" w:rsidRPr="000C4E0D" w:rsidRDefault="006A3F51" w:rsidP="000C4E0D">
            <w:pPr>
              <w:tabs>
                <w:tab w:val="left" w:pos="2552"/>
              </w:tabs>
              <w:cnfStyle w:val="000000000000" w:firstRow="0" w:lastRow="0" w:firstColumn="0" w:lastColumn="0" w:oddVBand="0" w:evenVBand="0" w:oddHBand="0" w:evenHBand="0" w:firstRowFirstColumn="0" w:firstRowLastColumn="0" w:lastRowFirstColumn="0" w:lastRowLastColumn="0"/>
              <w:rPr>
                <w:rFonts w:eastAsia="Times New Roman" w:cs="Times New Roman"/>
                <w:lang w:val="en-GB" w:eastAsia="en-GB"/>
              </w:rPr>
            </w:pPr>
            <w:r w:rsidRPr="000C4E0D">
              <w:rPr>
                <w:rFonts w:eastAsia="Times New Roman" w:cs="Times New Roman"/>
                <w:lang w:val="en-GB" w:eastAsia="en-GB"/>
              </w:rPr>
              <w:t>Flap</w:t>
            </w:r>
          </w:p>
        </w:tc>
        <w:tc>
          <w:tcPr>
            <w:tcW w:w="0" w:type="auto"/>
            <w:hideMark/>
          </w:tcPr>
          <w:p w14:paraId="4E8CF84E" w14:textId="77777777" w:rsidR="006A3F51" w:rsidRPr="000C4E0D" w:rsidRDefault="006A3F51" w:rsidP="000C4E0D">
            <w:pPr>
              <w:tabs>
                <w:tab w:val="left" w:pos="2552"/>
              </w:tabs>
              <w:cnfStyle w:val="000000000000" w:firstRow="0" w:lastRow="0" w:firstColumn="0" w:lastColumn="0" w:oddVBand="0" w:evenVBand="0" w:oddHBand="0" w:evenHBand="0" w:firstRowFirstColumn="0" w:firstRowLastColumn="0" w:lastRowFirstColumn="0" w:lastRowLastColumn="0"/>
              <w:rPr>
                <w:rFonts w:eastAsia="Times New Roman" w:cs="Times New Roman"/>
                <w:lang w:val="en-GB" w:eastAsia="en-GB"/>
              </w:rPr>
            </w:pPr>
            <w:r w:rsidRPr="000C4E0D">
              <w:rPr>
                <w:rFonts w:eastAsia="Times New Roman" w:cs="Times New Roman"/>
                <w:lang w:val="en-GB" w:eastAsia="en-GB"/>
              </w:rPr>
              <w:t>Balanced</w:t>
            </w:r>
          </w:p>
        </w:tc>
        <w:tc>
          <w:tcPr>
            <w:tcW w:w="0" w:type="auto"/>
            <w:hideMark/>
          </w:tcPr>
          <w:p w14:paraId="111EA2A1" w14:textId="77777777" w:rsidR="006A3F51" w:rsidRPr="000C4E0D" w:rsidRDefault="006A3F51" w:rsidP="000C4E0D">
            <w:pPr>
              <w:tabs>
                <w:tab w:val="left" w:pos="2552"/>
              </w:tabs>
              <w:cnfStyle w:val="000000000000" w:firstRow="0" w:lastRow="0" w:firstColumn="0" w:lastColumn="0" w:oddVBand="0" w:evenVBand="0" w:oddHBand="0" w:evenHBand="0" w:firstRowFirstColumn="0" w:firstRowLastColumn="0" w:lastRowFirstColumn="0" w:lastRowLastColumn="0"/>
              <w:rPr>
                <w:rFonts w:eastAsia="Times New Roman" w:cs="Times New Roman"/>
                <w:lang w:val="en-GB" w:eastAsia="en-GB"/>
              </w:rPr>
            </w:pPr>
            <w:r w:rsidRPr="000C4E0D">
              <w:rPr>
                <w:rFonts w:eastAsia="Times New Roman" w:cs="Times New Roman"/>
                <w:lang w:val="en-GB" w:eastAsia="en-GB"/>
              </w:rPr>
              <w:t>Layout, hinge stiffness</w:t>
            </w:r>
          </w:p>
        </w:tc>
        <w:tc>
          <w:tcPr>
            <w:tcW w:w="0" w:type="auto"/>
            <w:hideMark/>
          </w:tcPr>
          <w:p w14:paraId="5F51A93E" w14:textId="77777777" w:rsidR="006A3F51" w:rsidRPr="000C4E0D" w:rsidRDefault="006A3F51" w:rsidP="000C4E0D">
            <w:pPr>
              <w:tabs>
                <w:tab w:val="left" w:pos="2552"/>
              </w:tabs>
              <w:cnfStyle w:val="000000000000" w:firstRow="0" w:lastRow="0" w:firstColumn="0" w:lastColumn="0" w:oddVBand="0" w:evenVBand="0" w:oddHBand="0" w:evenHBand="0" w:firstRowFirstColumn="0" w:firstRowLastColumn="0" w:lastRowFirstColumn="0" w:lastRowLastColumn="0"/>
              <w:rPr>
                <w:rFonts w:eastAsia="Times New Roman" w:cs="Times New Roman"/>
                <w:lang w:val="en-GB" w:eastAsia="en-GB"/>
              </w:rPr>
            </w:pPr>
            <w:r w:rsidRPr="000C4E0D">
              <w:rPr>
                <w:rFonts w:eastAsia="Times New Roman" w:cs="Times New Roman"/>
                <w:lang w:val="en-GB" w:eastAsia="en-GB"/>
              </w:rPr>
              <w:t>Energy + stability</w:t>
            </w:r>
          </w:p>
        </w:tc>
      </w:tr>
      <w:tr w:rsidR="006A3F51" w:rsidRPr="000C4E0D" w14:paraId="75436DB6" w14:textId="77777777" w:rsidTr="0014141B">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0" w:type="auto"/>
            <w:hideMark/>
          </w:tcPr>
          <w:p w14:paraId="755A6FB1" w14:textId="77777777" w:rsidR="006A3F51" w:rsidRPr="000C4E0D" w:rsidRDefault="006A3F51" w:rsidP="000C4E0D">
            <w:pPr>
              <w:tabs>
                <w:tab w:val="left" w:pos="2552"/>
              </w:tabs>
              <w:rPr>
                <w:rFonts w:eastAsia="Times New Roman" w:cs="Times New Roman"/>
                <w:b w:val="0"/>
                <w:bCs w:val="0"/>
                <w:lang w:val="en-GB" w:eastAsia="en-GB"/>
              </w:rPr>
            </w:pPr>
            <w:r w:rsidRPr="000C4E0D">
              <w:rPr>
                <w:rFonts w:eastAsia="Times New Roman" w:cs="Times New Roman"/>
                <w:b w:val="0"/>
                <w:bCs w:val="0"/>
                <w:lang w:val="en-GB" w:eastAsia="en-GB"/>
              </w:rPr>
              <w:t>Barge</w:t>
            </w:r>
          </w:p>
        </w:tc>
        <w:tc>
          <w:tcPr>
            <w:tcW w:w="0" w:type="auto"/>
            <w:hideMark/>
          </w:tcPr>
          <w:p w14:paraId="297BDCA7" w14:textId="77777777" w:rsidR="006A3F51" w:rsidRPr="000C4E0D" w:rsidRDefault="006A3F51" w:rsidP="000C4E0D">
            <w:pPr>
              <w:tabs>
                <w:tab w:val="left" w:pos="2552"/>
              </w:tabs>
              <w:cnfStyle w:val="000000100000" w:firstRow="0" w:lastRow="0" w:firstColumn="0" w:lastColumn="0" w:oddVBand="0" w:evenVBand="0" w:oddHBand="1" w:evenHBand="0" w:firstRowFirstColumn="0" w:firstRowLastColumn="0" w:lastRowFirstColumn="0" w:lastRowLastColumn="0"/>
              <w:rPr>
                <w:rFonts w:eastAsia="Times New Roman" w:cs="Times New Roman"/>
                <w:lang w:val="en-GB" w:eastAsia="en-GB"/>
              </w:rPr>
            </w:pPr>
            <w:r w:rsidRPr="000C4E0D">
              <w:rPr>
                <w:rFonts w:eastAsia="Times New Roman" w:cs="Times New Roman"/>
                <w:lang w:val="en-GB" w:eastAsia="en-GB"/>
              </w:rPr>
              <w:t>OWC</w:t>
            </w:r>
          </w:p>
        </w:tc>
        <w:tc>
          <w:tcPr>
            <w:tcW w:w="0" w:type="auto"/>
            <w:hideMark/>
          </w:tcPr>
          <w:p w14:paraId="0FCCB62E" w14:textId="77777777" w:rsidR="006A3F51" w:rsidRPr="000C4E0D" w:rsidRDefault="006A3F51" w:rsidP="000C4E0D">
            <w:pPr>
              <w:tabs>
                <w:tab w:val="left" w:pos="2552"/>
              </w:tabs>
              <w:cnfStyle w:val="000000100000" w:firstRow="0" w:lastRow="0" w:firstColumn="0" w:lastColumn="0" w:oddVBand="0" w:evenVBand="0" w:oddHBand="1" w:evenHBand="0" w:firstRowFirstColumn="0" w:firstRowLastColumn="0" w:lastRowFirstColumn="0" w:lastRowLastColumn="0"/>
              <w:rPr>
                <w:rFonts w:eastAsia="Times New Roman" w:cs="Times New Roman"/>
                <w:lang w:val="en-GB" w:eastAsia="en-GB"/>
              </w:rPr>
            </w:pPr>
            <w:r w:rsidRPr="000C4E0D">
              <w:rPr>
                <w:rFonts w:eastAsia="Times New Roman" w:cs="Times New Roman"/>
                <w:lang w:val="en-GB" w:eastAsia="en-GB"/>
              </w:rPr>
              <w:t>Balanced</w:t>
            </w:r>
          </w:p>
        </w:tc>
        <w:tc>
          <w:tcPr>
            <w:tcW w:w="0" w:type="auto"/>
            <w:hideMark/>
          </w:tcPr>
          <w:p w14:paraId="3B75CF70" w14:textId="77777777" w:rsidR="006A3F51" w:rsidRPr="000C4E0D" w:rsidRDefault="006A3F51" w:rsidP="000C4E0D">
            <w:pPr>
              <w:tabs>
                <w:tab w:val="left" w:pos="2552"/>
              </w:tabs>
              <w:cnfStyle w:val="000000100000" w:firstRow="0" w:lastRow="0" w:firstColumn="0" w:lastColumn="0" w:oddVBand="0" w:evenVBand="0" w:oddHBand="1" w:evenHBand="0" w:firstRowFirstColumn="0" w:firstRowLastColumn="0" w:lastRowFirstColumn="0" w:lastRowLastColumn="0"/>
              <w:rPr>
                <w:rFonts w:eastAsia="Times New Roman" w:cs="Times New Roman"/>
                <w:lang w:val="en-GB" w:eastAsia="en-GB"/>
              </w:rPr>
            </w:pPr>
            <w:r w:rsidRPr="000C4E0D">
              <w:rPr>
                <w:rFonts w:eastAsia="Times New Roman" w:cs="Times New Roman"/>
                <w:lang w:val="en-GB" w:eastAsia="en-GB"/>
              </w:rPr>
              <w:t>Chamber geometry</w:t>
            </w:r>
          </w:p>
        </w:tc>
        <w:tc>
          <w:tcPr>
            <w:tcW w:w="0" w:type="auto"/>
            <w:hideMark/>
          </w:tcPr>
          <w:p w14:paraId="31A3D587" w14:textId="77777777" w:rsidR="006A3F51" w:rsidRPr="000C4E0D" w:rsidRDefault="006A3F51" w:rsidP="000C4E0D">
            <w:pPr>
              <w:tabs>
                <w:tab w:val="left" w:pos="2552"/>
              </w:tabs>
              <w:cnfStyle w:val="000000100000" w:firstRow="0" w:lastRow="0" w:firstColumn="0" w:lastColumn="0" w:oddVBand="0" w:evenVBand="0" w:oddHBand="1" w:evenHBand="0" w:firstRowFirstColumn="0" w:firstRowLastColumn="0" w:lastRowFirstColumn="0" w:lastRowLastColumn="0"/>
              <w:rPr>
                <w:rFonts w:eastAsia="Times New Roman" w:cs="Times New Roman"/>
                <w:lang w:val="en-GB" w:eastAsia="en-GB"/>
              </w:rPr>
            </w:pPr>
            <w:r w:rsidRPr="000C4E0D">
              <w:rPr>
                <w:rFonts w:eastAsia="Times New Roman" w:cs="Times New Roman"/>
                <w:lang w:val="en-GB" w:eastAsia="en-GB"/>
              </w:rPr>
              <w:t>Energy smoothing</w:t>
            </w:r>
          </w:p>
        </w:tc>
      </w:tr>
      <w:tr w:rsidR="006A3F51" w:rsidRPr="000C4E0D" w14:paraId="646631FF" w14:textId="77777777" w:rsidTr="0014141B">
        <w:trPr>
          <w:trHeight w:val="337"/>
        </w:trPr>
        <w:tc>
          <w:tcPr>
            <w:cnfStyle w:val="001000000000" w:firstRow="0" w:lastRow="0" w:firstColumn="1" w:lastColumn="0" w:oddVBand="0" w:evenVBand="0" w:oddHBand="0" w:evenHBand="0" w:firstRowFirstColumn="0" w:firstRowLastColumn="0" w:lastRowFirstColumn="0" w:lastRowLastColumn="0"/>
            <w:tcW w:w="0" w:type="auto"/>
            <w:hideMark/>
          </w:tcPr>
          <w:p w14:paraId="36D4DEDF" w14:textId="77777777" w:rsidR="006A3F51" w:rsidRPr="000C4E0D" w:rsidRDefault="006A3F51" w:rsidP="000C4E0D">
            <w:pPr>
              <w:tabs>
                <w:tab w:val="left" w:pos="2552"/>
              </w:tabs>
              <w:rPr>
                <w:rFonts w:eastAsia="Times New Roman" w:cs="Times New Roman"/>
                <w:b w:val="0"/>
                <w:bCs w:val="0"/>
                <w:lang w:val="en-GB" w:eastAsia="en-GB"/>
              </w:rPr>
            </w:pPr>
            <w:r w:rsidRPr="000C4E0D">
              <w:rPr>
                <w:rFonts w:eastAsia="Times New Roman" w:cs="Times New Roman"/>
                <w:b w:val="0"/>
                <w:bCs w:val="0"/>
                <w:lang w:val="en-GB" w:eastAsia="en-GB"/>
              </w:rPr>
              <w:t>TLP</w:t>
            </w:r>
          </w:p>
        </w:tc>
        <w:tc>
          <w:tcPr>
            <w:tcW w:w="0" w:type="auto"/>
            <w:hideMark/>
          </w:tcPr>
          <w:p w14:paraId="1F76DF50" w14:textId="77777777" w:rsidR="006A3F51" w:rsidRPr="000C4E0D" w:rsidRDefault="006A3F51" w:rsidP="000C4E0D">
            <w:pPr>
              <w:tabs>
                <w:tab w:val="left" w:pos="2552"/>
              </w:tabs>
              <w:cnfStyle w:val="000000000000" w:firstRow="0" w:lastRow="0" w:firstColumn="0" w:lastColumn="0" w:oddVBand="0" w:evenVBand="0" w:oddHBand="0" w:evenHBand="0" w:firstRowFirstColumn="0" w:firstRowLastColumn="0" w:lastRowFirstColumn="0" w:lastRowLastColumn="0"/>
              <w:rPr>
                <w:rFonts w:eastAsia="Times New Roman" w:cs="Times New Roman"/>
                <w:lang w:val="en-GB" w:eastAsia="en-GB"/>
              </w:rPr>
            </w:pPr>
            <w:r w:rsidRPr="000C4E0D">
              <w:rPr>
                <w:rFonts w:eastAsia="Times New Roman" w:cs="Times New Roman"/>
                <w:lang w:val="en-GB" w:eastAsia="en-GB"/>
              </w:rPr>
              <w:t>Submerged</w:t>
            </w:r>
          </w:p>
        </w:tc>
        <w:tc>
          <w:tcPr>
            <w:tcW w:w="0" w:type="auto"/>
            <w:hideMark/>
          </w:tcPr>
          <w:p w14:paraId="2E61D2C9" w14:textId="77777777" w:rsidR="006A3F51" w:rsidRPr="000C4E0D" w:rsidRDefault="006A3F51" w:rsidP="000C4E0D">
            <w:pPr>
              <w:tabs>
                <w:tab w:val="left" w:pos="2552"/>
              </w:tabs>
              <w:cnfStyle w:val="000000000000" w:firstRow="0" w:lastRow="0" w:firstColumn="0" w:lastColumn="0" w:oddVBand="0" w:evenVBand="0" w:oddHBand="0" w:evenHBand="0" w:firstRowFirstColumn="0" w:firstRowLastColumn="0" w:lastRowFirstColumn="0" w:lastRowLastColumn="0"/>
              <w:rPr>
                <w:rFonts w:eastAsia="Times New Roman" w:cs="Times New Roman"/>
                <w:lang w:val="en-GB" w:eastAsia="en-GB"/>
              </w:rPr>
            </w:pPr>
            <w:r w:rsidRPr="000C4E0D">
              <w:rPr>
                <w:rFonts w:eastAsia="Times New Roman" w:cs="Times New Roman"/>
                <w:lang w:val="en-GB" w:eastAsia="en-GB"/>
              </w:rPr>
              <w:t>Wind-dominated</w:t>
            </w:r>
          </w:p>
        </w:tc>
        <w:tc>
          <w:tcPr>
            <w:tcW w:w="0" w:type="auto"/>
            <w:hideMark/>
          </w:tcPr>
          <w:p w14:paraId="79E030DF" w14:textId="77777777" w:rsidR="006A3F51" w:rsidRPr="000C4E0D" w:rsidRDefault="006A3F51" w:rsidP="000C4E0D">
            <w:pPr>
              <w:tabs>
                <w:tab w:val="left" w:pos="2552"/>
              </w:tabs>
              <w:cnfStyle w:val="000000000000" w:firstRow="0" w:lastRow="0" w:firstColumn="0" w:lastColumn="0" w:oddVBand="0" w:evenVBand="0" w:oddHBand="0" w:evenHBand="0" w:firstRowFirstColumn="0" w:firstRowLastColumn="0" w:lastRowFirstColumn="0" w:lastRowLastColumn="0"/>
              <w:rPr>
                <w:rFonts w:eastAsia="Times New Roman" w:cs="Times New Roman"/>
                <w:lang w:val="en-GB" w:eastAsia="en-GB"/>
              </w:rPr>
            </w:pPr>
            <w:r w:rsidRPr="000C4E0D">
              <w:rPr>
                <w:rFonts w:eastAsia="Times New Roman" w:cs="Times New Roman"/>
                <w:lang w:val="en-GB" w:eastAsia="en-GB"/>
              </w:rPr>
              <w:t>Tendon stiffness</w:t>
            </w:r>
          </w:p>
        </w:tc>
        <w:tc>
          <w:tcPr>
            <w:tcW w:w="0" w:type="auto"/>
            <w:hideMark/>
          </w:tcPr>
          <w:p w14:paraId="28BFE2A2" w14:textId="77777777" w:rsidR="006A3F51" w:rsidRPr="000C4E0D" w:rsidRDefault="006A3F51" w:rsidP="000C4E0D">
            <w:pPr>
              <w:tabs>
                <w:tab w:val="left" w:pos="2552"/>
              </w:tabs>
              <w:cnfStyle w:val="000000000000" w:firstRow="0" w:lastRow="0" w:firstColumn="0" w:lastColumn="0" w:oddVBand="0" w:evenVBand="0" w:oddHBand="0" w:evenHBand="0" w:firstRowFirstColumn="0" w:firstRowLastColumn="0" w:lastRowFirstColumn="0" w:lastRowLastColumn="0"/>
              <w:rPr>
                <w:rFonts w:eastAsia="Times New Roman" w:cs="Times New Roman"/>
                <w:lang w:val="en-GB" w:eastAsia="en-GB"/>
              </w:rPr>
            </w:pPr>
            <w:r w:rsidRPr="000C4E0D">
              <w:rPr>
                <w:rFonts w:eastAsia="Times New Roman" w:cs="Times New Roman"/>
                <w:lang w:val="en-GB" w:eastAsia="en-GB"/>
              </w:rPr>
              <w:t>Load minimization</w:t>
            </w:r>
          </w:p>
        </w:tc>
      </w:tr>
    </w:tbl>
    <w:p w14:paraId="35F58262" w14:textId="36EB082C" w:rsidR="00AA2BE5" w:rsidRPr="000C4E0D" w:rsidRDefault="00AA2BE5" w:rsidP="000C4E0D">
      <w:pPr>
        <w:pStyle w:val="font-claude-response-body"/>
        <w:tabs>
          <w:tab w:val="left" w:pos="2552"/>
        </w:tabs>
        <w:ind w:left="2552"/>
        <w:jc w:val="both"/>
        <w:rPr>
          <w:rFonts w:ascii="Palatino Linotype" w:hAnsi="Palatino Linotype"/>
          <w:sz w:val="20"/>
          <w:szCs w:val="20"/>
        </w:rPr>
      </w:pPr>
      <w:r w:rsidRPr="004B2EBA">
        <w:rPr>
          <w:rFonts w:ascii="Palatino Linotype" w:hAnsi="Palatino Linotype"/>
          <w:b/>
          <w:bCs/>
          <w:sz w:val="20"/>
          <w:szCs w:val="20"/>
        </w:rPr>
        <w:t>Table 1.</w:t>
      </w:r>
      <w:r w:rsidRPr="000C4E0D">
        <w:rPr>
          <w:rFonts w:ascii="Palatino Linotype" w:hAnsi="Palatino Linotype"/>
          <w:sz w:val="20"/>
          <w:szCs w:val="20"/>
        </w:rPr>
        <w:t xml:space="preserve"> Three-axis classification of hybrid wave–wind platforms </w:t>
      </w:r>
    </w:p>
    <w:p w14:paraId="205C4434" w14:textId="77777777" w:rsidR="006A3F51" w:rsidRPr="000C4E0D" w:rsidRDefault="006A3F51" w:rsidP="000C4E0D">
      <w:pPr>
        <w:tabs>
          <w:tab w:val="left" w:pos="2552"/>
        </w:tabs>
        <w:ind w:left="2552"/>
        <w:rPr>
          <w:rStyle w:val="Strong"/>
          <w:b w:val="0"/>
          <w:bCs w:val="0"/>
          <w:color w:val="000000" w:themeColor="text1"/>
        </w:rPr>
      </w:pPr>
    </w:p>
    <w:p w14:paraId="66DE3F5B" w14:textId="2BFCE7FB" w:rsidR="00B70F48" w:rsidRPr="004B2EBA" w:rsidRDefault="00B70F48" w:rsidP="000C4E0D">
      <w:pPr>
        <w:tabs>
          <w:tab w:val="left" w:pos="2552"/>
        </w:tabs>
        <w:ind w:left="2552"/>
        <w:rPr>
          <w:rStyle w:val="Strong"/>
          <w:color w:val="000000" w:themeColor="text1"/>
          <w:sz w:val="24"/>
          <w:szCs w:val="24"/>
        </w:rPr>
      </w:pPr>
      <w:r w:rsidRPr="004B2EBA">
        <w:rPr>
          <w:rStyle w:val="Strong"/>
          <w:color w:val="000000" w:themeColor="text1"/>
          <w:sz w:val="24"/>
          <w:szCs w:val="24"/>
        </w:rPr>
        <w:t>2.2 Classification by Wave Energy Integration Approach</w:t>
      </w:r>
    </w:p>
    <w:p w14:paraId="2E935208" w14:textId="07E55B2A" w:rsidR="00B70F48" w:rsidRPr="000C4E0D" w:rsidRDefault="00B70F48" w:rsidP="000C4E0D">
      <w:pPr>
        <w:tabs>
          <w:tab w:val="left" w:pos="2552"/>
        </w:tabs>
        <w:ind w:left="2552"/>
      </w:pPr>
      <w:r w:rsidRPr="000C4E0D">
        <w:t xml:space="preserve">In addition to platform type, hybrid wave–wind concepts can be classified according to the type of wave energy converter integrated into the floating system [23,24]. This classification captures differences in hydrodynamic behavior, power conversion mechanism, structural complexity, and optimization potential that are not fully reflected by platform geometry alone [16,17]. The three principal WEC integration categories identified in the literature are point absorbers, oscillating water columns, and oscillating flaps and bodies. </w:t>
      </w:r>
      <w:r w:rsidR="00CE29B1" w:rsidRPr="00CE29B1">
        <w:t>Overtopping devices are discussed separately at the close of this section, as their structural and operational characteristics make them more appropriately classified by platform geometry than by WEC type [55–57].</w:t>
      </w:r>
    </w:p>
    <w:p w14:paraId="688289DD" w14:textId="77777777" w:rsidR="00CF5E54" w:rsidRPr="000C4E0D" w:rsidRDefault="00CF5E54" w:rsidP="004B2EBA">
      <w:pPr>
        <w:tabs>
          <w:tab w:val="left" w:pos="2552"/>
        </w:tabs>
        <w:rPr>
          <w:rStyle w:val="Strong"/>
          <w:b w:val="0"/>
          <w:bCs w:val="0"/>
          <w:color w:val="000000" w:themeColor="text1"/>
          <w:sz w:val="24"/>
          <w:szCs w:val="24"/>
        </w:rPr>
      </w:pPr>
    </w:p>
    <w:p w14:paraId="64BECBA7" w14:textId="3ED4104F" w:rsidR="00B70F48" w:rsidRPr="004B2EBA" w:rsidRDefault="00B70F48" w:rsidP="000C4E0D">
      <w:pPr>
        <w:tabs>
          <w:tab w:val="left" w:pos="2552"/>
        </w:tabs>
        <w:ind w:left="2552"/>
        <w:rPr>
          <w:sz w:val="24"/>
          <w:szCs w:val="24"/>
        </w:rPr>
      </w:pPr>
      <w:r w:rsidRPr="004B2EBA">
        <w:rPr>
          <w:rStyle w:val="Strong"/>
          <w:color w:val="000000" w:themeColor="text1"/>
          <w:sz w:val="24"/>
          <w:szCs w:val="24"/>
        </w:rPr>
        <w:t>2.2.1 Point absorber integration</w:t>
      </w:r>
    </w:p>
    <w:p w14:paraId="0701F406" w14:textId="0045DC22" w:rsidR="00B70F48" w:rsidRPr="00AD6CB0" w:rsidRDefault="00B70F48" w:rsidP="000C4E0D">
      <w:pPr>
        <w:tabs>
          <w:tab w:val="left" w:pos="2552"/>
        </w:tabs>
        <w:ind w:left="2552"/>
        <w:rPr>
          <w:rStyle w:val="Strong"/>
          <w:b w:val="0"/>
          <w:bCs w:val="0"/>
          <w:color w:val="000000" w:themeColor="text1"/>
        </w:rPr>
      </w:pPr>
      <w:r w:rsidRPr="00AD6CB0">
        <w:rPr>
          <w:color w:val="000000" w:themeColor="text1"/>
        </w:rPr>
        <w:t xml:space="preserve">Point absorber wave energy converters are compact devices that extract energy from the relative motion between a floating body and the surrounding water [41]. In hybrid systems, they are often attached to the platform or distributed around its perimeter [42]. </w:t>
      </w:r>
      <w:r w:rsidR="00C746DA" w:rsidRPr="00AD6CB0">
        <w:rPr>
          <w:color w:val="000000" w:themeColor="text1"/>
        </w:rPr>
        <w:t xml:space="preserve">Their modular nature makes them attractive for hybrid applications, though their performance is highly sensitive to tuning and control strategies [41,43]. Research by </w:t>
      </w:r>
      <w:proofErr w:type="spellStart"/>
      <w:r w:rsidR="00C746DA" w:rsidRPr="00AD6CB0">
        <w:rPr>
          <w:color w:val="000000" w:themeColor="text1"/>
        </w:rPr>
        <w:t>Muliawan</w:t>
      </w:r>
      <w:proofErr w:type="spellEnd"/>
      <w:r w:rsidR="00C746DA" w:rsidRPr="00AD6CB0">
        <w:rPr>
          <w:color w:val="000000" w:themeColor="text1"/>
        </w:rPr>
        <w:t xml:space="preserve"> et al. demonstrated that point absorber integration could reduce platform pitch motions under selected sea states [41,43]</w:t>
      </w:r>
      <w:r w:rsidRPr="00AD6CB0">
        <w:rPr>
          <w:color w:val="000000" w:themeColor="text1"/>
        </w:rPr>
        <w:t xml:space="preserve">, </w:t>
      </w:r>
      <w:r w:rsidR="0020022D" w:rsidRPr="00AD6CB0">
        <w:rPr>
          <w:color w:val="000000" w:themeColor="text1"/>
        </w:rPr>
        <w:t xml:space="preserve">while numerical studies by Hu et al. have shown that the optimal design and performance of WECs integrated with floating wind platforms depend strongly on PTO-related parameters and system-level coupling effects [63]. </w:t>
      </w:r>
      <w:r w:rsidRPr="00AD6CB0">
        <w:rPr>
          <w:color w:val="000000" w:themeColor="text1"/>
        </w:rPr>
        <w:t xml:space="preserve">Experimental investigations by </w:t>
      </w:r>
      <w:proofErr w:type="spellStart"/>
      <w:r w:rsidRPr="00AD6CB0">
        <w:rPr>
          <w:color w:val="000000" w:themeColor="text1"/>
        </w:rPr>
        <w:t>Kamarlouei</w:t>
      </w:r>
      <w:proofErr w:type="spellEnd"/>
      <w:r w:rsidRPr="00AD6CB0">
        <w:rPr>
          <w:color w:val="000000" w:themeColor="text1"/>
        </w:rPr>
        <w:t xml:space="preserve"> et al. further confirmed that concentrically arranged point absorbers on a floating offshore platform can improve both energy capture and motion damping simultaneously, provided spatial arrangement and PTO parameters are jointly optimized [</w:t>
      </w:r>
      <w:r w:rsidR="00A8433D" w:rsidRPr="00AD6CB0">
        <w:rPr>
          <w:color w:val="000000" w:themeColor="text1"/>
        </w:rPr>
        <w:t>61</w:t>
      </w:r>
      <w:r w:rsidRPr="00AD6CB0">
        <w:rPr>
          <w:color w:val="000000" w:themeColor="text1"/>
        </w:rPr>
        <w:t xml:space="preserve">]. </w:t>
      </w:r>
      <w:r w:rsidR="00507734" w:rsidRPr="00AD6CB0">
        <w:rPr>
          <w:color w:val="000000" w:themeColor="text1"/>
        </w:rPr>
        <w:t xml:space="preserve">The </w:t>
      </w:r>
      <w:r w:rsidR="00507734" w:rsidRPr="00AD6CB0">
        <w:rPr>
          <w:color w:val="000000" w:themeColor="text1"/>
        </w:rPr>
        <w:lastRenderedPageBreak/>
        <w:t xml:space="preserve">Portuguese Pilot Zone has provided an important test and demonstration context for wave energy technologies, offering operational experience relevant to future hybrid integration strategies [44]. </w:t>
      </w:r>
      <w:r w:rsidR="00EF5D5A" w:rsidRPr="00AD6CB0">
        <w:rPr>
          <w:color w:val="000000" w:themeColor="text1"/>
        </w:rPr>
        <w:t>In terms of energy dominance, point absorber hybrids are predominantly wind-dominated, with wave energy generally acting as a supplementary contribution to the overall hybrid system output, depending on site conditions, WEC sizing, and the number of WEC units deployed [16]</w:t>
      </w:r>
      <w:r w:rsidRPr="00AD6CB0">
        <w:rPr>
          <w:color w:val="000000" w:themeColor="text1"/>
        </w:rPr>
        <w:t>.</w:t>
      </w:r>
    </w:p>
    <w:p w14:paraId="70FB4752" w14:textId="77777777" w:rsidR="00B70F48" w:rsidRPr="000C4E0D" w:rsidRDefault="00B70F48" w:rsidP="000C4E0D">
      <w:pPr>
        <w:tabs>
          <w:tab w:val="left" w:pos="2552"/>
        </w:tabs>
        <w:ind w:left="2552"/>
        <w:rPr>
          <w:rStyle w:val="Strong"/>
          <w:b w:val="0"/>
          <w:bCs w:val="0"/>
          <w:color w:val="000000" w:themeColor="text1"/>
        </w:rPr>
      </w:pPr>
    </w:p>
    <w:p w14:paraId="72EBF704" w14:textId="77777777" w:rsidR="00B70F48" w:rsidRPr="004B2EBA" w:rsidRDefault="00B70F48" w:rsidP="000C4E0D">
      <w:pPr>
        <w:tabs>
          <w:tab w:val="left" w:pos="2552"/>
        </w:tabs>
        <w:ind w:left="2552"/>
        <w:rPr>
          <w:sz w:val="24"/>
          <w:szCs w:val="24"/>
        </w:rPr>
      </w:pPr>
      <w:r w:rsidRPr="004B2EBA">
        <w:rPr>
          <w:rStyle w:val="Strong"/>
          <w:color w:val="000000" w:themeColor="text1"/>
          <w:sz w:val="24"/>
          <w:szCs w:val="24"/>
        </w:rPr>
        <w:t>2.2.2 Oscillating Water Columns (OWCs)</w:t>
      </w:r>
    </w:p>
    <w:p w14:paraId="2E2FF9FC" w14:textId="45F3E299" w:rsidR="00B70F48" w:rsidRPr="00AD6CB0" w:rsidRDefault="00B70F48" w:rsidP="00AD6CB0">
      <w:pPr>
        <w:pStyle w:val="font-claude-response-body"/>
        <w:tabs>
          <w:tab w:val="left" w:pos="2552"/>
        </w:tabs>
        <w:ind w:left="2552"/>
        <w:jc w:val="both"/>
        <w:rPr>
          <w:rFonts w:ascii="Palatino Linotype" w:hAnsi="Palatino Linotype"/>
          <w:color w:val="000000" w:themeColor="text1"/>
          <w:sz w:val="20"/>
          <w:szCs w:val="20"/>
        </w:rPr>
      </w:pPr>
      <w:r w:rsidRPr="00AD6CB0">
        <w:rPr>
          <w:rFonts w:ascii="Palatino Linotype" w:hAnsi="Palatino Linotype"/>
          <w:color w:val="000000" w:themeColor="text1"/>
          <w:sz w:val="20"/>
          <w:szCs w:val="20"/>
        </w:rPr>
        <w:t xml:space="preserve">OWCs capture wave energy through the oscillation of an internal water column within a partially submerged chamber [46]. When integrated into a floating wind platform, OWCs offer the advantage of protected power take-off systems and reduced exposure to harsh marine conditions [47]. </w:t>
      </w:r>
      <w:r w:rsidR="00EF6E43" w:rsidRPr="00AD6CB0">
        <w:rPr>
          <w:rFonts w:ascii="Palatino Linotype" w:hAnsi="Palatino Linotype"/>
          <w:color w:val="000000" w:themeColor="text1"/>
          <w:sz w:val="20"/>
          <w:szCs w:val="20"/>
        </w:rPr>
        <w:t>However, their performance depends strongly on chamber geometry and wave climate, making site-specific optimization of chamber dimensions — including width, lip draft, and internal air volume — essential for achieving acceptable annual energy yields [45,49,109]. The Ocean Energy OWC buoy demonstration has provided operational experience for floating OWC technology at the U.S. Navy Wave Energy Test Site [48]</w:t>
      </w:r>
      <w:r w:rsidRPr="00AD6CB0">
        <w:rPr>
          <w:rFonts w:ascii="Palatino Linotype" w:hAnsi="Palatino Linotype"/>
          <w:color w:val="000000" w:themeColor="text1"/>
          <w:sz w:val="20"/>
          <w:szCs w:val="20"/>
        </w:rPr>
        <w:t xml:space="preserve">, </w:t>
      </w:r>
      <w:r w:rsidR="00434DE5" w:rsidRPr="00AF09A8">
        <w:rPr>
          <w:rFonts w:ascii="Palatino Linotype" w:hAnsi="Palatino Linotype"/>
          <w:color w:val="000000" w:themeColor="text1"/>
          <w:sz w:val="20"/>
          <w:szCs w:val="20"/>
        </w:rPr>
        <w:t>while numerical studies by Pols et al. have analysed the mooring behaviour and dynamic response of a floating OWC wave energy converter, showing that floating OWC design must account for coupled hydrodynamic response and station-keeping performance [49]</w:t>
      </w:r>
      <w:r w:rsidRPr="00AF09A8">
        <w:rPr>
          <w:rFonts w:ascii="Palatino Linotype" w:hAnsi="Palatino Linotype"/>
          <w:color w:val="000000" w:themeColor="text1"/>
          <w:sz w:val="20"/>
          <w:szCs w:val="20"/>
        </w:rPr>
        <w:t xml:space="preserve">. </w:t>
      </w:r>
      <w:r w:rsidR="00D702BA" w:rsidRPr="00AD6CB0">
        <w:rPr>
          <w:rFonts w:ascii="Palatino Linotype" w:hAnsi="Palatino Linotype"/>
          <w:color w:val="000000" w:themeColor="text1"/>
          <w:sz w:val="20"/>
          <w:szCs w:val="20"/>
        </w:rPr>
        <w:t xml:space="preserve">Experimental work by </w:t>
      </w:r>
      <w:proofErr w:type="spellStart"/>
      <w:r w:rsidR="00D702BA" w:rsidRPr="00AD6CB0">
        <w:rPr>
          <w:rFonts w:ascii="Palatino Linotype" w:hAnsi="Palatino Linotype"/>
          <w:color w:val="000000" w:themeColor="text1"/>
          <w:sz w:val="20"/>
          <w:szCs w:val="20"/>
        </w:rPr>
        <w:t>Elhanafi</w:t>
      </w:r>
      <w:proofErr w:type="spellEnd"/>
      <w:r w:rsidR="00D702BA" w:rsidRPr="00AD6CB0">
        <w:rPr>
          <w:rFonts w:ascii="Palatino Linotype" w:hAnsi="Palatino Linotype"/>
          <w:color w:val="000000" w:themeColor="text1"/>
          <w:sz w:val="20"/>
          <w:szCs w:val="20"/>
        </w:rPr>
        <w:t xml:space="preserve"> et al. [68] and Xu et al. [94] has further characterised the hydrodynamic response and efficiency of offshore and floating OWC configurations under wave loading, while Zheng et al. investigated wave power extraction from an oscillating water column integrated into a tubular structure using potential-flow-based modelling [64]</w:t>
      </w:r>
      <w:r w:rsidR="00B632E9" w:rsidRPr="00AD6CB0">
        <w:rPr>
          <w:rFonts w:ascii="Palatino Linotype" w:hAnsi="Palatino Linotype"/>
          <w:color w:val="000000" w:themeColor="text1"/>
          <w:sz w:val="20"/>
          <w:szCs w:val="20"/>
        </w:rPr>
        <w:t xml:space="preserve">. </w:t>
      </w:r>
      <w:r w:rsidR="00A001F2" w:rsidRPr="00AD6CB0">
        <w:rPr>
          <w:rFonts w:ascii="Palatino Linotype" w:hAnsi="Palatino Linotype"/>
          <w:color w:val="000000" w:themeColor="text1"/>
          <w:sz w:val="20"/>
          <w:szCs w:val="20"/>
        </w:rPr>
        <w:t xml:space="preserve">Studies by Falcão and Henriques have shown that OWC performance depends strongly on chamber resonance, air-turbine behaviour, and power take-off control, while comparative studies of self-rectifying air turbines highlight the importance of turbine selection for maintaining efficiency across variable sea states [45,67]. </w:t>
      </w:r>
      <w:r w:rsidRPr="00AD6CB0">
        <w:rPr>
          <w:rFonts w:ascii="Palatino Linotype" w:hAnsi="Palatino Linotype"/>
          <w:color w:val="000000" w:themeColor="text1"/>
          <w:sz w:val="20"/>
          <w:szCs w:val="20"/>
        </w:rPr>
        <w:t>OWC-integrated hybrid concepts therefore tend toward the balanced energy dominance category, particularly in energetic wave climates [</w:t>
      </w:r>
      <w:r w:rsidR="00A9390E" w:rsidRPr="00AD6CB0">
        <w:rPr>
          <w:rFonts w:ascii="Palatino Linotype" w:hAnsi="Palatino Linotype"/>
          <w:color w:val="000000" w:themeColor="text1"/>
          <w:sz w:val="20"/>
          <w:szCs w:val="20"/>
        </w:rPr>
        <w:t>14,</w:t>
      </w:r>
      <w:r w:rsidRPr="00AD6CB0">
        <w:rPr>
          <w:rFonts w:ascii="Palatino Linotype" w:hAnsi="Palatino Linotype"/>
          <w:color w:val="000000" w:themeColor="text1"/>
          <w:sz w:val="20"/>
          <w:szCs w:val="20"/>
        </w:rPr>
        <w:t>21].</w:t>
      </w:r>
    </w:p>
    <w:p w14:paraId="01960D38" w14:textId="77777777" w:rsidR="00B70F48" w:rsidRPr="004B2EBA" w:rsidRDefault="00B70F48" w:rsidP="000C4E0D">
      <w:pPr>
        <w:tabs>
          <w:tab w:val="left" w:pos="2552"/>
        </w:tabs>
        <w:ind w:left="2552"/>
        <w:rPr>
          <w:sz w:val="24"/>
          <w:szCs w:val="24"/>
        </w:rPr>
      </w:pPr>
      <w:r w:rsidRPr="004B2EBA">
        <w:rPr>
          <w:rStyle w:val="Strong"/>
          <w:color w:val="000000" w:themeColor="text1"/>
          <w:sz w:val="24"/>
          <w:szCs w:val="24"/>
        </w:rPr>
        <w:t>2.2.3 Oscillating flaps and bodies</w:t>
      </w:r>
    </w:p>
    <w:p w14:paraId="263AD254" w14:textId="743EEF35" w:rsidR="00586A94" w:rsidRPr="00AD6CB0" w:rsidRDefault="00B70F48" w:rsidP="000C4E0D">
      <w:pPr>
        <w:pStyle w:val="font-claude-response-body"/>
        <w:spacing w:before="0" w:beforeAutospacing="0" w:after="0" w:afterAutospacing="0"/>
        <w:ind w:left="2552"/>
        <w:jc w:val="both"/>
        <w:rPr>
          <w:rFonts w:ascii="Palatino Linotype" w:hAnsi="Palatino Linotype" w:cstheme="majorBidi"/>
          <w:color w:val="000000" w:themeColor="text1"/>
        </w:rPr>
      </w:pPr>
      <w:r w:rsidRPr="00AD6CB0">
        <w:rPr>
          <w:rFonts w:ascii="Palatino Linotype" w:hAnsi="Palatino Linotype"/>
          <w:color w:val="000000" w:themeColor="text1"/>
          <w:sz w:val="20"/>
        </w:rPr>
        <w:t xml:space="preserve">Flap-type or oscillating body WECs extract energy from rotational or translational motion induced by waves [51]. These devices can generate significant hydrodynamic forces and potentially provide strong damping to platform motions [52]. </w:t>
      </w:r>
      <w:r w:rsidR="005C0E91" w:rsidRPr="00AD6CB0">
        <w:rPr>
          <w:rFonts w:ascii="Palatino Linotype" w:hAnsi="Palatino Linotype"/>
          <w:color w:val="000000" w:themeColor="text1"/>
          <w:sz w:val="20"/>
        </w:rPr>
        <w:t>Nevertheless, they introduce additional hydrodynamic loading and modelling complexity, which must be carefully managed in hybrid configurations [95,102].</w:t>
      </w:r>
      <w:r w:rsidRPr="00AD6CB0">
        <w:rPr>
          <w:rFonts w:ascii="Palatino Linotype" w:hAnsi="Palatino Linotype"/>
          <w:color w:val="000000" w:themeColor="text1"/>
          <w:sz w:val="20"/>
        </w:rPr>
        <w:t xml:space="preserve"> The Oyster system by Aquamarine Power demonstrated the high energy capture potential of flap-type devices, achieving capture widths </w:t>
      </w:r>
      <w:r w:rsidRPr="00AD6CB0">
        <w:rPr>
          <w:rFonts w:ascii="Palatino Linotype" w:hAnsi="Palatino Linotype"/>
          <w:color w:val="000000" w:themeColor="text1"/>
          <w:sz w:val="20"/>
        </w:rPr>
        <w:lastRenderedPageBreak/>
        <w:t xml:space="preserve">exceeding 50% in controlled </w:t>
      </w:r>
      <w:proofErr w:type="gramStart"/>
      <w:r w:rsidRPr="00AD6CB0">
        <w:rPr>
          <w:rFonts w:ascii="Palatino Linotype" w:hAnsi="Palatino Linotype"/>
          <w:color w:val="000000" w:themeColor="text1"/>
          <w:sz w:val="20"/>
        </w:rPr>
        <w:t>tests [</w:t>
      </w:r>
      <w:r w:rsidR="00A8433D" w:rsidRPr="00AD6CB0">
        <w:rPr>
          <w:rFonts w:ascii="Palatino Linotype" w:hAnsi="Palatino Linotype"/>
          <w:color w:val="000000" w:themeColor="text1"/>
          <w:sz w:val="20"/>
        </w:rPr>
        <w:t>53</w:t>
      </w:r>
      <w:r w:rsidRPr="00AD6CB0">
        <w:rPr>
          <w:rFonts w:ascii="Palatino Linotype" w:hAnsi="Palatino Linotype"/>
          <w:color w:val="000000" w:themeColor="text1"/>
          <w:sz w:val="20"/>
        </w:rPr>
        <w:t>], and</w:t>
      </w:r>
      <w:proofErr w:type="gramEnd"/>
      <w:r w:rsidRPr="00AD6CB0">
        <w:rPr>
          <w:rFonts w:ascii="Palatino Linotype" w:hAnsi="Palatino Linotype"/>
          <w:color w:val="000000" w:themeColor="text1"/>
          <w:sz w:val="20"/>
        </w:rPr>
        <w:t xml:space="preserve"> provided substantial operational experience regarding hinge mechanism reliability and hydraulic PTO maintenance requirements that is directly relevant to hybrid platform design [</w:t>
      </w:r>
      <w:r w:rsidR="00653745" w:rsidRPr="00AD6CB0">
        <w:rPr>
          <w:rFonts w:ascii="Palatino Linotype" w:hAnsi="Palatino Linotype"/>
          <w:color w:val="000000" w:themeColor="text1"/>
          <w:sz w:val="20"/>
        </w:rPr>
        <w:t>15</w:t>
      </w:r>
      <w:r w:rsidRPr="00AD6CB0">
        <w:rPr>
          <w:rFonts w:ascii="Palatino Linotype" w:hAnsi="Palatino Linotype"/>
          <w:color w:val="000000" w:themeColor="text1"/>
          <w:sz w:val="20"/>
        </w:rPr>
        <w:t>,</w:t>
      </w:r>
      <w:r w:rsidR="00E46BD9" w:rsidRPr="00AD6CB0">
        <w:rPr>
          <w:rFonts w:ascii="Palatino Linotype" w:hAnsi="Palatino Linotype"/>
          <w:color w:val="000000" w:themeColor="text1"/>
          <w:sz w:val="20"/>
        </w:rPr>
        <w:t>102</w:t>
      </w:r>
      <w:r w:rsidRPr="00AD6CB0">
        <w:rPr>
          <w:rFonts w:ascii="Palatino Linotype" w:hAnsi="Palatino Linotype"/>
          <w:color w:val="000000" w:themeColor="text1"/>
          <w:sz w:val="20"/>
        </w:rPr>
        <w:t xml:space="preserve">]. </w:t>
      </w:r>
      <w:r w:rsidR="00DF2D1A" w:rsidRPr="00AD6CB0">
        <w:rPr>
          <w:rFonts w:ascii="Palatino Linotype" w:hAnsi="Palatino Linotype"/>
          <w:color w:val="000000" w:themeColor="text1"/>
          <w:sz w:val="20"/>
        </w:rPr>
        <w:t xml:space="preserve">Recent hybrid concepts have adapted this technology for integration with floating wind platforms, with studies by </w:t>
      </w:r>
      <w:proofErr w:type="spellStart"/>
      <w:r w:rsidR="00DF2D1A" w:rsidRPr="00AD6CB0">
        <w:rPr>
          <w:rFonts w:ascii="Palatino Linotype" w:hAnsi="Palatino Linotype"/>
          <w:color w:val="000000" w:themeColor="text1"/>
          <w:sz w:val="20"/>
        </w:rPr>
        <w:t>Michailides</w:t>
      </w:r>
      <w:proofErr w:type="spellEnd"/>
      <w:r w:rsidR="00DF2D1A" w:rsidRPr="00AD6CB0">
        <w:rPr>
          <w:rFonts w:ascii="Palatino Linotype" w:hAnsi="Palatino Linotype"/>
          <w:color w:val="000000" w:themeColor="text1"/>
          <w:sz w:val="20"/>
        </w:rPr>
        <w:t xml:space="preserve"> et al. examining the response of flap-type WECs attached to semi-submersible floating wind turbine concepts under operational conditions [54]</w:t>
      </w:r>
      <w:r w:rsidRPr="00AD6CB0">
        <w:rPr>
          <w:rFonts w:ascii="Palatino Linotype" w:hAnsi="Palatino Linotype"/>
          <w:color w:val="000000" w:themeColor="text1"/>
          <w:sz w:val="20"/>
        </w:rPr>
        <w:t xml:space="preserve">. </w:t>
      </w:r>
      <w:r w:rsidR="007B18D7" w:rsidRPr="00AD6CB0">
        <w:rPr>
          <w:rStyle w:val="HTMLCode"/>
          <w:rFonts w:ascii="Palatino Linotype" w:hAnsi="Palatino Linotype" w:cstheme="majorBidi"/>
          <w:color w:val="000000" w:themeColor="text1"/>
        </w:rPr>
        <w:t xml:space="preserve">Research by </w:t>
      </w:r>
      <w:proofErr w:type="spellStart"/>
      <w:r w:rsidR="00CF5E54" w:rsidRPr="00AD6CB0">
        <w:rPr>
          <w:rStyle w:val="HTMLCode"/>
          <w:rFonts w:ascii="Palatino Linotype" w:hAnsi="Palatino Linotype" w:cstheme="majorBidi"/>
          <w:color w:val="000000" w:themeColor="text1"/>
        </w:rPr>
        <w:t>Michailides</w:t>
      </w:r>
      <w:proofErr w:type="spellEnd"/>
      <w:r w:rsidR="007B18D7" w:rsidRPr="00AD6CB0">
        <w:rPr>
          <w:rStyle w:val="HTMLCode"/>
          <w:rFonts w:ascii="Palatino Linotype" w:hAnsi="Palatino Linotype" w:cstheme="majorBidi"/>
          <w:color w:val="000000" w:themeColor="text1"/>
        </w:rPr>
        <w:t xml:space="preserve"> on the SFC concept has </w:t>
      </w:r>
      <w:r w:rsidR="004B2EBA" w:rsidRPr="00AD6CB0">
        <w:rPr>
          <w:rStyle w:val="HTMLCode"/>
          <w:rFonts w:ascii="Palatino Linotype" w:hAnsi="Palatino Linotype" w:cstheme="majorBidi"/>
          <w:color w:val="000000" w:themeColor="text1"/>
        </w:rPr>
        <w:t xml:space="preserve">demonstrated </w:t>
      </w:r>
      <w:r w:rsidR="004B2EBA" w:rsidRPr="00AD6CB0">
        <w:rPr>
          <w:rFonts w:ascii="Palatino Linotype" w:hAnsi="Palatino Linotype" w:cstheme="majorBidi"/>
          <w:color w:val="000000" w:themeColor="text1"/>
          <w:sz w:val="20"/>
          <w:szCs w:val="20"/>
        </w:rPr>
        <w:t>that</w:t>
      </w:r>
      <w:r w:rsidR="00586A94" w:rsidRPr="00AD6CB0">
        <w:rPr>
          <w:rFonts w:ascii="Palatino Linotype" w:hAnsi="Palatino Linotype" w:cstheme="majorBidi"/>
          <w:color w:val="000000" w:themeColor="text1"/>
          <w:sz w:val="20"/>
          <w:szCs w:val="20"/>
        </w:rPr>
        <w:t xml:space="preserve"> flap-type integration can reduce platform pitch by up to 40% while simultaneously increasing tower base bending moments by 15–20%, highlighting the fundamental trade-off between motion control effectiveness and structural demand that characterizes this WEC category [96]. </w:t>
      </w:r>
      <w:r w:rsidR="00C506D4" w:rsidRPr="00AF09A8">
        <w:rPr>
          <w:rFonts w:ascii="Palatino Linotype" w:hAnsi="Palatino Linotype" w:cstheme="majorBidi"/>
          <w:color w:val="000000" w:themeColor="text1"/>
          <w:sz w:val="20"/>
          <w:szCs w:val="20"/>
        </w:rPr>
        <w:t>Nonlinear modelling studies reviewed by Penalba et al. highlight that flap-type and other WEC systems can exhibit strongly nonlinear hydrodynamic behaviour, reinforcing the need for optimization approaches that account for both energy capture and structural response [70].</w:t>
      </w:r>
      <w:r w:rsidR="00586A94" w:rsidRPr="00AF09A8">
        <w:rPr>
          <w:rFonts w:ascii="Palatino Linotype" w:hAnsi="Palatino Linotype" w:cstheme="majorBidi"/>
          <w:color w:val="000000" w:themeColor="text1"/>
          <w:sz w:val="20"/>
          <w:szCs w:val="20"/>
        </w:rPr>
        <w:t xml:space="preserve"> </w:t>
      </w:r>
      <w:r w:rsidR="00D52E91" w:rsidRPr="00AD6CB0">
        <w:rPr>
          <w:rFonts w:ascii="Palatino Linotype" w:hAnsi="Palatino Linotype" w:cstheme="majorBidi"/>
          <w:color w:val="000000" w:themeColor="text1"/>
          <w:sz w:val="20"/>
          <w:szCs w:val="20"/>
        </w:rPr>
        <w:t xml:space="preserve">Control and performance considerations for oscillating surge and flap-type devices have been explored by Folley et al. and Whittaker and Folley, with emphasis on how water depth, sea state, and device motion influence energy capture and operational constraints [69,72]. </w:t>
      </w:r>
      <w:r w:rsidR="00586A94" w:rsidRPr="00AD6CB0">
        <w:rPr>
          <w:rFonts w:ascii="Palatino Linotype" w:hAnsi="Palatino Linotype" w:cstheme="majorBidi"/>
          <w:color w:val="000000" w:themeColor="text1"/>
          <w:sz w:val="20"/>
          <w:szCs w:val="20"/>
        </w:rPr>
        <w:t>Flap-type hybrid concepts span the balanced and WEC-dominated energy dominance categories, with wave contributions potentially reaching 20–30% of total production in energetic North Sea conditions [</w:t>
      </w:r>
      <w:r w:rsidR="00D33B70" w:rsidRPr="00AD6CB0">
        <w:rPr>
          <w:rFonts w:ascii="Palatino Linotype" w:hAnsi="Palatino Linotype" w:cstheme="majorBidi"/>
          <w:color w:val="000000" w:themeColor="text1"/>
          <w:sz w:val="20"/>
          <w:szCs w:val="20"/>
        </w:rPr>
        <w:t>15</w:t>
      </w:r>
      <w:r w:rsidR="00586A94" w:rsidRPr="00AD6CB0">
        <w:rPr>
          <w:rFonts w:ascii="Palatino Linotype" w:hAnsi="Palatino Linotype" w:cstheme="majorBidi"/>
          <w:color w:val="000000" w:themeColor="text1"/>
          <w:sz w:val="20"/>
          <w:szCs w:val="20"/>
        </w:rPr>
        <w:t>].</w:t>
      </w:r>
    </w:p>
    <w:p w14:paraId="231C965C" w14:textId="77777777" w:rsidR="00586A94" w:rsidRPr="000C4E0D" w:rsidRDefault="00586A94" w:rsidP="000C4E0D">
      <w:pPr>
        <w:tabs>
          <w:tab w:val="left" w:pos="2552"/>
        </w:tabs>
        <w:rPr>
          <w:rStyle w:val="Strong"/>
          <w:b w:val="0"/>
          <w:bCs w:val="0"/>
          <w:color w:val="000000" w:themeColor="text1"/>
        </w:rPr>
      </w:pPr>
    </w:p>
    <w:p w14:paraId="4E1E8926" w14:textId="6D103DB7" w:rsidR="00B70F48" w:rsidRPr="004B2EBA" w:rsidRDefault="00B70F48" w:rsidP="000C4E0D">
      <w:pPr>
        <w:tabs>
          <w:tab w:val="left" w:pos="2552"/>
        </w:tabs>
        <w:ind w:left="2552"/>
        <w:rPr>
          <w:sz w:val="24"/>
          <w:szCs w:val="24"/>
        </w:rPr>
      </w:pPr>
      <w:r w:rsidRPr="004B2EBA">
        <w:rPr>
          <w:rStyle w:val="Strong"/>
          <w:color w:val="000000" w:themeColor="text1"/>
          <w:sz w:val="24"/>
          <w:szCs w:val="24"/>
        </w:rPr>
        <w:t>3. Selected Hybrid Wave–Wind Concepts for Comparison</w:t>
      </w:r>
    </w:p>
    <w:p w14:paraId="0ED67472" w14:textId="05AD07E7" w:rsidR="007B7554" w:rsidRPr="000C4E0D" w:rsidRDefault="00B70F48" w:rsidP="000C4E0D">
      <w:pPr>
        <w:pStyle w:val="NormalWeb"/>
        <w:ind w:left="2552"/>
        <w:rPr>
          <w:rFonts w:eastAsia="Times New Roman"/>
          <w:color w:val="auto"/>
          <w:szCs w:val="20"/>
          <w:lang w:val="en-GB" w:eastAsia="en-GB"/>
        </w:rPr>
      </w:pPr>
      <w:r w:rsidRPr="000C4E0D">
        <w:t xml:space="preserve">Based on the classification framework established in Section 2, </w:t>
      </w:r>
      <w:r w:rsidR="00C361C9" w:rsidRPr="000C4E0D">
        <w:t>four</w:t>
      </w:r>
      <w:r w:rsidRPr="000C4E0D">
        <w:t xml:space="preserve"> representative hybrid wave–wind concepts are selected for detailed comparison [</w:t>
      </w:r>
      <w:r w:rsidR="003D066A" w:rsidRPr="000C4E0D">
        <w:t>12</w:t>
      </w:r>
      <w:r w:rsidRPr="000C4E0D">
        <w:t>,60].</w:t>
      </w:r>
      <w:r w:rsidR="007B7554" w:rsidRPr="000C4E0D">
        <w:t xml:space="preserve"> </w:t>
      </w:r>
      <w:r w:rsidR="007B7554" w:rsidRPr="000C4E0D">
        <w:rPr>
          <w:rFonts w:eastAsia="Times New Roman"/>
          <w:color w:val="auto"/>
          <w:szCs w:val="20"/>
          <w:lang w:val="en-GB" w:eastAsia="en-GB"/>
        </w:rPr>
        <w:t>The selected concepts were chosen to ensure representation across the principal WEC integration classes identified in Section 2 — namely point absorbers, oscillating water columns, and oscillating flap/body systems. Selection was additionally guided by the availability of published optimisation-focused studies and by the desire to span the spectrum from wind-dominated to more balanced hybrid energy contributions, thereby enabling comparison across differing optimisation priorities and coupling characteristics.</w:t>
      </w:r>
    </w:p>
    <w:p w14:paraId="04805D16" w14:textId="4B8027B0" w:rsidR="00B70F48" w:rsidRPr="000C4E0D" w:rsidRDefault="00B70F48" w:rsidP="000C4E0D">
      <w:pPr>
        <w:tabs>
          <w:tab w:val="left" w:pos="2552"/>
        </w:tabs>
        <w:ind w:left="2552"/>
      </w:pPr>
      <w:r w:rsidRPr="000C4E0D">
        <w:t xml:space="preserve"> Each concept is identified by its primary platform type (Section 2.1), its WEC integration approach (Section 2.2), and its energy dominance category, as summarized in Table 1. This structured labelling ensures that the subsequent comparisons are grounded in the classification framework rather than treated as isolated case studies and allows the findings of Section 5 to be interpreted in the context of broader trends across the hybrid systems literature [21,</w:t>
      </w:r>
      <w:r w:rsidR="003D066A" w:rsidRPr="000C4E0D">
        <w:t>14</w:t>
      </w:r>
      <w:r w:rsidRPr="000C4E0D">
        <w:t>].</w:t>
      </w:r>
    </w:p>
    <w:p w14:paraId="7C7D0E2E" w14:textId="77777777" w:rsidR="0014141B" w:rsidRDefault="0014141B" w:rsidP="000C4E0D">
      <w:pPr>
        <w:tabs>
          <w:tab w:val="left" w:pos="2552"/>
        </w:tabs>
        <w:ind w:left="2552"/>
        <w:rPr>
          <w:rStyle w:val="Strong"/>
          <w:b w:val="0"/>
          <w:bCs w:val="0"/>
          <w:color w:val="000000" w:themeColor="text1"/>
          <w:sz w:val="22"/>
          <w:szCs w:val="22"/>
        </w:rPr>
      </w:pPr>
    </w:p>
    <w:p w14:paraId="68C78A4B" w14:textId="77777777" w:rsidR="00AD6CB0" w:rsidRDefault="00AD6CB0" w:rsidP="000C4E0D">
      <w:pPr>
        <w:tabs>
          <w:tab w:val="left" w:pos="2552"/>
        </w:tabs>
        <w:ind w:left="2552"/>
        <w:rPr>
          <w:rStyle w:val="Strong"/>
          <w:b w:val="0"/>
          <w:bCs w:val="0"/>
          <w:color w:val="000000" w:themeColor="text1"/>
          <w:sz w:val="22"/>
          <w:szCs w:val="22"/>
        </w:rPr>
      </w:pPr>
    </w:p>
    <w:p w14:paraId="1CBA3214" w14:textId="77777777" w:rsidR="00AD6CB0" w:rsidRPr="000C4E0D" w:rsidRDefault="00AD6CB0" w:rsidP="000C4E0D">
      <w:pPr>
        <w:tabs>
          <w:tab w:val="left" w:pos="2552"/>
        </w:tabs>
        <w:ind w:left="2552"/>
        <w:rPr>
          <w:rStyle w:val="Strong"/>
          <w:b w:val="0"/>
          <w:bCs w:val="0"/>
          <w:color w:val="000000" w:themeColor="text1"/>
          <w:sz w:val="22"/>
          <w:szCs w:val="22"/>
        </w:rPr>
      </w:pPr>
    </w:p>
    <w:p w14:paraId="4B7FC625" w14:textId="6BE2F279" w:rsidR="00B70F48" w:rsidRPr="004B2EBA" w:rsidRDefault="00B70F48" w:rsidP="000C4E0D">
      <w:pPr>
        <w:tabs>
          <w:tab w:val="left" w:pos="2552"/>
        </w:tabs>
        <w:ind w:left="2552"/>
        <w:rPr>
          <w:sz w:val="24"/>
          <w:szCs w:val="24"/>
        </w:rPr>
      </w:pPr>
      <w:r w:rsidRPr="004B2EBA">
        <w:rPr>
          <w:rStyle w:val="Strong"/>
          <w:color w:val="000000" w:themeColor="text1"/>
          <w:sz w:val="24"/>
          <w:szCs w:val="24"/>
        </w:rPr>
        <w:lastRenderedPageBreak/>
        <w:t>3.1 Concept 1: Floating Wind Platform with Integrated Point Absorbers</w:t>
      </w:r>
    </w:p>
    <w:p w14:paraId="7FE15945" w14:textId="33B6F3B8" w:rsidR="00B70F48" w:rsidRPr="00AD6CB0" w:rsidRDefault="00B70F48" w:rsidP="000C4E0D">
      <w:pPr>
        <w:pStyle w:val="font-claude-response-body"/>
        <w:tabs>
          <w:tab w:val="left" w:pos="2552"/>
        </w:tabs>
        <w:ind w:left="2552"/>
        <w:jc w:val="both"/>
        <w:rPr>
          <w:rFonts w:ascii="Palatino Linotype" w:hAnsi="Palatino Linotype"/>
          <w:color w:val="000000" w:themeColor="text1"/>
          <w:sz w:val="20"/>
          <w:szCs w:val="20"/>
        </w:rPr>
      </w:pPr>
      <w:r w:rsidRPr="00AD6CB0">
        <w:rPr>
          <w:rFonts w:ascii="Palatino Linotype" w:hAnsi="Palatino Linotype"/>
          <w:color w:val="000000" w:themeColor="text1"/>
          <w:sz w:val="20"/>
          <w:szCs w:val="20"/>
        </w:rPr>
        <w:t>In this configuration, multiple point absorber WECs are attached to or distributed around the floating wind platform [61]. The WECs extract energy from wave-induced motions while simultaneously providing additional hydrodynamic damping [62]. This concept is attractive due to its modularity and relatively low structural complexity, which reduces fabrication, installation, and maintenance demands compared to more mechanically complex WEC types [</w:t>
      </w:r>
      <w:r w:rsidR="000A6347" w:rsidRPr="00AD6CB0">
        <w:rPr>
          <w:rFonts w:ascii="Palatino Linotype" w:hAnsi="Palatino Linotype"/>
          <w:color w:val="000000" w:themeColor="text1"/>
          <w:sz w:val="20"/>
          <w:szCs w:val="20"/>
        </w:rPr>
        <w:t>96</w:t>
      </w:r>
      <w:r w:rsidRPr="00AD6CB0">
        <w:rPr>
          <w:rFonts w:ascii="Palatino Linotype" w:hAnsi="Palatino Linotype"/>
          <w:color w:val="000000" w:themeColor="text1"/>
          <w:sz w:val="20"/>
          <w:szCs w:val="20"/>
        </w:rPr>
        <w:t xml:space="preserve">]. </w:t>
      </w:r>
      <w:r w:rsidR="0096340F" w:rsidRPr="00AD6CB0">
        <w:rPr>
          <w:rFonts w:ascii="Palatino Linotype" w:hAnsi="Palatino Linotype"/>
          <w:color w:val="000000" w:themeColor="text1"/>
          <w:sz w:val="20"/>
          <w:szCs w:val="20"/>
        </w:rPr>
        <w:t>However, the interaction between the WECs and the platform dynamics requires careful tuning to avoid adverse coupling effects that can amplify rather than suppress platform motions under certain loading conditions [62,63]</w:t>
      </w:r>
      <w:r w:rsidRPr="00AD6CB0">
        <w:rPr>
          <w:rFonts w:ascii="Palatino Linotype" w:hAnsi="Palatino Linotype"/>
          <w:color w:val="000000" w:themeColor="text1"/>
          <w:sz w:val="20"/>
          <w:szCs w:val="20"/>
        </w:rPr>
        <w:t xml:space="preserve">. </w:t>
      </w:r>
      <w:r w:rsidR="0021246E" w:rsidRPr="00AD6CB0">
        <w:rPr>
          <w:rFonts w:ascii="Palatino Linotype" w:hAnsi="Palatino Linotype"/>
          <w:color w:val="000000" w:themeColor="text1"/>
          <w:sz w:val="20"/>
          <w:szCs w:val="20"/>
        </w:rPr>
        <w:t>Numerical studies by Hu et al. have demonstrated that the optimal design and performance of WECs integrated with floating wind platforms depend strongly on PTO-related parameters and system-level coupling effects, underscoring the importance of system-level rather than device-level optimization when designing this class of hybrid platform [63]</w:t>
      </w:r>
      <w:r w:rsidRPr="00AD6CB0">
        <w:rPr>
          <w:rFonts w:ascii="Palatino Linotype" w:hAnsi="Palatino Linotype"/>
          <w:color w:val="000000" w:themeColor="text1"/>
          <w:sz w:val="20"/>
          <w:szCs w:val="20"/>
        </w:rPr>
        <w:t xml:space="preserve">. Experimental validation by </w:t>
      </w:r>
      <w:proofErr w:type="spellStart"/>
      <w:r w:rsidRPr="00AD6CB0">
        <w:rPr>
          <w:rFonts w:ascii="Palatino Linotype" w:hAnsi="Palatino Linotype"/>
          <w:color w:val="000000" w:themeColor="text1"/>
          <w:sz w:val="20"/>
          <w:szCs w:val="20"/>
        </w:rPr>
        <w:t>Kamarlouei</w:t>
      </w:r>
      <w:proofErr w:type="spellEnd"/>
      <w:r w:rsidRPr="00AD6CB0">
        <w:rPr>
          <w:rFonts w:ascii="Palatino Linotype" w:hAnsi="Palatino Linotype"/>
          <w:color w:val="000000" w:themeColor="text1"/>
          <w:sz w:val="20"/>
          <w:szCs w:val="20"/>
        </w:rPr>
        <w:t xml:space="preserve"> et al. has further confirmed that jointly optimising WEC arrangement and PTO parameters is essential for realising the motion damping and energy capture benefits associated with this concept [</w:t>
      </w:r>
      <w:r w:rsidR="00A8433D" w:rsidRPr="00AD6CB0">
        <w:rPr>
          <w:rFonts w:ascii="Palatino Linotype" w:hAnsi="Palatino Linotype"/>
          <w:color w:val="000000" w:themeColor="text1"/>
          <w:sz w:val="20"/>
          <w:szCs w:val="20"/>
        </w:rPr>
        <w:t>61</w:t>
      </w:r>
      <w:r w:rsidRPr="00AD6CB0">
        <w:rPr>
          <w:rFonts w:ascii="Palatino Linotype" w:hAnsi="Palatino Linotype"/>
          <w:color w:val="000000" w:themeColor="text1"/>
          <w:sz w:val="20"/>
          <w:szCs w:val="20"/>
        </w:rPr>
        <w:t xml:space="preserve">]. </w:t>
      </w:r>
      <w:r w:rsidR="002C66A5" w:rsidRPr="00AD6CB0">
        <w:rPr>
          <w:rFonts w:ascii="Palatino Linotype" w:hAnsi="Palatino Linotype"/>
          <w:color w:val="000000" w:themeColor="text1"/>
          <w:sz w:val="20"/>
          <w:szCs w:val="20"/>
        </w:rPr>
        <w:t>This concept falls within the wind-dominated energy dominance category, with wave energy typically providing a supplementary contribution to the total hybrid system output [16]</w:t>
      </w:r>
      <w:r w:rsidRPr="00AD6CB0">
        <w:rPr>
          <w:rFonts w:ascii="Palatino Linotype" w:hAnsi="Palatino Linotype"/>
          <w:color w:val="000000" w:themeColor="text1"/>
          <w:sz w:val="20"/>
          <w:szCs w:val="20"/>
        </w:rPr>
        <w:t>.</w:t>
      </w:r>
    </w:p>
    <w:p w14:paraId="032AB87C" w14:textId="77777777" w:rsidR="00B70F48" w:rsidRPr="004B2EBA" w:rsidRDefault="00B70F48" w:rsidP="000C4E0D">
      <w:pPr>
        <w:tabs>
          <w:tab w:val="left" w:pos="2552"/>
        </w:tabs>
        <w:ind w:left="2552"/>
        <w:rPr>
          <w:rStyle w:val="Strong"/>
          <w:color w:val="000000" w:themeColor="text1"/>
          <w:sz w:val="24"/>
          <w:szCs w:val="24"/>
        </w:rPr>
      </w:pPr>
      <w:r w:rsidRPr="004B2EBA">
        <w:rPr>
          <w:rStyle w:val="Strong"/>
          <w:color w:val="000000" w:themeColor="text1"/>
          <w:sz w:val="24"/>
          <w:szCs w:val="24"/>
        </w:rPr>
        <w:t>3.2 Concept 2: Floating Wind Platform with Integrated Oscillating Water Column</w:t>
      </w:r>
    </w:p>
    <w:p w14:paraId="11E89953" w14:textId="77777777" w:rsidR="006A3F51" w:rsidRPr="000C4E0D" w:rsidRDefault="006A3F51" w:rsidP="000C4E0D">
      <w:pPr>
        <w:tabs>
          <w:tab w:val="left" w:pos="2552"/>
        </w:tabs>
        <w:ind w:left="2552"/>
        <w:rPr>
          <w:sz w:val="22"/>
          <w:szCs w:val="22"/>
        </w:rPr>
      </w:pPr>
    </w:p>
    <w:p w14:paraId="239142E9" w14:textId="6BF10337" w:rsidR="009A7690" w:rsidRPr="00AD6CB0" w:rsidRDefault="00B70F48" w:rsidP="004B6A18">
      <w:pPr>
        <w:tabs>
          <w:tab w:val="left" w:pos="2552"/>
        </w:tabs>
        <w:ind w:left="2552"/>
        <w:rPr>
          <w:rStyle w:val="Strong"/>
          <w:b w:val="0"/>
          <w:bCs w:val="0"/>
          <w:color w:val="000000" w:themeColor="text1"/>
        </w:rPr>
      </w:pPr>
      <w:r w:rsidRPr="00AD6CB0">
        <w:rPr>
          <w:color w:val="000000" w:themeColor="text1"/>
        </w:rPr>
        <w:t xml:space="preserve">This concept incorporates one or more OWC chambers into the platform substructure, converting wave energy through the oscillatory airflow driven by water column motion [66]. The integration of OWCs into the platform hull offers a key structural advantage: the power take-off machinery is housed within the platform body and therefore shielded from direct wave impact, reducing exposure to extreme marine loading conditions [47]. OWC integration can enhance platform stiffness and modify added mass and radiation damping characteristics, producing more consistent motion reduction across a broader frequency range than point absorber configurations [68]. </w:t>
      </w:r>
      <w:r w:rsidR="0060115B" w:rsidRPr="00AD6CB0">
        <w:rPr>
          <w:color w:val="000000" w:themeColor="text1"/>
        </w:rPr>
        <w:t>Challenges include the optimization of chamber geometry — particularly chamber width, lip draft, and internal air volume — and the management of aerodynamic losses within the air turbine system across varying sea states [66,67].</w:t>
      </w:r>
      <w:r w:rsidRPr="00AD6CB0">
        <w:rPr>
          <w:color w:val="000000" w:themeColor="text1"/>
        </w:rPr>
        <w:t xml:space="preserve"> </w:t>
      </w:r>
      <w:r w:rsidR="00947D70" w:rsidRPr="00AF09A8">
        <w:rPr>
          <w:color w:val="000000" w:themeColor="text1"/>
        </w:rPr>
        <w:t xml:space="preserve">Experimental and numerical studies by </w:t>
      </w:r>
      <w:proofErr w:type="spellStart"/>
      <w:r w:rsidR="00947D70" w:rsidRPr="00AF09A8">
        <w:rPr>
          <w:color w:val="000000" w:themeColor="text1"/>
        </w:rPr>
        <w:t>Elhanafi</w:t>
      </w:r>
      <w:proofErr w:type="spellEnd"/>
      <w:r w:rsidR="00947D70" w:rsidRPr="00AF09A8">
        <w:rPr>
          <w:color w:val="000000" w:themeColor="text1"/>
        </w:rPr>
        <w:t xml:space="preserve"> et al. have </w:t>
      </w:r>
      <w:proofErr w:type="spellStart"/>
      <w:r w:rsidR="00947D70" w:rsidRPr="00AF09A8">
        <w:rPr>
          <w:color w:val="000000" w:themeColor="text1"/>
        </w:rPr>
        <w:t>characterised</w:t>
      </w:r>
      <w:proofErr w:type="spellEnd"/>
      <w:r w:rsidR="00947D70" w:rsidRPr="00AF09A8">
        <w:rPr>
          <w:color w:val="000000" w:themeColor="text1"/>
        </w:rPr>
        <w:t xml:space="preserve"> the hydrodynamic response of OWC configurations [68], while Pols et al. [49] and Hallak et al. [65] have provided numerical and experimental analyses relevant to floating OWC devices, mooring </w:t>
      </w:r>
      <w:proofErr w:type="spellStart"/>
      <w:r w:rsidR="00947D70" w:rsidRPr="00AF09A8">
        <w:rPr>
          <w:color w:val="000000" w:themeColor="text1"/>
        </w:rPr>
        <w:t>behaviour</w:t>
      </w:r>
      <w:proofErr w:type="spellEnd"/>
      <w:r w:rsidR="00947D70" w:rsidRPr="00AF09A8">
        <w:rPr>
          <w:color w:val="000000" w:themeColor="text1"/>
        </w:rPr>
        <w:t xml:space="preserve">, and hybrid wind–wave platform hull </w:t>
      </w:r>
      <w:proofErr w:type="spellStart"/>
      <w:r w:rsidR="00947D70" w:rsidRPr="00AF09A8">
        <w:rPr>
          <w:color w:val="000000" w:themeColor="text1"/>
        </w:rPr>
        <w:t>behaviour</w:t>
      </w:r>
      <w:proofErr w:type="spellEnd"/>
      <w:r w:rsidR="005F2128" w:rsidRPr="00AF09A8">
        <w:rPr>
          <w:color w:val="000000" w:themeColor="text1"/>
        </w:rPr>
        <w:t xml:space="preserve">. </w:t>
      </w:r>
      <w:r w:rsidR="002A60E0" w:rsidRPr="00AF09A8">
        <w:rPr>
          <w:color w:val="000000" w:themeColor="text1"/>
        </w:rPr>
        <w:t xml:space="preserve"> </w:t>
      </w:r>
      <w:r w:rsidRPr="00AD6CB0">
        <w:rPr>
          <w:color w:val="000000" w:themeColor="text1"/>
        </w:rPr>
        <w:t xml:space="preserve">Henriques et al. have further examined the dynamics and control of OWC </w:t>
      </w:r>
      <w:r w:rsidRPr="00AD6CB0">
        <w:rPr>
          <w:color w:val="000000" w:themeColor="text1"/>
        </w:rPr>
        <w:lastRenderedPageBreak/>
        <w:t>systems, demonstrating that turbine control strategies that regulate airflow can substantially improve performance across a range of wave conditions [</w:t>
      </w:r>
      <w:r w:rsidR="00A8433D" w:rsidRPr="00AD6CB0">
        <w:rPr>
          <w:color w:val="000000" w:themeColor="text1"/>
        </w:rPr>
        <w:t>66</w:t>
      </w:r>
      <w:r w:rsidRPr="00AD6CB0">
        <w:rPr>
          <w:color w:val="000000" w:themeColor="text1"/>
        </w:rPr>
        <w:t xml:space="preserve">]. This concept falls within the balanced energy dominance category, with OWC contributions typically accounting for 15–25% of total annual production when chamber geometry is appropriately </w:t>
      </w:r>
      <w:r w:rsidR="00BA6FF2" w:rsidRPr="00AD6CB0">
        <w:rPr>
          <w:color w:val="000000" w:themeColor="text1"/>
        </w:rPr>
        <w:t>optimized</w:t>
      </w:r>
      <w:r w:rsidRPr="00AD6CB0">
        <w:rPr>
          <w:color w:val="000000" w:themeColor="text1"/>
        </w:rPr>
        <w:t xml:space="preserve"> for the deployment site [</w:t>
      </w:r>
      <w:r w:rsidR="004E324E" w:rsidRPr="00AD6CB0">
        <w:rPr>
          <w:color w:val="000000" w:themeColor="text1"/>
        </w:rPr>
        <w:t>19</w:t>
      </w:r>
      <w:r w:rsidRPr="00AD6CB0">
        <w:rPr>
          <w:color w:val="000000" w:themeColor="text1"/>
        </w:rPr>
        <w:t>].</w:t>
      </w:r>
    </w:p>
    <w:p w14:paraId="7220C324" w14:textId="77777777" w:rsidR="009A7690" w:rsidRDefault="009A7690" w:rsidP="000C4E0D">
      <w:pPr>
        <w:tabs>
          <w:tab w:val="left" w:pos="2552"/>
        </w:tabs>
        <w:ind w:left="2552"/>
        <w:rPr>
          <w:rStyle w:val="Strong"/>
          <w:color w:val="000000" w:themeColor="text1"/>
          <w:sz w:val="24"/>
          <w:szCs w:val="24"/>
        </w:rPr>
      </w:pPr>
    </w:p>
    <w:p w14:paraId="6ADAEBF8" w14:textId="4ED590CC" w:rsidR="00B70F48" w:rsidRPr="004B2EBA" w:rsidRDefault="00B70F48" w:rsidP="000C4E0D">
      <w:pPr>
        <w:tabs>
          <w:tab w:val="left" w:pos="2552"/>
        </w:tabs>
        <w:ind w:left="2552"/>
        <w:rPr>
          <w:rStyle w:val="Strong"/>
          <w:color w:val="000000" w:themeColor="text1"/>
          <w:sz w:val="24"/>
          <w:szCs w:val="24"/>
        </w:rPr>
      </w:pPr>
      <w:r w:rsidRPr="004B2EBA">
        <w:rPr>
          <w:rStyle w:val="Strong"/>
          <w:color w:val="000000" w:themeColor="text1"/>
          <w:sz w:val="24"/>
          <w:szCs w:val="24"/>
        </w:rPr>
        <w:t>3.3 Concept 3: Floating Wind Platform with Oscillating Flap-Type WEC</w:t>
      </w:r>
    </w:p>
    <w:p w14:paraId="6186984A" w14:textId="77777777" w:rsidR="00276DCF" w:rsidRPr="000C4E0D" w:rsidRDefault="00276DCF" w:rsidP="000C4E0D">
      <w:pPr>
        <w:tabs>
          <w:tab w:val="left" w:pos="2552"/>
        </w:tabs>
        <w:ind w:left="2552"/>
        <w:rPr>
          <w:sz w:val="24"/>
          <w:szCs w:val="24"/>
        </w:rPr>
      </w:pPr>
    </w:p>
    <w:p w14:paraId="6B9B7CC8" w14:textId="6D4B9907" w:rsidR="00B70F48" w:rsidRPr="00AD6CB0" w:rsidRDefault="00FD5BC3" w:rsidP="000C4E0D">
      <w:pPr>
        <w:pStyle w:val="MDPI12title"/>
        <w:tabs>
          <w:tab w:val="left" w:pos="2552"/>
        </w:tabs>
        <w:ind w:left="2552"/>
        <w:jc w:val="both"/>
        <w:rPr>
          <w:rFonts w:cstheme="majorBidi"/>
          <w:b w:val="0"/>
          <w:color w:val="000000" w:themeColor="text1"/>
          <w:sz w:val="20"/>
        </w:rPr>
      </w:pPr>
      <w:r w:rsidRPr="00AD6CB0">
        <w:rPr>
          <w:rFonts w:cstheme="majorBidi"/>
          <w:b w:val="0"/>
          <w:color w:val="000000" w:themeColor="text1"/>
          <w:sz w:val="20"/>
        </w:rPr>
        <w:t xml:space="preserve">In this configuration, oscillating flaps or articulated bodies are connected to the platform to extract wave energy from rotational motion [72]. These devices can achieve high energy capture efficiency and provide substantial hydrodynamic interaction with the supporting structure, particularly in pitch and surge degrees of freedom [72]. </w:t>
      </w:r>
      <w:r w:rsidR="00B70F48" w:rsidRPr="00AD6CB0">
        <w:rPr>
          <w:rFonts w:cstheme="majorBidi"/>
          <w:b w:val="0"/>
          <w:color w:val="000000" w:themeColor="text1"/>
          <w:sz w:val="20"/>
        </w:rPr>
        <w:t>However, they introduce large dynamic loads into the platform structure and increase mechanical complexity considerably, which may affect long-term system reliability and maintenance requirements in harsh offshore environments [</w:t>
      </w:r>
      <w:r w:rsidR="00FA791A" w:rsidRPr="00AD6CB0">
        <w:rPr>
          <w:rFonts w:cstheme="majorBidi"/>
          <w:b w:val="0"/>
          <w:color w:val="000000" w:themeColor="text1"/>
          <w:sz w:val="20"/>
        </w:rPr>
        <w:t>53</w:t>
      </w:r>
      <w:r w:rsidR="00B70F48" w:rsidRPr="00AD6CB0">
        <w:rPr>
          <w:rFonts w:cstheme="majorBidi"/>
          <w:b w:val="0"/>
          <w:color w:val="000000" w:themeColor="text1"/>
          <w:sz w:val="20"/>
        </w:rPr>
        <w:t>]. The hinge mechanism and hydraulic PTO system require specialized maintenance procedures, as evidenced by operational experience from the Oyster project, which identified these components as the primary contributors to operational expenditure over the system lifecycle [</w:t>
      </w:r>
      <w:r w:rsidR="00D33B70" w:rsidRPr="00AD6CB0">
        <w:rPr>
          <w:rFonts w:cstheme="majorBidi"/>
          <w:b w:val="0"/>
          <w:color w:val="000000" w:themeColor="text1"/>
          <w:sz w:val="20"/>
        </w:rPr>
        <w:t>15,102</w:t>
      </w:r>
      <w:r w:rsidR="00B70F48" w:rsidRPr="00AD6CB0">
        <w:rPr>
          <w:rFonts w:cstheme="majorBidi"/>
          <w:b w:val="0"/>
          <w:color w:val="000000" w:themeColor="text1"/>
          <w:sz w:val="20"/>
        </w:rPr>
        <w:t xml:space="preserve">]. </w:t>
      </w:r>
      <w:r w:rsidR="00513320" w:rsidRPr="00AD6CB0">
        <w:rPr>
          <w:rFonts w:cstheme="majorBidi"/>
          <w:b w:val="0"/>
          <w:color w:val="000000" w:themeColor="text1"/>
          <w:sz w:val="20"/>
        </w:rPr>
        <w:t xml:space="preserve">Work by Whittaker and Folley on nearshore oscillating wave surge converters has discussed performance and operational considerations for flap-type WECs, including the need to balance energy capture with structural and operational constraints across varying sea states [72]. </w:t>
      </w:r>
      <w:r w:rsidR="007B18D7" w:rsidRPr="00AD6CB0">
        <w:rPr>
          <w:rFonts w:cstheme="majorBidi"/>
          <w:b w:val="0"/>
          <w:color w:val="000000" w:themeColor="text1"/>
          <w:sz w:val="20"/>
        </w:rPr>
        <w:t xml:space="preserve">Research by </w:t>
      </w:r>
      <w:proofErr w:type="spellStart"/>
      <w:r w:rsidR="007B18D7" w:rsidRPr="00AD6CB0">
        <w:rPr>
          <w:rFonts w:cstheme="majorBidi"/>
          <w:b w:val="0"/>
          <w:color w:val="000000" w:themeColor="text1"/>
          <w:sz w:val="20"/>
        </w:rPr>
        <w:t>Michailides</w:t>
      </w:r>
      <w:proofErr w:type="spellEnd"/>
      <w:r w:rsidR="00B70F48" w:rsidRPr="00AD6CB0">
        <w:rPr>
          <w:rFonts w:cstheme="majorBidi"/>
          <w:b w:val="0"/>
          <w:color w:val="000000" w:themeColor="text1"/>
          <w:sz w:val="20"/>
        </w:rPr>
        <w:t xml:space="preserve"> on the SFC concept — one of the most comprehensively studied flap-type hybrid systems — has demonstrated that this integration approach can reduce platform pitch by up to 40% while increasing tower base bending moments by 15–20%, reinforcing the need for multi-objective optimization frameworks that jointly address energy performance and structural integrity [</w:t>
      </w:r>
      <w:r w:rsidR="000A6347" w:rsidRPr="00AD6CB0">
        <w:rPr>
          <w:rFonts w:cstheme="majorBidi"/>
          <w:b w:val="0"/>
          <w:color w:val="000000" w:themeColor="text1"/>
          <w:sz w:val="20"/>
        </w:rPr>
        <w:t>96</w:t>
      </w:r>
      <w:r w:rsidR="00B70F48" w:rsidRPr="00AD6CB0">
        <w:rPr>
          <w:rFonts w:cstheme="majorBidi"/>
          <w:b w:val="0"/>
          <w:color w:val="000000" w:themeColor="text1"/>
          <w:sz w:val="20"/>
        </w:rPr>
        <w:t>]. Depending on WEC dimensions and site wave climate, this concept spans the balanced and WEC-dominated energy dominance categories, with wave contributions potentially reaching 20–30% of total annual production in energetic North Sea conditions [</w:t>
      </w:r>
      <w:r w:rsidR="002317AD" w:rsidRPr="00AD6CB0">
        <w:rPr>
          <w:rFonts w:cstheme="majorBidi"/>
          <w:b w:val="0"/>
          <w:color w:val="000000" w:themeColor="text1"/>
          <w:sz w:val="20"/>
        </w:rPr>
        <w:t>4</w:t>
      </w:r>
      <w:r w:rsidR="00B70F48" w:rsidRPr="00AD6CB0">
        <w:rPr>
          <w:rFonts w:cstheme="majorBidi"/>
          <w:b w:val="0"/>
          <w:color w:val="000000" w:themeColor="text1"/>
          <w:sz w:val="20"/>
        </w:rPr>
        <w:t>].</w:t>
      </w:r>
      <w:r w:rsidR="00F728D3" w:rsidRPr="00AD6CB0">
        <w:rPr>
          <w:rFonts w:cstheme="majorBidi"/>
          <w:b w:val="0"/>
          <w:color w:val="000000" w:themeColor="text1"/>
          <w:sz w:val="20"/>
        </w:rPr>
        <w:t xml:space="preserve"> </w:t>
      </w:r>
    </w:p>
    <w:p w14:paraId="36EE9EF0" w14:textId="77777777" w:rsidR="00F728D3" w:rsidRPr="004B2EBA" w:rsidRDefault="00F728D3" w:rsidP="000C4E0D">
      <w:pPr>
        <w:tabs>
          <w:tab w:val="left" w:pos="2552"/>
        </w:tabs>
        <w:ind w:left="2552"/>
        <w:rPr>
          <w:rStyle w:val="Strong"/>
          <w:color w:val="000000" w:themeColor="text1"/>
          <w:sz w:val="24"/>
          <w:szCs w:val="24"/>
        </w:rPr>
      </w:pPr>
      <w:r w:rsidRPr="004B2EBA">
        <w:rPr>
          <w:rStyle w:val="Strong"/>
          <w:color w:val="000000" w:themeColor="text1"/>
          <w:sz w:val="24"/>
          <w:szCs w:val="24"/>
        </w:rPr>
        <w:t>3.4 Concept 4: Floating Spar Platform with Heaving Torus Wave Energy Converter</w:t>
      </w:r>
    </w:p>
    <w:p w14:paraId="7B5440C4" w14:textId="77777777" w:rsidR="00F728D3" w:rsidRPr="000C4E0D" w:rsidRDefault="00F728D3" w:rsidP="000C4E0D">
      <w:pPr>
        <w:pStyle w:val="MDPI12title"/>
        <w:tabs>
          <w:tab w:val="left" w:pos="2552"/>
        </w:tabs>
        <w:ind w:left="2552"/>
        <w:jc w:val="both"/>
        <w:rPr>
          <w:rFonts w:cstheme="majorBidi"/>
          <w:b w:val="0"/>
          <w:sz w:val="20"/>
        </w:rPr>
      </w:pPr>
      <w:r w:rsidRPr="000C4E0D">
        <w:rPr>
          <w:rFonts w:cstheme="majorBidi"/>
          <w:b w:val="0"/>
          <w:sz w:val="20"/>
        </w:rPr>
        <w:t>In this configuration, a toroidal heaving body — a torus-shaped ring — is mounted concentrically around the column of a spar-type floating wind platform, free to heave relative to the main hull [25,27]. The torus extracts energy from the relative axial motion between the ring and the spar column induced by incident waves, with the power take-off system typically located within the spar hull, providing protection from direct wave loading [41,42]. This geometry is well suited to spar platforms precisely because the deep draft and small waterplane area of the spar hull, while limiting the availability of free-surface relative motion for surface-following devices, still permits significant axial relative displacement along the submerged column under wave excitation [21,25]. The coaxial arrangement eliminates the need for external attachment structures, thereby preserving the hydrodynamic simplicity of the spar hull while adding wave energy conversion capability [27].</w:t>
      </w:r>
    </w:p>
    <w:p w14:paraId="6A458866" w14:textId="77EC3E17" w:rsidR="00F728D3" w:rsidRPr="00AD6CB0" w:rsidRDefault="00370F2A" w:rsidP="000C4E0D">
      <w:pPr>
        <w:pStyle w:val="MDPI12title"/>
        <w:tabs>
          <w:tab w:val="left" w:pos="2552"/>
        </w:tabs>
        <w:ind w:left="2552"/>
        <w:jc w:val="both"/>
        <w:rPr>
          <w:rFonts w:cstheme="majorBidi"/>
          <w:b w:val="0"/>
          <w:color w:val="000000" w:themeColor="text1"/>
          <w:sz w:val="20"/>
        </w:rPr>
      </w:pPr>
      <w:r w:rsidRPr="00AD6CB0">
        <w:rPr>
          <w:rFonts w:cstheme="majorBidi"/>
          <w:b w:val="0"/>
          <w:color w:val="000000" w:themeColor="text1"/>
          <w:sz w:val="20"/>
        </w:rPr>
        <w:lastRenderedPageBreak/>
        <w:t xml:space="preserve">The heaving torus concept has been investigated most systematically in the context of spar-type floating wind platforms by </w:t>
      </w:r>
      <w:proofErr w:type="spellStart"/>
      <w:r w:rsidRPr="00AD6CB0">
        <w:rPr>
          <w:rFonts w:cstheme="majorBidi"/>
          <w:b w:val="0"/>
          <w:color w:val="000000" w:themeColor="text1"/>
          <w:sz w:val="20"/>
        </w:rPr>
        <w:t>Muliawan</w:t>
      </w:r>
      <w:proofErr w:type="spellEnd"/>
      <w:r w:rsidRPr="00AD6CB0">
        <w:rPr>
          <w:rFonts w:cstheme="majorBidi"/>
          <w:b w:val="0"/>
          <w:color w:val="000000" w:themeColor="text1"/>
          <w:sz w:val="20"/>
        </w:rPr>
        <w:t xml:space="preserve"> et al., whose numerical studies demonstrated that a coaxial torus WEC can influence spar platform heave and pitch motions while simultaneously contributing wave-derived power [27,41,43]</w:t>
      </w:r>
      <w:r w:rsidR="00F728D3" w:rsidRPr="00AD6CB0">
        <w:rPr>
          <w:rFonts w:cstheme="majorBidi"/>
          <w:b w:val="0"/>
          <w:color w:val="000000" w:themeColor="text1"/>
          <w:sz w:val="20"/>
        </w:rPr>
        <w:t>. The performance of the torus is sensitive to the mass ratio between the torus and the spar, the PTO damping coefficient, and the natural heave frequency of the torus relative to the dominant wave period at the deployment site [4</w:t>
      </w:r>
      <w:r w:rsidR="00E7295F" w:rsidRPr="00AD6CB0">
        <w:rPr>
          <w:rFonts w:cstheme="majorBidi"/>
          <w:b w:val="0"/>
          <w:color w:val="000000" w:themeColor="text1"/>
          <w:sz w:val="20"/>
        </w:rPr>
        <w:t>1</w:t>
      </w:r>
      <w:r w:rsidR="00F728D3" w:rsidRPr="00AD6CB0">
        <w:rPr>
          <w:rFonts w:cstheme="majorBidi"/>
          <w:b w:val="0"/>
          <w:color w:val="000000" w:themeColor="text1"/>
          <w:sz w:val="20"/>
        </w:rPr>
        <w:t>,43]. Sarmiento et al. have further shown that PTO damping and natural frequency tuning are the most influential design variables for torus-type point absorber hybrids, reinforcing the need for site-specific optimization of these parameters [</w:t>
      </w:r>
      <w:r w:rsidR="00A8433D" w:rsidRPr="00AD6CB0">
        <w:rPr>
          <w:rFonts w:cstheme="majorBidi"/>
          <w:b w:val="0"/>
          <w:color w:val="000000" w:themeColor="text1"/>
          <w:sz w:val="20"/>
        </w:rPr>
        <w:t>113</w:t>
      </w:r>
      <w:r w:rsidR="00F728D3" w:rsidRPr="00AD6CB0">
        <w:rPr>
          <w:rFonts w:cstheme="majorBidi"/>
          <w:b w:val="0"/>
          <w:color w:val="000000" w:themeColor="text1"/>
          <w:sz w:val="20"/>
        </w:rPr>
        <w:t>]. Unlike distributed modular point absorbers (Concept 1), the torus geometry constrains integration to the spar hull specifically and offers limited scalability to other platform types, but it compensates through its structural simplicity and its compatibility with the geometric form of existing spar designs such as the Hywind concept [28,42].</w:t>
      </w:r>
    </w:p>
    <w:p w14:paraId="170D767D" w14:textId="58AABDCD" w:rsidR="00F728D3" w:rsidRPr="000C4E0D" w:rsidRDefault="00F728D3" w:rsidP="000C4E0D">
      <w:pPr>
        <w:pStyle w:val="MDPI12title"/>
        <w:tabs>
          <w:tab w:val="left" w:pos="2552"/>
        </w:tabs>
        <w:ind w:left="2552"/>
        <w:jc w:val="both"/>
        <w:rPr>
          <w:rFonts w:cstheme="majorBidi"/>
          <w:b w:val="0"/>
          <w:sz w:val="20"/>
        </w:rPr>
      </w:pPr>
      <w:r w:rsidRPr="000C4E0D">
        <w:rPr>
          <w:rFonts w:cstheme="majorBidi"/>
          <w:b w:val="0"/>
          <w:sz w:val="20"/>
        </w:rPr>
        <w:t xml:space="preserve">From a structural standpoint, the heaving torus introduces lower mechanical complexity than OWC or flap-type configurations. There are no internal chambers, air ducts, or articulated joints; the primary structural demands relate to the design of the annular torus body, the guidance and bearing system that constrains its motion to the axial degree of freedom, and the PTO mechanism housed within the spar column [41,63]. The enclosed PTO arrangement is a meaningful reliability advantage over exposed mechanical systems, though bearing wear and seal integrity under continuous cyclic loading require careful attention in the detailed design phase [47,86]. </w:t>
      </w:r>
      <w:r w:rsidR="00EC7025" w:rsidRPr="00EC7025">
        <w:rPr>
          <w:rFonts w:cstheme="majorBidi"/>
          <w:b w:val="0"/>
          <w:sz w:val="20"/>
        </w:rPr>
        <w:t>Mooring loads induced by the torus are expected to be more limited than those associated with flap-type configurations, because the torus forces act primarily in the axial direction within the coaxial spar–torus arrangement [27,41,43].</w:t>
      </w:r>
      <w:r w:rsidR="00EC7025">
        <w:rPr>
          <w:rFonts w:cstheme="majorBidi"/>
          <w:b w:val="0"/>
          <w:sz w:val="20"/>
        </w:rPr>
        <w:t xml:space="preserve"> </w:t>
      </w:r>
      <w:r w:rsidRPr="000C4E0D">
        <w:rPr>
          <w:rFonts w:cstheme="majorBidi"/>
          <w:b w:val="0"/>
          <w:sz w:val="20"/>
        </w:rPr>
        <w:t>This concept falls within the wind-dominated energy dominance category, with torus-derived wave energy contributions typically in the range of 5–15% of total annual platform output depending on torus dimensions, PTO tuning, and site wave climate [</w:t>
      </w:r>
      <w:r w:rsidR="00A9390E">
        <w:rPr>
          <w:rFonts w:cstheme="majorBidi"/>
          <w:b w:val="0"/>
          <w:sz w:val="20"/>
        </w:rPr>
        <w:t>14,</w:t>
      </w:r>
      <w:r w:rsidRPr="000C4E0D">
        <w:rPr>
          <w:rFonts w:cstheme="majorBidi"/>
          <w:b w:val="0"/>
          <w:sz w:val="20"/>
        </w:rPr>
        <w:t>21].</w:t>
      </w:r>
      <w:r w:rsidR="00D21B44" w:rsidRPr="00D21B44">
        <w:t xml:space="preserve"> </w:t>
      </w:r>
      <w:r w:rsidR="00D21B44" w:rsidRPr="00D21B44">
        <w:rPr>
          <w:rFonts w:cstheme="majorBidi"/>
          <w:b w:val="0"/>
          <w:sz w:val="20"/>
        </w:rPr>
        <w:t>The key characteristics of these four concepts are summarized in Table 2.</w:t>
      </w:r>
    </w:p>
    <w:p w14:paraId="0658D819" w14:textId="77777777" w:rsidR="00B70F48" w:rsidRPr="000C4E0D" w:rsidRDefault="00B70F48" w:rsidP="000C4E0D">
      <w:pPr>
        <w:pStyle w:val="ds-markdown-paragraph"/>
        <w:shd w:val="clear" w:color="auto" w:fill="FFFFFF"/>
        <w:tabs>
          <w:tab w:val="left" w:pos="2552"/>
        </w:tabs>
        <w:spacing w:before="240" w:beforeAutospacing="0" w:after="240" w:afterAutospacing="0"/>
        <w:ind w:left="2552"/>
        <w:jc w:val="both"/>
        <w:rPr>
          <w:rFonts w:ascii="Palatino Linotype" w:hAnsi="Palatino Linotype"/>
          <w:color w:val="0F1115"/>
          <w:sz w:val="20"/>
          <w:szCs w:val="20"/>
        </w:rPr>
      </w:pPr>
      <w:r w:rsidRPr="004B2EBA">
        <w:rPr>
          <w:rStyle w:val="Strong"/>
          <w:rFonts w:ascii="Palatino Linotype" w:hAnsi="Palatino Linotype"/>
          <w:color w:val="0F1115"/>
          <w:sz w:val="20"/>
          <w:szCs w:val="20"/>
        </w:rPr>
        <w:t>Table</w:t>
      </w:r>
      <w:r w:rsidRPr="000C4E0D">
        <w:rPr>
          <w:rStyle w:val="Strong"/>
          <w:rFonts w:ascii="Palatino Linotype" w:hAnsi="Palatino Linotype"/>
          <w:b w:val="0"/>
          <w:bCs w:val="0"/>
          <w:color w:val="0F1115"/>
          <w:sz w:val="20"/>
          <w:szCs w:val="20"/>
        </w:rPr>
        <w:t xml:space="preserve"> 2: Overview of Selected Hybrid Concepts</w:t>
      </w:r>
    </w:p>
    <w:tbl>
      <w:tblPr>
        <w:tblStyle w:val="GridTable4-Accent1"/>
        <w:tblW w:w="7696" w:type="dxa"/>
        <w:tblInd w:w="2122" w:type="dxa"/>
        <w:tblLook w:val="04A0" w:firstRow="1" w:lastRow="0" w:firstColumn="1" w:lastColumn="0" w:noHBand="0" w:noVBand="1"/>
      </w:tblPr>
      <w:tblGrid>
        <w:gridCol w:w="1036"/>
        <w:gridCol w:w="1813"/>
        <w:gridCol w:w="2462"/>
        <w:gridCol w:w="1312"/>
        <w:gridCol w:w="1073"/>
      </w:tblGrid>
      <w:tr w:rsidR="00B70F48" w:rsidRPr="000C4E0D" w14:paraId="06E47CDA" w14:textId="77777777" w:rsidTr="002D2337">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036" w:type="dxa"/>
            <w:hideMark/>
          </w:tcPr>
          <w:p w14:paraId="1B04804F" w14:textId="77777777" w:rsidR="00B70F48" w:rsidRPr="000C4E0D" w:rsidRDefault="00B70F48" w:rsidP="000C4E0D">
            <w:pPr>
              <w:tabs>
                <w:tab w:val="left" w:pos="2552"/>
              </w:tabs>
              <w:rPr>
                <w:rFonts w:eastAsia="Times New Roman" w:cs="Times New Roman"/>
                <w:b w:val="0"/>
                <w:bCs w:val="0"/>
                <w:lang w:val="en-GB" w:eastAsia="en-GB"/>
              </w:rPr>
            </w:pPr>
            <w:r w:rsidRPr="000C4E0D">
              <w:rPr>
                <w:rFonts w:eastAsia="Times New Roman" w:cs="Times New Roman"/>
                <w:b w:val="0"/>
                <w:bCs w:val="0"/>
                <w:lang w:val="en-GB" w:eastAsia="en-GB"/>
              </w:rPr>
              <w:t>Concept</w:t>
            </w:r>
          </w:p>
        </w:tc>
        <w:tc>
          <w:tcPr>
            <w:tcW w:w="1813" w:type="dxa"/>
            <w:hideMark/>
          </w:tcPr>
          <w:p w14:paraId="16BB2441" w14:textId="77777777" w:rsidR="00B70F48" w:rsidRPr="000C4E0D" w:rsidRDefault="00B70F48" w:rsidP="000C4E0D">
            <w:pPr>
              <w:tabs>
                <w:tab w:val="left" w:pos="2552"/>
              </w:tabs>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lang w:val="en-GB" w:eastAsia="en-GB"/>
              </w:rPr>
            </w:pPr>
            <w:r w:rsidRPr="000C4E0D">
              <w:rPr>
                <w:rFonts w:eastAsia="Times New Roman" w:cs="Times New Roman"/>
                <w:b w:val="0"/>
                <w:bCs w:val="0"/>
                <w:lang w:val="en-GB" w:eastAsia="en-GB"/>
              </w:rPr>
              <w:t>WEC Type</w:t>
            </w:r>
          </w:p>
        </w:tc>
        <w:tc>
          <w:tcPr>
            <w:tcW w:w="2462" w:type="dxa"/>
            <w:hideMark/>
          </w:tcPr>
          <w:p w14:paraId="246A8504" w14:textId="77777777" w:rsidR="00B70F48" w:rsidRPr="000C4E0D" w:rsidRDefault="00B70F48" w:rsidP="000C4E0D">
            <w:pPr>
              <w:tabs>
                <w:tab w:val="left" w:pos="2552"/>
              </w:tabs>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lang w:val="en-GB" w:eastAsia="en-GB"/>
              </w:rPr>
            </w:pPr>
            <w:r w:rsidRPr="000C4E0D">
              <w:rPr>
                <w:rFonts w:eastAsia="Times New Roman" w:cs="Times New Roman"/>
                <w:b w:val="0"/>
                <w:bCs w:val="0"/>
                <w:lang w:val="en-GB" w:eastAsia="en-GB"/>
              </w:rPr>
              <w:t>Key Feature</w:t>
            </w:r>
          </w:p>
        </w:tc>
        <w:tc>
          <w:tcPr>
            <w:tcW w:w="1312" w:type="dxa"/>
            <w:hideMark/>
          </w:tcPr>
          <w:p w14:paraId="257DB529" w14:textId="77777777" w:rsidR="00B70F48" w:rsidRPr="000C4E0D" w:rsidRDefault="00B70F48" w:rsidP="000C4E0D">
            <w:pPr>
              <w:tabs>
                <w:tab w:val="left" w:pos="2552"/>
              </w:tabs>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lang w:val="en-GB" w:eastAsia="en-GB"/>
              </w:rPr>
            </w:pPr>
            <w:r w:rsidRPr="000C4E0D">
              <w:rPr>
                <w:rFonts w:eastAsia="Times New Roman" w:cs="Times New Roman"/>
                <w:b w:val="0"/>
                <w:bCs w:val="0"/>
                <w:lang w:val="en-GB" w:eastAsia="en-GB"/>
              </w:rPr>
              <w:t>Motion Damping</w:t>
            </w:r>
          </w:p>
        </w:tc>
        <w:tc>
          <w:tcPr>
            <w:tcW w:w="0" w:type="auto"/>
            <w:hideMark/>
          </w:tcPr>
          <w:p w14:paraId="629B9D0A" w14:textId="77777777" w:rsidR="00B70F48" w:rsidRPr="000C4E0D" w:rsidRDefault="00B70F48" w:rsidP="000C4E0D">
            <w:pPr>
              <w:tabs>
                <w:tab w:val="left" w:pos="2552"/>
              </w:tabs>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lang w:val="en-GB" w:eastAsia="en-GB"/>
              </w:rPr>
            </w:pPr>
            <w:r w:rsidRPr="000C4E0D">
              <w:rPr>
                <w:rFonts w:eastAsia="Times New Roman" w:cs="Times New Roman"/>
                <w:b w:val="0"/>
                <w:bCs w:val="0"/>
                <w:lang w:val="en-GB" w:eastAsia="en-GB"/>
              </w:rPr>
              <w:t>Complexity</w:t>
            </w:r>
          </w:p>
        </w:tc>
      </w:tr>
      <w:tr w:rsidR="00B70F48" w:rsidRPr="000C4E0D" w14:paraId="39882C6E" w14:textId="77777777" w:rsidTr="002D2337">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036" w:type="dxa"/>
            <w:hideMark/>
          </w:tcPr>
          <w:p w14:paraId="0696601C" w14:textId="77777777" w:rsidR="00B70F48" w:rsidRPr="000C4E0D" w:rsidRDefault="00B70F48" w:rsidP="000C4E0D">
            <w:pPr>
              <w:tabs>
                <w:tab w:val="left" w:pos="2552"/>
              </w:tabs>
              <w:rPr>
                <w:rFonts w:eastAsia="Times New Roman" w:cs="Times New Roman"/>
                <w:b w:val="0"/>
                <w:bCs w:val="0"/>
                <w:lang w:val="en-GB" w:eastAsia="en-GB"/>
              </w:rPr>
            </w:pPr>
            <w:r w:rsidRPr="000C4E0D">
              <w:rPr>
                <w:rFonts w:eastAsia="Times New Roman" w:cs="Times New Roman"/>
                <w:b w:val="0"/>
                <w:bCs w:val="0"/>
                <w:lang w:val="en-GB" w:eastAsia="en-GB"/>
              </w:rPr>
              <w:t>C1</w:t>
            </w:r>
          </w:p>
        </w:tc>
        <w:tc>
          <w:tcPr>
            <w:tcW w:w="1813" w:type="dxa"/>
            <w:hideMark/>
          </w:tcPr>
          <w:p w14:paraId="51F1CC64" w14:textId="77777777" w:rsidR="00B70F48" w:rsidRPr="000C4E0D" w:rsidRDefault="00B70F48" w:rsidP="000C4E0D">
            <w:pPr>
              <w:tabs>
                <w:tab w:val="left" w:pos="2552"/>
              </w:tabs>
              <w:cnfStyle w:val="000000100000" w:firstRow="0" w:lastRow="0" w:firstColumn="0" w:lastColumn="0" w:oddVBand="0" w:evenVBand="0" w:oddHBand="1" w:evenHBand="0" w:firstRowFirstColumn="0" w:firstRowLastColumn="0" w:lastRowFirstColumn="0" w:lastRowLastColumn="0"/>
              <w:rPr>
                <w:rFonts w:eastAsia="Times New Roman" w:cs="Times New Roman"/>
                <w:lang w:val="en-GB" w:eastAsia="en-GB"/>
              </w:rPr>
            </w:pPr>
            <w:r w:rsidRPr="000C4E0D">
              <w:rPr>
                <w:rFonts w:eastAsia="Times New Roman" w:cs="Times New Roman"/>
                <w:lang w:val="en-GB" w:eastAsia="en-GB"/>
              </w:rPr>
              <w:t>Point absorber</w:t>
            </w:r>
          </w:p>
        </w:tc>
        <w:tc>
          <w:tcPr>
            <w:tcW w:w="2462" w:type="dxa"/>
            <w:hideMark/>
          </w:tcPr>
          <w:p w14:paraId="443AF756" w14:textId="77777777" w:rsidR="00B70F48" w:rsidRPr="000C4E0D" w:rsidRDefault="00B70F48" w:rsidP="000C4E0D">
            <w:pPr>
              <w:tabs>
                <w:tab w:val="left" w:pos="2552"/>
              </w:tabs>
              <w:cnfStyle w:val="000000100000" w:firstRow="0" w:lastRow="0" w:firstColumn="0" w:lastColumn="0" w:oddVBand="0" w:evenVBand="0" w:oddHBand="1" w:evenHBand="0" w:firstRowFirstColumn="0" w:firstRowLastColumn="0" w:lastRowFirstColumn="0" w:lastRowLastColumn="0"/>
              <w:rPr>
                <w:rFonts w:eastAsia="Times New Roman" w:cs="Times New Roman"/>
                <w:lang w:val="en-GB" w:eastAsia="en-GB"/>
              </w:rPr>
            </w:pPr>
            <w:r w:rsidRPr="000C4E0D">
              <w:rPr>
                <w:rFonts w:eastAsia="Times New Roman" w:cs="Times New Roman"/>
                <w:lang w:val="en-GB" w:eastAsia="en-GB"/>
              </w:rPr>
              <w:t>Modular attachments around platform</w:t>
            </w:r>
          </w:p>
        </w:tc>
        <w:tc>
          <w:tcPr>
            <w:tcW w:w="1312" w:type="dxa"/>
            <w:hideMark/>
          </w:tcPr>
          <w:p w14:paraId="252F845F" w14:textId="77777777" w:rsidR="00B70F48" w:rsidRPr="000C4E0D" w:rsidRDefault="00B70F48" w:rsidP="000C4E0D">
            <w:pPr>
              <w:tabs>
                <w:tab w:val="left" w:pos="2552"/>
              </w:tabs>
              <w:cnfStyle w:val="000000100000" w:firstRow="0" w:lastRow="0" w:firstColumn="0" w:lastColumn="0" w:oddVBand="0" w:evenVBand="0" w:oddHBand="1" w:evenHBand="0" w:firstRowFirstColumn="0" w:firstRowLastColumn="0" w:lastRowFirstColumn="0" w:lastRowLastColumn="0"/>
              <w:rPr>
                <w:rFonts w:eastAsia="Times New Roman" w:cs="Times New Roman"/>
                <w:lang w:val="en-GB" w:eastAsia="en-GB"/>
              </w:rPr>
            </w:pPr>
            <w:r w:rsidRPr="000C4E0D">
              <w:rPr>
                <w:rFonts w:eastAsia="Times New Roman" w:cs="Times New Roman"/>
                <w:lang w:val="en-GB" w:eastAsia="en-GB"/>
              </w:rPr>
              <w:t>Moderate</w:t>
            </w:r>
          </w:p>
        </w:tc>
        <w:tc>
          <w:tcPr>
            <w:tcW w:w="0" w:type="auto"/>
            <w:hideMark/>
          </w:tcPr>
          <w:p w14:paraId="2AF5FA18" w14:textId="77777777" w:rsidR="00B70F48" w:rsidRPr="000C4E0D" w:rsidRDefault="00B70F48" w:rsidP="000C4E0D">
            <w:pPr>
              <w:tabs>
                <w:tab w:val="left" w:pos="2552"/>
              </w:tabs>
              <w:cnfStyle w:val="000000100000" w:firstRow="0" w:lastRow="0" w:firstColumn="0" w:lastColumn="0" w:oddVBand="0" w:evenVBand="0" w:oddHBand="1" w:evenHBand="0" w:firstRowFirstColumn="0" w:firstRowLastColumn="0" w:lastRowFirstColumn="0" w:lastRowLastColumn="0"/>
              <w:rPr>
                <w:rFonts w:eastAsia="Times New Roman" w:cs="Times New Roman"/>
                <w:lang w:val="en-GB" w:eastAsia="en-GB"/>
              </w:rPr>
            </w:pPr>
            <w:r w:rsidRPr="000C4E0D">
              <w:rPr>
                <w:rFonts w:eastAsia="Times New Roman" w:cs="Times New Roman"/>
                <w:lang w:val="en-GB" w:eastAsia="en-GB"/>
              </w:rPr>
              <w:t>Low</w:t>
            </w:r>
          </w:p>
        </w:tc>
      </w:tr>
      <w:tr w:rsidR="00B70F48" w:rsidRPr="000C4E0D" w14:paraId="440A1859" w14:textId="77777777" w:rsidTr="002D2337">
        <w:trPr>
          <w:trHeight w:val="212"/>
        </w:trPr>
        <w:tc>
          <w:tcPr>
            <w:cnfStyle w:val="001000000000" w:firstRow="0" w:lastRow="0" w:firstColumn="1" w:lastColumn="0" w:oddVBand="0" w:evenVBand="0" w:oddHBand="0" w:evenHBand="0" w:firstRowFirstColumn="0" w:firstRowLastColumn="0" w:lastRowFirstColumn="0" w:lastRowLastColumn="0"/>
            <w:tcW w:w="1036" w:type="dxa"/>
            <w:hideMark/>
          </w:tcPr>
          <w:p w14:paraId="381D5D44" w14:textId="77777777" w:rsidR="00B70F48" w:rsidRPr="000C4E0D" w:rsidRDefault="00B70F48" w:rsidP="000C4E0D">
            <w:pPr>
              <w:tabs>
                <w:tab w:val="left" w:pos="2552"/>
              </w:tabs>
              <w:rPr>
                <w:rFonts w:eastAsia="Times New Roman" w:cs="Times New Roman"/>
                <w:b w:val="0"/>
                <w:bCs w:val="0"/>
                <w:lang w:val="en-GB" w:eastAsia="en-GB"/>
              </w:rPr>
            </w:pPr>
            <w:r w:rsidRPr="000C4E0D">
              <w:rPr>
                <w:rFonts w:eastAsia="Times New Roman" w:cs="Times New Roman"/>
                <w:b w:val="0"/>
                <w:bCs w:val="0"/>
                <w:lang w:val="en-GB" w:eastAsia="en-GB"/>
              </w:rPr>
              <w:t>C2</w:t>
            </w:r>
          </w:p>
        </w:tc>
        <w:tc>
          <w:tcPr>
            <w:tcW w:w="1813" w:type="dxa"/>
            <w:hideMark/>
          </w:tcPr>
          <w:p w14:paraId="598FC35B" w14:textId="77777777" w:rsidR="00B70F48" w:rsidRPr="000C4E0D" w:rsidRDefault="00B70F48" w:rsidP="000C4E0D">
            <w:pPr>
              <w:tabs>
                <w:tab w:val="left" w:pos="2552"/>
              </w:tabs>
              <w:cnfStyle w:val="000000000000" w:firstRow="0" w:lastRow="0" w:firstColumn="0" w:lastColumn="0" w:oddVBand="0" w:evenVBand="0" w:oddHBand="0" w:evenHBand="0" w:firstRowFirstColumn="0" w:firstRowLastColumn="0" w:lastRowFirstColumn="0" w:lastRowLastColumn="0"/>
              <w:rPr>
                <w:rFonts w:eastAsia="Times New Roman" w:cs="Times New Roman"/>
                <w:lang w:val="en-GB" w:eastAsia="en-GB"/>
              </w:rPr>
            </w:pPr>
            <w:r w:rsidRPr="000C4E0D">
              <w:rPr>
                <w:rFonts w:eastAsia="Times New Roman" w:cs="Times New Roman"/>
                <w:lang w:val="en-GB" w:eastAsia="en-GB"/>
              </w:rPr>
              <w:t>OWC</w:t>
            </w:r>
          </w:p>
        </w:tc>
        <w:tc>
          <w:tcPr>
            <w:tcW w:w="2462" w:type="dxa"/>
            <w:hideMark/>
          </w:tcPr>
          <w:p w14:paraId="7B466919" w14:textId="77777777" w:rsidR="00B70F48" w:rsidRPr="000C4E0D" w:rsidRDefault="00B70F48" w:rsidP="000C4E0D">
            <w:pPr>
              <w:tabs>
                <w:tab w:val="left" w:pos="2552"/>
              </w:tabs>
              <w:cnfStyle w:val="000000000000" w:firstRow="0" w:lastRow="0" w:firstColumn="0" w:lastColumn="0" w:oddVBand="0" w:evenVBand="0" w:oddHBand="0" w:evenHBand="0" w:firstRowFirstColumn="0" w:firstRowLastColumn="0" w:lastRowFirstColumn="0" w:lastRowLastColumn="0"/>
              <w:rPr>
                <w:rFonts w:eastAsia="Times New Roman" w:cs="Times New Roman"/>
                <w:lang w:val="en-GB" w:eastAsia="en-GB"/>
              </w:rPr>
            </w:pPr>
            <w:r w:rsidRPr="000C4E0D">
              <w:rPr>
                <w:rFonts w:eastAsia="Times New Roman" w:cs="Times New Roman"/>
                <w:lang w:val="en-GB" w:eastAsia="en-GB"/>
              </w:rPr>
              <w:t>Integrated substructure chambers</w:t>
            </w:r>
          </w:p>
        </w:tc>
        <w:tc>
          <w:tcPr>
            <w:tcW w:w="1312" w:type="dxa"/>
            <w:hideMark/>
          </w:tcPr>
          <w:p w14:paraId="573AEBA0" w14:textId="77777777" w:rsidR="00B70F48" w:rsidRPr="000C4E0D" w:rsidRDefault="00B70F48" w:rsidP="000C4E0D">
            <w:pPr>
              <w:tabs>
                <w:tab w:val="left" w:pos="2552"/>
              </w:tabs>
              <w:cnfStyle w:val="000000000000" w:firstRow="0" w:lastRow="0" w:firstColumn="0" w:lastColumn="0" w:oddVBand="0" w:evenVBand="0" w:oddHBand="0" w:evenHBand="0" w:firstRowFirstColumn="0" w:firstRowLastColumn="0" w:lastRowFirstColumn="0" w:lastRowLastColumn="0"/>
              <w:rPr>
                <w:rFonts w:eastAsia="Times New Roman" w:cs="Times New Roman"/>
                <w:lang w:val="en-GB" w:eastAsia="en-GB"/>
              </w:rPr>
            </w:pPr>
            <w:r w:rsidRPr="000C4E0D">
              <w:rPr>
                <w:rFonts w:eastAsia="Times New Roman" w:cs="Times New Roman"/>
                <w:lang w:val="en-GB" w:eastAsia="en-GB"/>
              </w:rPr>
              <w:t>Consistent</w:t>
            </w:r>
          </w:p>
        </w:tc>
        <w:tc>
          <w:tcPr>
            <w:tcW w:w="1073" w:type="dxa"/>
            <w:hideMark/>
          </w:tcPr>
          <w:p w14:paraId="0A6E4999" w14:textId="77777777" w:rsidR="00B70F48" w:rsidRPr="000C4E0D" w:rsidRDefault="00B70F48" w:rsidP="000C4E0D">
            <w:pPr>
              <w:tabs>
                <w:tab w:val="left" w:pos="2552"/>
              </w:tabs>
              <w:cnfStyle w:val="000000000000" w:firstRow="0" w:lastRow="0" w:firstColumn="0" w:lastColumn="0" w:oddVBand="0" w:evenVBand="0" w:oddHBand="0" w:evenHBand="0" w:firstRowFirstColumn="0" w:firstRowLastColumn="0" w:lastRowFirstColumn="0" w:lastRowLastColumn="0"/>
              <w:rPr>
                <w:rFonts w:eastAsia="Times New Roman" w:cs="Times New Roman"/>
                <w:lang w:val="en-GB" w:eastAsia="en-GB"/>
              </w:rPr>
            </w:pPr>
            <w:r w:rsidRPr="000C4E0D">
              <w:rPr>
                <w:rFonts w:eastAsia="Times New Roman" w:cs="Times New Roman"/>
                <w:lang w:val="en-GB" w:eastAsia="en-GB"/>
              </w:rPr>
              <w:t>Moderate</w:t>
            </w:r>
          </w:p>
        </w:tc>
      </w:tr>
      <w:tr w:rsidR="00B70F48" w:rsidRPr="000C4E0D" w14:paraId="4DB29372" w14:textId="77777777" w:rsidTr="002D2337">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036" w:type="dxa"/>
            <w:hideMark/>
          </w:tcPr>
          <w:p w14:paraId="5254D6C9" w14:textId="77777777" w:rsidR="00B70F48" w:rsidRPr="000C4E0D" w:rsidRDefault="00B70F48" w:rsidP="000C4E0D">
            <w:pPr>
              <w:tabs>
                <w:tab w:val="left" w:pos="2552"/>
              </w:tabs>
              <w:rPr>
                <w:rFonts w:eastAsia="Times New Roman" w:cs="Times New Roman"/>
                <w:b w:val="0"/>
                <w:bCs w:val="0"/>
                <w:lang w:val="en-GB" w:eastAsia="en-GB"/>
              </w:rPr>
            </w:pPr>
            <w:r w:rsidRPr="000C4E0D">
              <w:rPr>
                <w:rFonts w:eastAsia="Times New Roman" w:cs="Times New Roman"/>
                <w:b w:val="0"/>
                <w:bCs w:val="0"/>
                <w:lang w:val="en-GB" w:eastAsia="en-GB"/>
              </w:rPr>
              <w:t>C3</w:t>
            </w:r>
          </w:p>
        </w:tc>
        <w:tc>
          <w:tcPr>
            <w:tcW w:w="1813" w:type="dxa"/>
            <w:hideMark/>
          </w:tcPr>
          <w:p w14:paraId="1BC0CFAA" w14:textId="77777777" w:rsidR="00B70F48" w:rsidRPr="000C4E0D" w:rsidRDefault="00B70F48" w:rsidP="000C4E0D">
            <w:pPr>
              <w:tabs>
                <w:tab w:val="left" w:pos="2552"/>
              </w:tabs>
              <w:cnfStyle w:val="000000100000" w:firstRow="0" w:lastRow="0" w:firstColumn="0" w:lastColumn="0" w:oddVBand="0" w:evenVBand="0" w:oddHBand="1" w:evenHBand="0" w:firstRowFirstColumn="0" w:firstRowLastColumn="0" w:lastRowFirstColumn="0" w:lastRowLastColumn="0"/>
              <w:rPr>
                <w:rFonts w:eastAsia="Times New Roman" w:cs="Times New Roman"/>
                <w:lang w:val="en-GB" w:eastAsia="en-GB"/>
              </w:rPr>
            </w:pPr>
            <w:r w:rsidRPr="000C4E0D">
              <w:rPr>
                <w:rFonts w:eastAsia="Times New Roman" w:cs="Times New Roman"/>
                <w:lang w:val="en-GB" w:eastAsia="en-GB"/>
              </w:rPr>
              <w:t>Flap-type</w:t>
            </w:r>
          </w:p>
        </w:tc>
        <w:tc>
          <w:tcPr>
            <w:tcW w:w="2462" w:type="dxa"/>
            <w:hideMark/>
          </w:tcPr>
          <w:p w14:paraId="4EEB5CC9" w14:textId="77777777" w:rsidR="00B70F48" w:rsidRPr="000C4E0D" w:rsidRDefault="00B70F48" w:rsidP="000C4E0D">
            <w:pPr>
              <w:tabs>
                <w:tab w:val="left" w:pos="2552"/>
              </w:tabs>
              <w:cnfStyle w:val="000000100000" w:firstRow="0" w:lastRow="0" w:firstColumn="0" w:lastColumn="0" w:oddVBand="0" w:evenVBand="0" w:oddHBand="1" w:evenHBand="0" w:firstRowFirstColumn="0" w:firstRowLastColumn="0" w:lastRowFirstColumn="0" w:lastRowLastColumn="0"/>
              <w:rPr>
                <w:rFonts w:eastAsia="Times New Roman" w:cs="Times New Roman"/>
                <w:lang w:val="en-GB" w:eastAsia="en-GB"/>
              </w:rPr>
            </w:pPr>
            <w:r w:rsidRPr="000C4E0D">
              <w:rPr>
                <w:rFonts w:eastAsia="Times New Roman" w:cs="Times New Roman"/>
                <w:lang w:val="en-GB" w:eastAsia="en-GB"/>
              </w:rPr>
              <w:t>Articulated flaps attached to platform</w:t>
            </w:r>
          </w:p>
        </w:tc>
        <w:tc>
          <w:tcPr>
            <w:tcW w:w="1312" w:type="dxa"/>
            <w:hideMark/>
          </w:tcPr>
          <w:p w14:paraId="3653756B" w14:textId="77777777" w:rsidR="00B70F48" w:rsidRPr="000C4E0D" w:rsidRDefault="00B70F48" w:rsidP="000C4E0D">
            <w:pPr>
              <w:tabs>
                <w:tab w:val="left" w:pos="2552"/>
              </w:tabs>
              <w:cnfStyle w:val="000000100000" w:firstRow="0" w:lastRow="0" w:firstColumn="0" w:lastColumn="0" w:oddVBand="0" w:evenVBand="0" w:oddHBand="1" w:evenHBand="0" w:firstRowFirstColumn="0" w:firstRowLastColumn="0" w:lastRowFirstColumn="0" w:lastRowLastColumn="0"/>
              <w:rPr>
                <w:rFonts w:eastAsia="Times New Roman" w:cs="Times New Roman"/>
                <w:lang w:val="en-GB" w:eastAsia="en-GB"/>
              </w:rPr>
            </w:pPr>
            <w:r w:rsidRPr="000C4E0D">
              <w:rPr>
                <w:rFonts w:eastAsia="Times New Roman" w:cs="Times New Roman"/>
                <w:lang w:val="en-GB" w:eastAsia="en-GB"/>
              </w:rPr>
              <w:t>High</w:t>
            </w:r>
          </w:p>
        </w:tc>
        <w:tc>
          <w:tcPr>
            <w:tcW w:w="0" w:type="auto"/>
            <w:hideMark/>
          </w:tcPr>
          <w:p w14:paraId="3ACC6103" w14:textId="77777777" w:rsidR="00B70F48" w:rsidRPr="000C4E0D" w:rsidRDefault="00B70F48" w:rsidP="000C4E0D">
            <w:pPr>
              <w:tabs>
                <w:tab w:val="left" w:pos="2552"/>
              </w:tabs>
              <w:cnfStyle w:val="000000100000" w:firstRow="0" w:lastRow="0" w:firstColumn="0" w:lastColumn="0" w:oddVBand="0" w:evenVBand="0" w:oddHBand="1" w:evenHBand="0" w:firstRowFirstColumn="0" w:firstRowLastColumn="0" w:lastRowFirstColumn="0" w:lastRowLastColumn="0"/>
              <w:rPr>
                <w:rFonts w:eastAsia="Times New Roman" w:cs="Times New Roman"/>
                <w:lang w:val="en-GB" w:eastAsia="en-GB"/>
              </w:rPr>
            </w:pPr>
            <w:r w:rsidRPr="000C4E0D">
              <w:rPr>
                <w:rFonts w:eastAsia="Times New Roman" w:cs="Times New Roman"/>
                <w:lang w:val="en-GB" w:eastAsia="en-GB"/>
              </w:rPr>
              <w:t>High</w:t>
            </w:r>
          </w:p>
        </w:tc>
      </w:tr>
      <w:tr w:rsidR="00AA68E5" w:rsidRPr="000C4E0D" w14:paraId="40A1A85C" w14:textId="77777777" w:rsidTr="002D2337">
        <w:trPr>
          <w:trHeight w:val="408"/>
        </w:trPr>
        <w:tc>
          <w:tcPr>
            <w:cnfStyle w:val="001000000000" w:firstRow="0" w:lastRow="0" w:firstColumn="1" w:lastColumn="0" w:oddVBand="0" w:evenVBand="0" w:oddHBand="0" w:evenHBand="0" w:firstRowFirstColumn="0" w:firstRowLastColumn="0" w:lastRowFirstColumn="0" w:lastRowLastColumn="0"/>
            <w:tcW w:w="1036" w:type="dxa"/>
          </w:tcPr>
          <w:p w14:paraId="29F22E8B" w14:textId="5D8A992F" w:rsidR="00AA68E5" w:rsidRPr="000C4E0D" w:rsidRDefault="00AA68E5" w:rsidP="000C4E0D">
            <w:pPr>
              <w:tabs>
                <w:tab w:val="left" w:pos="2552"/>
              </w:tabs>
              <w:rPr>
                <w:rFonts w:eastAsia="Times New Roman"/>
                <w:b w:val="0"/>
                <w:bCs w:val="0"/>
                <w:lang w:val="en-GB" w:eastAsia="en-GB"/>
              </w:rPr>
            </w:pPr>
            <w:r w:rsidRPr="000C4E0D">
              <w:rPr>
                <w:rFonts w:eastAsia="Times New Roman"/>
                <w:b w:val="0"/>
                <w:bCs w:val="0"/>
                <w:lang w:val="en-GB" w:eastAsia="en-GB"/>
              </w:rPr>
              <w:t>C4</w:t>
            </w:r>
          </w:p>
        </w:tc>
        <w:tc>
          <w:tcPr>
            <w:tcW w:w="1813" w:type="dxa"/>
          </w:tcPr>
          <w:p w14:paraId="4AF05A12" w14:textId="1F0AD1AD" w:rsidR="00AA68E5" w:rsidRPr="000C4E0D" w:rsidRDefault="00353417" w:rsidP="000C4E0D">
            <w:pPr>
              <w:tabs>
                <w:tab w:val="left" w:pos="2552"/>
              </w:tabs>
              <w:cnfStyle w:val="000000000000" w:firstRow="0" w:lastRow="0" w:firstColumn="0" w:lastColumn="0" w:oddVBand="0" w:evenVBand="0" w:oddHBand="0" w:evenHBand="0" w:firstRowFirstColumn="0" w:firstRowLastColumn="0" w:lastRowFirstColumn="0" w:lastRowLastColumn="0"/>
              <w:rPr>
                <w:rFonts w:eastAsia="Times New Roman"/>
                <w:lang w:val="en-GB" w:eastAsia="en-GB"/>
              </w:rPr>
            </w:pPr>
            <w:r w:rsidRPr="000C4E0D">
              <w:rPr>
                <w:rStyle w:val="Strong"/>
                <w:b w:val="0"/>
                <w:bCs w:val="0"/>
              </w:rPr>
              <w:t>Heaving torus (point absorber)</w:t>
            </w:r>
          </w:p>
        </w:tc>
        <w:tc>
          <w:tcPr>
            <w:tcW w:w="2462" w:type="dxa"/>
          </w:tcPr>
          <w:p w14:paraId="01BC3AA3" w14:textId="758BE064" w:rsidR="00AA68E5" w:rsidRPr="000C4E0D" w:rsidRDefault="00353417" w:rsidP="000C4E0D">
            <w:pPr>
              <w:tabs>
                <w:tab w:val="left" w:pos="2552"/>
              </w:tabs>
              <w:cnfStyle w:val="000000000000" w:firstRow="0" w:lastRow="0" w:firstColumn="0" w:lastColumn="0" w:oddVBand="0" w:evenVBand="0" w:oddHBand="0" w:evenHBand="0" w:firstRowFirstColumn="0" w:firstRowLastColumn="0" w:lastRowFirstColumn="0" w:lastRowLastColumn="0"/>
              <w:rPr>
                <w:rFonts w:eastAsia="Times New Roman"/>
                <w:lang w:val="en-GB" w:eastAsia="en-GB"/>
              </w:rPr>
            </w:pPr>
            <w:r w:rsidRPr="000C4E0D">
              <w:t>Torus ring encircling spar hull</w:t>
            </w:r>
          </w:p>
        </w:tc>
        <w:tc>
          <w:tcPr>
            <w:tcW w:w="1312" w:type="dxa"/>
          </w:tcPr>
          <w:p w14:paraId="2D222761" w14:textId="1E669811" w:rsidR="00AA68E5" w:rsidRPr="000C4E0D" w:rsidRDefault="00353417" w:rsidP="000C4E0D">
            <w:pPr>
              <w:tabs>
                <w:tab w:val="left" w:pos="2552"/>
              </w:tabs>
              <w:cnfStyle w:val="000000000000" w:firstRow="0" w:lastRow="0" w:firstColumn="0" w:lastColumn="0" w:oddVBand="0" w:evenVBand="0" w:oddHBand="0" w:evenHBand="0" w:firstRowFirstColumn="0" w:firstRowLastColumn="0" w:lastRowFirstColumn="0" w:lastRowLastColumn="0"/>
              <w:rPr>
                <w:rFonts w:eastAsia="Times New Roman"/>
                <w:lang w:val="en-GB" w:eastAsia="en-GB"/>
              </w:rPr>
            </w:pPr>
            <w:r w:rsidRPr="000C4E0D">
              <w:t>Moderate–High</w:t>
            </w:r>
          </w:p>
        </w:tc>
        <w:tc>
          <w:tcPr>
            <w:tcW w:w="0" w:type="auto"/>
          </w:tcPr>
          <w:p w14:paraId="124D7582" w14:textId="50F0A3B3" w:rsidR="00AA68E5" w:rsidRPr="000C4E0D" w:rsidRDefault="00353417" w:rsidP="000C4E0D">
            <w:pPr>
              <w:tabs>
                <w:tab w:val="left" w:pos="2552"/>
              </w:tabs>
              <w:cnfStyle w:val="000000000000" w:firstRow="0" w:lastRow="0" w:firstColumn="0" w:lastColumn="0" w:oddVBand="0" w:evenVBand="0" w:oddHBand="0" w:evenHBand="0" w:firstRowFirstColumn="0" w:firstRowLastColumn="0" w:lastRowFirstColumn="0" w:lastRowLastColumn="0"/>
              <w:rPr>
                <w:rFonts w:eastAsia="Times New Roman"/>
                <w:lang w:val="en-GB" w:eastAsia="en-GB"/>
              </w:rPr>
            </w:pPr>
            <w:r w:rsidRPr="000C4E0D">
              <w:t>Moderate</w:t>
            </w:r>
          </w:p>
        </w:tc>
      </w:tr>
    </w:tbl>
    <w:p w14:paraId="19A48FD3" w14:textId="77777777" w:rsidR="004B6A18" w:rsidRDefault="004B6A18" w:rsidP="000C4E0D">
      <w:pPr>
        <w:tabs>
          <w:tab w:val="left" w:pos="2552"/>
        </w:tabs>
        <w:ind w:left="2552"/>
        <w:rPr>
          <w:rStyle w:val="Strong"/>
          <w:color w:val="000000" w:themeColor="text1"/>
          <w:sz w:val="24"/>
          <w:szCs w:val="24"/>
        </w:rPr>
      </w:pPr>
    </w:p>
    <w:p w14:paraId="421A65F8" w14:textId="77777777" w:rsidR="00AD6CB0" w:rsidRDefault="00AD6CB0" w:rsidP="000C4E0D">
      <w:pPr>
        <w:tabs>
          <w:tab w:val="left" w:pos="2552"/>
        </w:tabs>
        <w:ind w:left="2552"/>
        <w:rPr>
          <w:rStyle w:val="Strong"/>
          <w:color w:val="000000" w:themeColor="text1"/>
          <w:sz w:val="24"/>
          <w:szCs w:val="24"/>
        </w:rPr>
      </w:pPr>
    </w:p>
    <w:p w14:paraId="6348BD8A" w14:textId="77777777" w:rsidR="00AD6CB0" w:rsidRDefault="00AD6CB0" w:rsidP="000C4E0D">
      <w:pPr>
        <w:tabs>
          <w:tab w:val="left" w:pos="2552"/>
        </w:tabs>
        <w:ind w:left="2552"/>
        <w:rPr>
          <w:rStyle w:val="Strong"/>
          <w:color w:val="000000" w:themeColor="text1"/>
          <w:sz w:val="24"/>
          <w:szCs w:val="24"/>
        </w:rPr>
      </w:pPr>
    </w:p>
    <w:p w14:paraId="33FFC2CB" w14:textId="012C401F" w:rsidR="00B70F48" w:rsidRPr="004B2EBA" w:rsidRDefault="00B70F48" w:rsidP="000C4E0D">
      <w:pPr>
        <w:tabs>
          <w:tab w:val="left" w:pos="2552"/>
        </w:tabs>
        <w:ind w:left="2552"/>
        <w:rPr>
          <w:sz w:val="24"/>
          <w:szCs w:val="24"/>
        </w:rPr>
      </w:pPr>
      <w:r w:rsidRPr="004B2EBA">
        <w:rPr>
          <w:rStyle w:val="Strong"/>
          <w:color w:val="000000" w:themeColor="text1"/>
          <w:sz w:val="24"/>
          <w:szCs w:val="24"/>
        </w:rPr>
        <w:lastRenderedPageBreak/>
        <w:t>4. Comparison Framework</w:t>
      </w:r>
    </w:p>
    <w:p w14:paraId="6B4A46AE" w14:textId="65E663C2" w:rsidR="009A7690" w:rsidRPr="004B6A18" w:rsidRDefault="00B70F48" w:rsidP="004B6A18">
      <w:pPr>
        <w:tabs>
          <w:tab w:val="left" w:pos="2552"/>
        </w:tabs>
        <w:ind w:left="2552"/>
        <w:rPr>
          <w:rStyle w:val="Strong"/>
          <w:b w:val="0"/>
          <w:bCs w:val="0"/>
          <w:color w:val="0F1115"/>
          <w:shd w:val="clear" w:color="auto" w:fill="FFFFFF"/>
        </w:rPr>
      </w:pPr>
      <w:r w:rsidRPr="000C4E0D">
        <w:rPr>
          <w:color w:val="0F1115"/>
          <w:shd w:val="clear" w:color="auto" w:fill="FFFFFF"/>
        </w:rPr>
        <w:t>To enable a consistent and transparent evaluation of the selected hybrid concepts, a step-by-step comparison framework is adopted [</w:t>
      </w:r>
      <w:r w:rsidR="00E46BD9">
        <w:rPr>
          <w:color w:val="0F1115"/>
          <w:shd w:val="clear" w:color="auto" w:fill="FFFFFF"/>
        </w:rPr>
        <w:t>75</w:t>
      </w:r>
      <w:r w:rsidRPr="000C4E0D">
        <w:rPr>
          <w:color w:val="0F1115"/>
          <w:shd w:val="clear" w:color="auto" w:fill="FFFFFF"/>
        </w:rPr>
        <w:t>]. Each concept is assessed using the same criteria to highlight similarities, differences, and key design trade-offs [80].</w:t>
      </w:r>
    </w:p>
    <w:p w14:paraId="7CE67E75" w14:textId="77777777" w:rsidR="009A7690" w:rsidRDefault="009A7690" w:rsidP="000C4E0D">
      <w:pPr>
        <w:tabs>
          <w:tab w:val="left" w:pos="2552"/>
        </w:tabs>
        <w:ind w:left="2552"/>
        <w:rPr>
          <w:rStyle w:val="Strong"/>
          <w:color w:val="000000" w:themeColor="text1"/>
          <w:sz w:val="24"/>
          <w:szCs w:val="24"/>
        </w:rPr>
      </w:pPr>
    </w:p>
    <w:p w14:paraId="472051D3" w14:textId="519FDCCD" w:rsidR="00B70F48" w:rsidRPr="004B2EBA" w:rsidRDefault="00B70F48" w:rsidP="000C4E0D">
      <w:pPr>
        <w:tabs>
          <w:tab w:val="left" w:pos="2552"/>
        </w:tabs>
        <w:ind w:left="2552"/>
        <w:rPr>
          <w:sz w:val="24"/>
          <w:szCs w:val="24"/>
        </w:rPr>
      </w:pPr>
      <w:r w:rsidRPr="004B2EBA">
        <w:rPr>
          <w:rStyle w:val="Strong"/>
          <w:color w:val="000000" w:themeColor="text1"/>
          <w:sz w:val="24"/>
          <w:szCs w:val="24"/>
        </w:rPr>
        <w:t>4.1 Hydrodynamic Response</w:t>
      </w:r>
    </w:p>
    <w:p w14:paraId="3601F2EE" w14:textId="42AFE009" w:rsidR="00B70F48" w:rsidRPr="000C4E0D" w:rsidRDefault="006D2B27" w:rsidP="000C4E0D">
      <w:pPr>
        <w:shd w:val="clear" w:color="auto" w:fill="FFFFFF"/>
        <w:tabs>
          <w:tab w:val="left" w:pos="2552"/>
        </w:tabs>
        <w:spacing w:before="240" w:after="240"/>
        <w:ind w:left="2552"/>
        <w:rPr>
          <w:rFonts w:eastAsia="Times New Roman"/>
          <w:color w:val="0F1115"/>
          <w:lang w:val="en-GB" w:eastAsia="en-GB"/>
        </w:rPr>
      </w:pPr>
      <w:r w:rsidRPr="006D2B27">
        <w:rPr>
          <w:rFonts w:eastAsia="Times New Roman"/>
          <w:color w:val="0F1115"/>
          <w:lang w:val="en-GB" w:eastAsia="en-GB"/>
        </w:rPr>
        <w:t>The first comparison step focuses on the hydrodynamic behaviour of the hybrid platforms [75–78].</w:t>
      </w:r>
      <w:r w:rsidR="00B70F48" w:rsidRPr="000C4E0D">
        <w:rPr>
          <w:rFonts w:eastAsia="Times New Roman"/>
          <w:color w:val="0F1115"/>
          <w:lang w:val="en-GB" w:eastAsia="en-GB"/>
        </w:rPr>
        <w:t xml:space="preserve"> Key metrics include surge, heave, and pitch motions, as well as added mass and radiation damping effects [</w:t>
      </w:r>
      <w:r w:rsidR="00E46BD9">
        <w:rPr>
          <w:rFonts w:eastAsia="Times New Roman"/>
          <w:color w:val="0F1115"/>
          <w:lang w:val="en-GB" w:eastAsia="en-GB"/>
        </w:rPr>
        <w:t>78</w:t>
      </w:r>
      <w:r w:rsidR="00B70F48" w:rsidRPr="000C4E0D">
        <w:rPr>
          <w:rFonts w:eastAsia="Times New Roman"/>
          <w:color w:val="0F1115"/>
          <w:lang w:val="en-GB" w:eastAsia="en-GB"/>
        </w:rPr>
        <w:t xml:space="preserve">]. </w:t>
      </w:r>
      <w:proofErr w:type="gramStart"/>
      <w:r w:rsidR="0058084F" w:rsidRPr="0058084F">
        <w:rPr>
          <w:rFonts w:eastAsia="Times New Roman"/>
          <w:color w:val="0F1115"/>
          <w:lang w:val="en-GB" w:eastAsia="en-GB"/>
        </w:rPr>
        <w:t>Particular attention</w:t>
      </w:r>
      <w:proofErr w:type="gramEnd"/>
      <w:r w:rsidR="0058084F" w:rsidRPr="0058084F">
        <w:rPr>
          <w:rFonts w:eastAsia="Times New Roman"/>
          <w:color w:val="0F1115"/>
          <w:lang w:val="en-GB" w:eastAsia="en-GB"/>
        </w:rPr>
        <w:t xml:space="preserve"> is given to the extent to which the integrated WECs modify platform response amplitude operators (RAOs) and reduce wave-induced motions acting on the wind turbine [61–64,68,94]</w:t>
      </w:r>
      <w:r w:rsidR="00B70F48" w:rsidRPr="000C4E0D">
        <w:rPr>
          <w:rFonts w:eastAsia="Times New Roman"/>
          <w:color w:val="0F1115"/>
          <w:lang w:val="en-GB" w:eastAsia="en-GB"/>
        </w:rPr>
        <w:t>. Frequency-domain analysis methods established by Newman [</w:t>
      </w:r>
      <w:r w:rsidR="00E53EAC">
        <w:rPr>
          <w:rFonts w:eastAsia="Times New Roman"/>
          <w:color w:val="0F1115"/>
          <w:lang w:val="en-GB" w:eastAsia="en-GB"/>
        </w:rPr>
        <w:t>75,76,77</w:t>
      </w:r>
      <w:r w:rsidR="00B70F48" w:rsidRPr="000C4E0D">
        <w:rPr>
          <w:rFonts w:eastAsia="Times New Roman"/>
          <w:color w:val="0F1115"/>
          <w:lang w:val="en-GB" w:eastAsia="en-GB"/>
        </w:rPr>
        <w:t xml:space="preserve">] and extended by </w:t>
      </w:r>
      <w:proofErr w:type="spellStart"/>
      <w:r w:rsidR="00B70F48" w:rsidRPr="000C4E0D">
        <w:rPr>
          <w:rFonts w:eastAsia="Times New Roman"/>
          <w:color w:val="0F1115"/>
          <w:lang w:val="en-GB" w:eastAsia="en-GB"/>
        </w:rPr>
        <w:t>Faln</w:t>
      </w:r>
      <w:r w:rsidR="00BA6FF2" w:rsidRPr="000C4E0D">
        <w:rPr>
          <w:rFonts w:eastAsia="Times New Roman"/>
          <w:color w:val="0F1115"/>
          <w:lang w:val="en-GB" w:eastAsia="en-GB"/>
        </w:rPr>
        <w:t>e</w:t>
      </w:r>
      <w:r w:rsidR="00B70F48" w:rsidRPr="000C4E0D">
        <w:rPr>
          <w:rFonts w:eastAsia="Times New Roman"/>
          <w:color w:val="0F1115"/>
          <w:lang w:val="en-GB" w:eastAsia="en-GB"/>
        </w:rPr>
        <w:t>s</w:t>
      </w:r>
      <w:proofErr w:type="spellEnd"/>
      <w:r w:rsidR="00B70F48" w:rsidRPr="000C4E0D">
        <w:rPr>
          <w:rFonts w:eastAsia="Times New Roman"/>
          <w:color w:val="0F1115"/>
          <w:lang w:val="en-GB" w:eastAsia="en-GB"/>
        </w:rPr>
        <w:t xml:space="preserve"> [</w:t>
      </w:r>
      <w:r w:rsidR="00E46BD9">
        <w:rPr>
          <w:rFonts w:eastAsia="Times New Roman"/>
          <w:color w:val="0F1115"/>
          <w:lang w:val="en-GB" w:eastAsia="en-GB"/>
        </w:rPr>
        <w:t>78</w:t>
      </w:r>
      <w:r w:rsidR="00B70F48" w:rsidRPr="000C4E0D">
        <w:rPr>
          <w:rFonts w:eastAsia="Times New Roman"/>
          <w:color w:val="0F1115"/>
          <w:lang w:val="en-GB" w:eastAsia="en-GB"/>
        </w:rPr>
        <w:t>] provide the theoretical foundation for these comparisons.</w:t>
      </w:r>
    </w:p>
    <w:p w14:paraId="03D16F0E" w14:textId="77777777" w:rsidR="00B70F48" w:rsidRPr="004B2EBA" w:rsidRDefault="00B70F48" w:rsidP="000C4E0D">
      <w:pPr>
        <w:tabs>
          <w:tab w:val="left" w:pos="2552"/>
        </w:tabs>
        <w:ind w:left="2552"/>
        <w:rPr>
          <w:sz w:val="24"/>
          <w:szCs w:val="24"/>
        </w:rPr>
      </w:pPr>
      <w:r w:rsidRPr="004B2EBA">
        <w:rPr>
          <w:rStyle w:val="Strong"/>
          <w:color w:val="000000" w:themeColor="text1"/>
          <w:sz w:val="24"/>
          <w:szCs w:val="24"/>
        </w:rPr>
        <w:t>4.2 Energy Performance</w:t>
      </w:r>
    </w:p>
    <w:p w14:paraId="149E105B" w14:textId="65DAA84A" w:rsidR="00B70F48" w:rsidRPr="000C4E0D" w:rsidRDefault="00B70F48" w:rsidP="000C4E0D">
      <w:pPr>
        <w:pStyle w:val="font-claude-response-body"/>
        <w:tabs>
          <w:tab w:val="left" w:pos="2552"/>
        </w:tabs>
        <w:ind w:left="2552"/>
        <w:jc w:val="both"/>
        <w:rPr>
          <w:rFonts w:ascii="Palatino Linotype" w:hAnsi="Palatino Linotype"/>
          <w:sz w:val="20"/>
          <w:szCs w:val="20"/>
        </w:rPr>
      </w:pPr>
      <w:r w:rsidRPr="000C4E0D">
        <w:rPr>
          <w:rFonts w:ascii="Palatino Linotype" w:hAnsi="Palatino Linotype"/>
          <w:sz w:val="20"/>
          <w:szCs w:val="20"/>
        </w:rPr>
        <w:t>Energy production is identified here as the primary realistic metric for comparing hybrid wave–wind concepts. Unlike motion response, which is system-specific and difficult to benchmark fairly without identical numerical models constructed for identical environmental inputs, annual energy yield can be normalised and compared meaningfully across concepts using site-consistent assumptions [</w:t>
      </w:r>
      <w:r w:rsidR="00C43499">
        <w:rPr>
          <w:rFonts w:ascii="Palatino Linotype" w:hAnsi="Palatino Linotype"/>
          <w:sz w:val="20"/>
          <w:szCs w:val="20"/>
        </w:rPr>
        <w:t>80</w:t>
      </w:r>
      <w:r w:rsidRPr="000C4E0D">
        <w:rPr>
          <w:rFonts w:ascii="Palatino Linotype" w:hAnsi="Palatino Linotype"/>
          <w:sz w:val="20"/>
          <w:szCs w:val="20"/>
        </w:rPr>
        <w:t>,</w:t>
      </w:r>
      <w:r w:rsidR="00E46BD9">
        <w:rPr>
          <w:rFonts w:ascii="Palatino Linotype" w:hAnsi="Palatino Linotype"/>
          <w:sz w:val="20"/>
          <w:szCs w:val="20"/>
        </w:rPr>
        <w:t>88,102</w:t>
      </w:r>
      <w:r w:rsidRPr="000C4E0D">
        <w:rPr>
          <w:rFonts w:ascii="Palatino Linotype" w:hAnsi="Palatino Linotype"/>
          <w:sz w:val="20"/>
          <w:szCs w:val="20"/>
        </w:rPr>
        <w:t xml:space="preserve">]. </w:t>
      </w:r>
      <w:r w:rsidR="00334589" w:rsidRPr="00334589">
        <w:rPr>
          <w:rFonts w:ascii="Palatino Linotype" w:hAnsi="Palatino Linotype"/>
          <w:sz w:val="20"/>
          <w:szCs w:val="20"/>
        </w:rPr>
        <w:t>The comparison presented in this step therefore focuses on combined wind and wave energy contributions, capacity factor improvement, and the extent to which hybridisation smooths power output variability across representative sea states [79,80,97].</w:t>
      </w:r>
    </w:p>
    <w:p w14:paraId="7E1376B8" w14:textId="5F9408DA" w:rsidR="0005588D" w:rsidRPr="000C4E0D" w:rsidRDefault="0005588D" w:rsidP="000C4E0D">
      <w:pPr>
        <w:pStyle w:val="font-claude-response-body"/>
        <w:tabs>
          <w:tab w:val="left" w:pos="2552"/>
        </w:tabs>
        <w:ind w:left="2552"/>
        <w:jc w:val="both"/>
        <w:rPr>
          <w:rFonts w:ascii="Palatino Linotype" w:hAnsi="Palatino Linotype"/>
          <w:sz w:val="20"/>
          <w:szCs w:val="20"/>
        </w:rPr>
      </w:pPr>
      <w:r w:rsidRPr="000C4E0D">
        <w:rPr>
          <w:rFonts w:ascii="Palatino Linotype" w:hAnsi="Palatino Linotype"/>
          <w:sz w:val="20"/>
          <w:szCs w:val="20"/>
        </w:rPr>
        <w:t>It is acknowledged that motion reductions reported in the literature for different hybrid concepts cannot be directly compared unless derived from equivalent numerical models subject to equivalent environmental conditions [</w:t>
      </w:r>
      <w:r w:rsidR="00E46BD9">
        <w:rPr>
          <w:rFonts w:ascii="Palatino Linotype" w:hAnsi="Palatino Linotype"/>
          <w:sz w:val="20"/>
          <w:szCs w:val="20"/>
        </w:rPr>
        <w:t>78,</w:t>
      </w:r>
      <w:r w:rsidRPr="000C4E0D">
        <w:rPr>
          <w:rFonts w:ascii="Palatino Linotype" w:hAnsi="Palatino Linotype"/>
          <w:sz w:val="20"/>
          <w:szCs w:val="20"/>
        </w:rPr>
        <w:t>81]. Comparing response amplitude operators (RAOs) across studies that use different platform geometries, wave spectra, and modelling fidelities risks producing misleading conclusions about relative performance [</w:t>
      </w:r>
      <w:r w:rsidR="00A9390E">
        <w:rPr>
          <w:rFonts w:ascii="Palatino Linotype" w:hAnsi="Palatino Linotype"/>
          <w:sz w:val="20"/>
          <w:szCs w:val="20"/>
        </w:rPr>
        <w:t>21,</w:t>
      </w:r>
      <w:r w:rsidRPr="000C4E0D">
        <w:rPr>
          <w:rFonts w:ascii="Palatino Linotype" w:hAnsi="Palatino Linotype"/>
          <w:sz w:val="20"/>
          <w:szCs w:val="20"/>
        </w:rPr>
        <w:t xml:space="preserve">83]. For this reason, motion response data </w:t>
      </w:r>
      <w:r w:rsidR="00B57B8F" w:rsidRPr="000C4E0D">
        <w:rPr>
          <w:rFonts w:ascii="Palatino Linotype" w:hAnsi="Palatino Linotype"/>
          <w:sz w:val="20"/>
          <w:szCs w:val="20"/>
        </w:rPr>
        <w:t>are</w:t>
      </w:r>
      <w:r w:rsidRPr="000C4E0D">
        <w:rPr>
          <w:rFonts w:ascii="Palatino Linotype" w:hAnsi="Palatino Linotype"/>
          <w:sz w:val="20"/>
          <w:szCs w:val="20"/>
        </w:rPr>
        <w:t xml:space="preserve"> retained in the comparison framework — particularly in Section 5.1 — but treated as a contextual indicator of platform behaviour rather than a primary ranking criterion. Where motion reductions are reported, they are interpreted as enabling conditions for wind turbine performance, for example by reducing nacelle displacement and maintaining rotor alignment, rather than as standalone performance </w:t>
      </w:r>
      <w:proofErr w:type="gramStart"/>
      <w:r w:rsidRPr="000C4E0D">
        <w:rPr>
          <w:rFonts w:ascii="Palatino Linotype" w:hAnsi="Palatino Linotype"/>
          <w:sz w:val="20"/>
          <w:szCs w:val="20"/>
        </w:rPr>
        <w:t>metrics in their own right</w:t>
      </w:r>
      <w:proofErr w:type="gramEnd"/>
      <w:r w:rsidRPr="000C4E0D">
        <w:rPr>
          <w:rFonts w:ascii="Palatino Linotype" w:hAnsi="Palatino Linotype"/>
          <w:sz w:val="20"/>
          <w:szCs w:val="20"/>
        </w:rPr>
        <w:t xml:space="preserve"> [87].</w:t>
      </w:r>
    </w:p>
    <w:p w14:paraId="2DE2AD22" w14:textId="7D4E72B2" w:rsidR="00B70F48" w:rsidRPr="000C4E0D" w:rsidRDefault="00B70F48" w:rsidP="000C4E0D">
      <w:pPr>
        <w:pStyle w:val="font-claude-response-body"/>
        <w:tabs>
          <w:tab w:val="left" w:pos="2552"/>
        </w:tabs>
        <w:ind w:left="2552"/>
        <w:jc w:val="both"/>
        <w:rPr>
          <w:rFonts w:ascii="Palatino Linotype" w:hAnsi="Palatino Linotype"/>
          <w:sz w:val="20"/>
          <w:szCs w:val="20"/>
        </w:rPr>
      </w:pPr>
      <w:r w:rsidRPr="000C4E0D">
        <w:rPr>
          <w:rFonts w:ascii="Palatino Linotype" w:hAnsi="Palatino Linotype"/>
          <w:sz w:val="20"/>
          <w:szCs w:val="20"/>
        </w:rPr>
        <w:lastRenderedPageBreak/>
        <w:t xml:space="preserve">The energy performance comparison draws on normalised metrics consistent with the capture width ratio framework proposed by </w:t>
      </w:r>
      <w:proofErr w:type="spellStart"/>
      <w:r w:rsidRPr="000C4E0D">
        <w:rPr>
          <w:rFonts w:ascii="Palatino Linotype" w:hAnsi="Palatino Linotype"/>
          <w:sz w:val="20"/>
          <w:szCs w:val="20"/>
        </w:rPr>
        <w:t>Babarit</w:t>
      </w:r>
      <w:proofErr w:type="spellEnd"/>
      <w:r w:rsidRPr="000C4E0D">
        <w:rPr>
          <w:rFonts w:ascii="Palatino Linotype" w:hAnsi="Palatino Linotype"/>
          <w:sz w:val="20"/>
          <w:szCs w:val="20"/>
        </w:rPr>
        <w:t xml:space="preserve"> [</w:t>
      </w:r>
      <w:r w:rsidR="00C43499">
        <w:rPr>
          <w:rFonts w:ascii="Palatino Linotype" w:hAnsi="Palatino Linotype"/>
          <w:sz w:val="20"/>
          <w:szCs w:val="20"/>
        </w:rPr>
        <w:t>80</w:t>
      </w:r>
      <w:r w:rsidRPr="000C4E0D">
        <w:rPr>
          <w:rFonts w:ascii="Palatino Linotype" w:hAnsi="Palatino Linotype"/>
          <w:sz w:val="20"/>
          <w:szCs w:val="20"/>
        </w:rPr>
        <w:t xml:space="preserve">], supplemented by capacity factor improvement estimates from studies reporting annual energy production for hybrid configurations under North Sea or equivalent offshore conditions [85,86]. This approach allows the </w:t>
      </w:r>
      <w:r w:rsidR="006F3AB1" w:rsidRPr="000C4E0D">
        <w:rPr>
          <w:rFonts w:ascii="Palatino Linotype" w:hAnsi="Palatino Linotype"/>
          <w:sz w:val="20"/>
          <w:szCs w:val="20"/>
        </w:rPr>
        <w:t>four</w:t>
      </w:r>
      <w:r w:rsidRPr="000C4E0D">
        <w:rPr>
          <w:rFonts w:ascii="Palatino Linotype" w:hAnsi="Palatino Linotype"/>
          <w:sz w:val="20"/>
          <w:szCs w:val="20"/>
        </w:rPr>
        <w:t xml:space="preserve"> selected concepts — and the broader range of hybrid systems reviewed in Section 2 — to be compared on a consistent basis despite differences in scale, site, and modelling methodology across the underlying studies [</w:t>
      </w:r>
      <w:r w:rsidR="00A9390E">
        <w:rPr>
          <w:rFonts w:ascii="Palatino Linotype" w:hAnsi="Palatino Linotype"/>
          <w:sz w:val="20"/>
          <w:szCs w:val="20"/>
        </w:rPr>
        <w:t>14,</w:t>
      </w:r>
      <w:r w:rsidRPr="000C4E0D">
        <w:rPr>
          <w:rFonts w:ascii="Palatino Linotype" w:hAnsi="Palatino Linotype"/>
          <w:sz w:val="20"/>
          <w:szCs w:val="20"/>
        </w:rPr>
        <w:t>21].</w:t>
      </w:r>
    </w:p>
    <w:p w14:paraId="6C18C040" w14:textId="77777777" w:rsidR="00B70F48" w:rsidRPr="004B2EBA" w:rsidRDefault="00B70F48" w:rsidP="000C4E0D">
      <w:pPr>
        <w:tabs>
          <w:tab w:val="left" w:pos="2552"/>
        </w:tabs>
        <w:ind w:left="2552"/>
        <w:rPr>
          <w:sz w:val="24"/>
          <w:szCs w:val="24"/>
        </w:rPr>
      </w:pPr>
      <w:r w:rsidRPr="004B2EBA">
        <w:rPr>
          <w:rStyle w:val="Strong"/>
          <w:color w:val="000000" w:themeColor="text1"/>
          <w:sz w:val="24"/>
          <w:szCs w:val="24"/>
        </w:rPr>
        <w:t>4.3 Structural and Mechanical Complexity</w:t>
      </w:r>
    </w:p>
    <w:p w14:paraId="0C943B5C" w14:textId="45271D7A" w:rsidR="00B70F48" w:rsidRDefault="00B70F48" w:rsidP="000C4E0D">
      <w:pPr>
        <w:tabs>
          <w:tab w:val="left" w:pos="2552"/>
        </w:tabs>
        <w:ind w:left="2552"/>
        <w:rPr>
          <w:color w:val="0F1115"/>
          <w:shd w:val="clear" w:color="auto" w:fill="FFFFFF"/>
        </w:rPr>
      </w:pPr>
      <w:r w:rsidRPr="000C4E0D">
        <w:rPr>
          <w:color w:val="0F1115"/>
          <w:shd w:val="clear" w:color="auto" w:fill="FFFFFF"/>
        </w:rPr>
        <w:t>The third step examines structural and mechanical complexity, including the number of moving components, load transfer paths, and integration challenges [89]. Systems with higher mechanical complexity may offer improved performance but can also increase capital and operational costs [90]. This step highlights the trade-off between performance gains and system robustness, drawing on reliability assessment frameworks developed for marine energy systems [</w:t>
      </w:r>
      <w:r w:rsidR="004E324E" w:rsidRPr="000C4E0D">
        <w:rPr>
          <w:color w:val="0F1115"/>
          <w:shd w:val="clear" w:color="auto" w:fill="FFFFFF"/>
        </w:rPr>
        <w:t>19</w:t>
      </w:r>
      <w:r w:rsidRPr="000C4E0D">
        <w:rPr>
          <w:color w:val="0F1115"/>
          <w:shd w:val="clear" w:color="auto" w:fill="FFFFFF"/>
        </w:rPr>
        <w:t>].</w:t>
      </w:r>
    </w:p>
    <w:p w14:paraId="6DCEC875" w14:textId="77777777" w:rsidR="004B6A18" w:rsidRPr="000C4E0D" w:rsidRDefault="004B6A18" w:rsidP="000C4E0D">
      <w:pPr>
        <w:tabs>
          <w:tab w:val="left" w:pos="2552"/>
        </w:tabs>
        <w:ind w:left="2552"/>
        <w:rPr>
          <w:color w:val="0F1115"/>
          <w:shd w:val="clear" w:color="auto" w:fill="FFFFFF"/>
        </w:rPr>
      </w:pPr>
    </w:p>
    <w:p w14:paraId="2DB5DF50" w14:textId="77777777" w:rsidR="00B70F48" w:rsidRPr="004B2EBA" w:rsidRDefault="00B70F48" w:rsidP="000C4E0D">
      <w:pPr>
        <w:tabs>
          <w:tab w:val="left" w:pos="2552"/>
        </w:tabs>
        <w:ind w:left="2552"/>
        <w:rPr>
          <w:sz w:val="24"/>
          <w:szCs w:val="24"/>
        </w:rPr>
      </w:pPr>
      <w:r w:rsidRPr="004B2EBA">
        <w:rPr>
          <w:rStyle w:val="Strong"/>
          <w:color w:val="000000" w:themeColor="text1"/>
          <w:sz w:val="24"/>
          <w:szCs w:val="24"/>
        </w:rPr>
        <w:t>4.4 Mooring and Stability Considerations</w:t>
      </w:r>
    </w:p>
    <w:p w14:paraId="3544BDF4" w14:textId="568F46A1" w:rsidR="00B70F48" w:rsidRPr="00AD6CB0" w:rsidRDefault="00B70F48" w:rsidP="000C4E0D">
      <w:pPr>
        <w:tabs>
          <w:tab w:val="left" w:pos="2552"/>
        </w:tabs>
        <w:ind w:left="2552"/>
        <w:rPr>
          <w:color w:val="000000" w:themeColor="text1"/>
          <w:shd w:val="clear" w:color="auto" w:fill="FFFFFF"/>
        </w:rPr>
      </w:pPr>
      <w:r w:rsidRPr="00AD6CB0">
        <w:rPr>
          <w:color w:val="000000" w:themeColor="text1"/>
          <w:shd w:val="clear" w:color="auto" w:fill="FFFFFF"/>
        </w:rPr>
        <w:t>The fourth step considers mooring system requirements and overall platform stability [</w:t>
      </w:r>
      <w:r w:rsidR="002D2A74" w:rsidRPr="00AD6CB0">
        <w:rPr>
          <w:color w:val="000000" w:themeColor="text1"/>
          <w:shd w:val="clear" w:color="auto" w:fill="FFFFFF"/>
        </w:rPr>
        <w:t>84,86,87</w:t>
      </w:r>
      <w:r w:rsidRPr="00AD6CB0">
        <w:rPr>
          <w:color w:val="000000" w:themeColor="text1"/>
          <w:shd w:val="clear" w:color="auto" w:fill="FFFFFF"/>
        </w:rPr>
        <w:t>]. The influence of WEC-induced forces on mooring line tensions and restoring characteristics is assessed, along with sensitivity to extreme sea states [93]. Stability considerations are particularly important for maintaining wind turbine operational limits, as documented in design standards such as DNV-OS-J103 [</w:t>
      </w:r>
      <w:r w:rsidR="00EE1028" w:rsidRPr="00AD6CB0">
        <w:rPr>
          <w:color w:val="000000" w:themeColor="text1"/>
          <w:shd w:val="clear" w:color="auto" w:fill="FFFFFF"/>
        </w:rPr>
        <w:t>86</w:t>
      </w:r>
      <w:r w:rsidRPr="00AD6CB0">
        <w:rPr>
          <w:color w:val="000000" w:themeColor="text1"/>
          <w:shd w:val="clear" w:color="auto" w:fill="FFFFFF"/>
        </w:rPr>
        <w:t>] and IEC 61400-3-2 [</w:t>
      </w:r>
      <w:r w:rsidR="00EE1028" w:rsidRPr="00AD6CB0">
        <w:rPr>
          <w:color w:val="000000" w:themeColor="text1"/>
          <w:shd w:val="clear" w:color="auto" w:fill="FFFFFF"/>
        </w:rPr>
        <w:t>87</w:t>
      </w:r>
      <w:r w:rsidRPr="00AD6CB0">
        <w:rPr>
          <w:color w:val="000000" w:themeColor="text1"/>
          <w:shd w:val="clear" w:color="auto" w:fill="FFFFFF"/>
        </w:rPr>
        <w:t>].</w:t>
      </w:r>
    </w:p>
    <w:p w14:paraId="2DE72F35" w14:textId="77777777" w:rsidR="004B6A18" w:rsidRPr="000C4E0D" w:rsidRDefault="004B6A18" w:rsidP="000C4E0D">
      <w:pPr>
        <w:tabs>
          <w:tab w:val="left" w:pos="2552"/>
        </w:tabs>
        <w:ind w:left="2552"/>
        <w:rPr>
          <w:color w:val="0F1115"/>
          <w:shd w:val="clear" w:color="auto" w:fill="FFFFFF"/>
        </w:rPr>
      </w:pPr>
    </w:p>
    <w:p w14:paraId="293814D4" w14:textId="77777777" w:rsidR="00B70F48" w:rsidRPr="00A9390E" w:rsidRDefault="00B70F48" w:rsidP="000C4E0D">
      <w:pPr>
        <w:tabs>
          <w:tab w:val="left" w:pos="2552"/>
        </w:tabs>
        <w:ind w:left="2552"/>
        <w:rPr>
          <w:sz w:val="24"/>
          <w:szCs w:val="24"/>
        </w:rPr>
      </w:pPr>
      <w:r w:rsidRPr="00A9390E">
        <w:rPr>
          <w:rStyle w:val="Strong"/>
          <w:color w:val="000000" w:themeColor="text1"/>
          <w:sz w:val="24"/>
          <w:szCs w:val="24"/>
        </w:rPr>
        <w:t>4.5 Suitability for Optimization</w:t>
      </w:r>
    </w:p>
    <w:p w14:paraId="6783E507" w14:textId="1E489149" w:rsidR="00B70F48" w:rsidRPr="00AD6CB0" w:rsidRDefault="00B70F48" w:rsidP="000C4E0D">
      <w:pPr>
        <w:tabs>
          <w:tab w:val="left" w:pos="2552"/>
        </w:tabs>
        <w:ind w:left="2552"/>
        <w:rPr>
          <w:color w:val="000000" w:themeColor="text1"/>
          <w:shd w:val="clear" w:color="auto" w:fill="FFFFFF"/>
        </w:rPr>
      </w:pPr>
      <w:r w:rsidRPr="00AD6CB0">
        <w:rPr>
          <w:color w:val="000000" w:themeColor="text1"/>
          <w:shd w:val="clear" w:color="auto" w:fill="FFFFFF"/>
        </w:rPr>
        <w:t>The final comparison step evaluates the suitability of each concept for optimization [</w:t>
      </w:r>
      <w:r w:rsidR="000D1316" w:rsidRPr="00AD6CB0">
        <w:rPr>
          <w:color w:val="000000" w:themeColor="text1"/>
          <w:shd w:val="clear" w:color="auto" w:fill="FFFFFF"/>
        </w:rPr>
        <w:t>42</w:t>
      </w:r>
      <w:r w:rsidRPr="00AD6CB0">
        <w:rPr>
          <w:color w:val="000000" w:themeColor="text1"/>
          <w:shd w:val="clear" w:color="auto" w:fill="FFFFFF"/>
        </w:rPr>
        <w:t xml:space="preserve">]. This includes the identification of key tunable parameters, such as WEC placement, power take-off damping, and mass </w:t>
      </w:r>
      <w:r w:rsidR="002D2337" w:rsidRPr="00AD6CB0">
        <w:rPr>
          <w:color w:val="000000" w:themeColor="text1"/>
          <w:shd w:val="clear" w:color="auto" w:fill="FFFFFF"/>
        </w:rPr>
        <w:t>distribution.</w:t>
      </w:r>
      <w:r w:rsidRPr="00AD6CB0">
        <w:rPr>
          <w:color w:val="000000" w:themeColor="text1"/>
          <w:shd w:val="clear" w:color="auto" w:fill="FFFFFF"/>
        </w:rPr>
        <w:t xml:space="preserve"> Concepts offering greater flexibility and controllability are considered more favorable for multi-objective optimization approaches [</w:t>
      </w:r>
      <w:r w:rsidR="00FA791A" w:rsidRPr="00AD6CB0">
        <w:rPr>
          <w:color w:val="000000" w:themeColor="text1"/>
          <w:shd w:val="clear" w:color="auto" w:fill="FFFFFF"/>
        </w:rPr>
        <w:t>18</w:t>
      </w:r>
      <w:r w:rsidRPr="00AD6CB0">
        <w:rPr>
          <w:color w:val="000000" w:themeColor="text1"/>
          <w:shd w:val="clear" w:color="auto" w:fill="FFFFFF"/>
        </w:rPr>
        <w:t>]. Recent advances in optimization algorithms for marine energy systems provide guidance on parameter selection and objective formulation [</w:t>
      </w:r>
      <w:r w:rsidR="00493DCC" w:rsidRPr="00AD6CB0">
        <w:rPr>
          <w:color w:val="000000" w:themeColor="text1"/>
          <w:shd w:val="clear" w:color="auto" w:fill="FFFFFF"/>
        </w:rPr>
        <w:t>88,89</w:t>
      </w:r>
      <w:r w:rsidRPr="00AD6CB0">
        <w:rPr>
          <w:color w:val="000000" w:themeColor="text1"/>
          <w:shd w:val="clear" w:color="auto" w:fill="FFFFFF"/>
        </w:rPr>
        <w:t>].</w:t>
      </w:r>
    </w:p>
    <w:p w14:paraId="0A1A96CD" w14:textId="77777777" w:rsidR="004B6A18" w:rsidRPr="000C4E0D" w:rsidRDefault="004B6A18" w:rsidP="000C4E0D">
      <w:pPr>
        <w:tabs>
          <w:tab w:val="left" w:pos="2552"/>
        </w:tabs>
        <w:ind w:left="2552"/>
        <w:rPr>
          <w:color w:val="0F1115"/>
          <w:shd w:val="clear" w:color="auto" w:fill="FFFFFF"/>
        </w:rPr>
      </w:pPr>
    </w:p>
    <w:p w14:paraId="49F6197B" w14:textId="77777777" w:rsidR="00B70F48" w:rsidRPr="004B2EBA" w:rsidRDefault="00B70F48" w:rsidP="000C4E0D">
      <w:pPr>
        <w:tabs>
          <w:tab w:val="left" w:pos="2552"/>
        </w:tabs>
        <w:ind w:left="2552"/>
        <w:rPr>
          <w:sz w:val="24"/>
          <w:szCs w:val="24"/>
        </w:rPr>
      </w:pPr>
      <w:r w:rsidRPr="004B2EBA">
        <w:rPr>
          <w:rStyle w:val="Strong"/>
          <w:color w:val="000000" w:themeColor="text1"/>
          <w:sz w:val="24"/>
          <w:szCs w:val="24"/>
        </w:rPr>
        <w:t>5. Comparative Results and Discussion</w:t>
      </w:r>
    </w:p>
    <w:p w14:paraId="013C58A8" w14:textId="7CA95CB7" w:rsidR="00B70F48" w:rsidRPr="00862689" w:rsidRDefault="00DE7B4C" w:rsidP="00862689">
      <w:pPr>
        <w:pStyle w:val="NormalWeb"/>
        <w:ind w:left="2552"/>
        <w:rPr>
          <w:rStyle w:val="Strong"/>
          <w:rFonts w:eastAsia="Times New Roman"/>
          <w:b w:val="0"/>
          <w:bCs w:val="0"/>
          <w:color w:val="auto"/>
          <w:szCs w:val="20"/>
          <w:lang w:val="en-GB" w:eastAsia="en-GB"/>
        </w:rPr>
      </w:pPr>
      <w:r w:rsidRPr="00DE7B4C">
        <w:rPr>
          <w:color w:val="0F1115"/>
          <w:shd w:val="clear" w:color="auto" w:fill="FFFFFF"/>
        </w:rPr>
        <w:t>This section presents a comparative discussion of the selected hybrid wave–wind concepts based on the step-by-step framework introduced in Section 4 [14,21,42].</w:t>
      </w:r>
      <w:r>
        <w:rPr>
          <w:color w:val="0F1115"/>
          <w:shd w:val="clear" w:color="auto" w:fill="FFFFFF"/>
        </w:rPr>
        <w:t xml:space="preserve"> </w:t>
      </w:r>
      <w:r w:rsidR="00B70F48" w:rsidRPr="000C4E0D">
        <w:rPr>
          <w:color w:val="0F1115"/>
          <w:shd w:val="clear" w:color="auto" w:fill="FFFFFF"/>
        </w:rPr>
        <w:t>Rather than focusing on absolute performance values, the analysis emphasizes relative trends, trade-offs, and design implications that are critical for the development and optimization of hybrid platforms [</w:t>
      </w:r>
      <w:r w:rsidR="000D1316" w:rsidRPr="000C4E0D">
        <w:rPr>
          <w:color w:val="0F1115"/>
          <w:shd w:val="clear" w:color="auto" w:fill="FFFFFF"/>
        </w:rPr>
        <w:t>50</w:t>
      </w:r>
      <w:r w:rsidR="00B70F48" w:rsidRPr="000C4E0D">
        <w:rPr>
          <w:color w:val="0F1115"/>
          <w:shd w:val="clear" w:color="auto" w:fill="FFFFFF"/>
        </w:rPr>
        <w:t>].</w:t>
      </w:r>
      <w:r w:rsidR="007B7554" w:rsidRPr="000C4E0D">
        <w:t xml:space="preserve"> </w:t>
      </w:r>
      <w:r w:rsidR="007B7554" w:rsidRPr="000C4E0D">
        <w:rPr>
          <w:rFonts w:eastAsia="Times New Roman"/>
          <w:color w:val="auto"/>
          <w:szCs w:val="20"/>
          <w:lang w:val="en-GB" w:eastAsia="en-GB"/>
        </w:rPr>
        <w:t xml:space="preserve">It is important to note that the comparative performance data discussed in this section are drawn from studies employing substantially different modelling assumptions, </w:t>
      </w:r>
      <w:r w:rsidR="007B7554" w:rsidRPr="000C4E0D">
        <w:rPr>
          <w:rFonts w:eastAsia="Times New Roman"/>
          <w:color w:val="auto"/>
          <w:szCs w:val="20"/>
          <w:lang w:val="en-GB" w:eastAsia="en-GB"/>
        </w:rPr>
        <w:lastRenderedPageBreak/>
        <w:t>optimisation depths, environmental conditions, and validation approaches. Some reported results originate from fully optimised configurations, whereas others reflect parametric sensitivity studies or baseline concept evaluations. Accordingly, the comparisons presented here are intended to illustrate broad design trends and optimisation implications rather than provide definitive rankings of inherent concept superiority.</w:t>
      </w:r>
    </w:p>
    <w:p w14:paraId="55FA2DD6" w14:textId="77777777" w:rsidR="009A7690" w:rsidRDefault="009A7690" w:rsidP="000C4E0D">
      <w:pPr>
        <w:tabs>
          <w:tab w:val="left" w:pos="2552"/>
        </w:tabs>
        <w:ind w:left="2552"/>
        <w:rPr>
          <w:rStyle w:val="Strong"/>
          <w:color w:val="000000" w:themeColor="text1"/>
          <w:sz w:val="24"/>
          <w:szCs w:val="24"/>
        </w:rPr>
      </w:pPr>
    </w:p>
    <w:p w14:paraId="0321D7C3" w14:textId="420F09DD" w:rsidR="00B70F48" w:rsidRPr="004B2EBA" w:rsidRDefault="00B70F48" w:rsidP="000C4E0D">
      <w:pPr>
        <w:tabs>
          <w:tab w:val="left" w:pos="2552"/>
        </w:tabs>
        <w:ind w:left="2552"/>
        <w:rPr>
          <w:sz w:val="24"/>
          <w:szCs w:val="24"/>
        </w:rPr>
      </w:pPr>
      <w:r w:rsidRPr="004B2EBA">
        <w:rPr>
          <w:rStyle w:val="Strong"/>
          <w:color w:val="000000" w:themeColor="text1"/>
          <w:sz w:val="24"/>
          <w:szCs w:val="24"/>
        </w:rPr>
        <w:t>5.1 Hydrodynamic Performance and Motion Response</w:t>
      </w:r>
    </w:p>
    <w:p w14:paraId="445F0631" w14:textId="401834D9" w:rsidR="00B70F48" w:rsidRPr="000C4E0D" w:rsidRDefault="00B70F48" w:rsidP="00B25270">
      <w:pPr>
        <w:pStyle w:val="ds-markdown-paragraph"/>
        <w:shd w:val="clear" w:color="auto" w:fill="FFFFFF"/>
        <w:tabs>
          <w:tab w:val="left" w:pos="2552"/>
        </w:tabs>
        <w:spacing w:before="240" w:beforeAutospacing="0" w:after="240" w:afterAutospacing="0" w:line="276" w:lineRule="auto"/>
        <w:ind w:left="2410"/>
        <w:jc w:val="both"/>
        <w:rPr>
          <w:rFonts w:ascii="Palatino Linotype" w:hAnsi="Palatino Linotype"/>
          <w:color w:val="0F1115"/>
          <w:sz w:val="20"/>
          <w:szCs w:val="20"/>
        </w:rPr>
      </w:pPr>
      <w:r w:rsidRPr="000C4E0D">
        <w:rPr>
          <w:rFonts w:ascii="Palatino Linotype" w:hAnsi="Palatino Linotype"/>
          <w:color w:val="0F1115"/>
          <w:sz w:val="20"/>
          <w:szCs w:val="20"/>
        </w:rPr>
        <w:t>Across all hybrid concepts, the integration of wave energy converters significantly alters the hydrodynamic response of the floating wind platform [</w:t>
      </w:r>
      <w:r w:rsidR="003E4452" w:rsidRPr="000C4E0D">
        <w:rPr>
          <w:rFonts w:ascii="Palatino Linotype" w:hAnsi="Palatino Linotype"/>
          <w:color w:val="0F1115"/>
          <w:sz w:val="20"/>
          <w:szCs w:val="20"/>
        </w:rPr>
        <w:t>70</w:t>
      </w:r>
      <w:r w:rsidRPr="000C4E0D">
        <w:rPr>
          <w:rFonts w:ascii="Palatino Linotype" w:hAnsi="Palatino Linotype"/>
          <w:color w:val="0F1115"/>
          <w:sz w:val="20"/>
          <w:szCs w:val="20"/>
        </w:rPr>
        <w:t xml:space="preserve">]. </w:t>
      </w:r>
      <w:r w:rsidR="00EA6A88" w:rsidRPr="00EA6A88">
        <w:rPr>
          <w:rFonts w:ascii="Palatino Linotype" w:hAnsi="Palatino Linotype"/>
          <w:color w:val="0F1115"/>
          <w:sz w:val="20"/>
          <w:szCs w:val="20"/>
        </w:rPr>
        <w:t>Compared to standalone floating wind systems, hybrid configurations can exhibit increased radiation damping and modified added mass characteristics, leading to reduced motion amplitudes in key degrees of freedom depending on WEC type, placement, and tuning [61–64,68,94].</w:t>
      </w:r>
    </w:p>
    <w:p w14:paraId="0C7D6D8A" w14:textId="29CA313D" w:rsidR="00B70F48" w:rsidRPr="000C4E0D" w:rsidRDefault="002E7FFC" w:rsidP="00477257">
      <w:pPr>
        <w:pStyle w:val="ds-markdown-paragraph"/>
        <w:shd w:val="clear" w:color="auto" w:fill="FFFFFF"/>
        <w:tabs>
          <w:tab w:val="left" w:pos="2552"/>
        </w:tabs>
        <w:spacing w:before="240" w:beforeAutospacing="0" w:after="240" w:afterAutospacing="0" w:line="276" w:lineRule="auto"/>
        <w:ind w:left="2410"/>
        <w:jc w:val="both"/>
        <w:rPr>
          <w:rFonts w:ascii="Palatino Linotype" w:hAnsi="Palatino Linotype"/>
          <w:color w:val="0F1115"/>
          <w:sz w:val="20"/>
          <w:szCs w:val="20"/>
        </w:rPr>
      </w:pPr>
      <w:r w:rsidRPr="002E7FFC">
        <w:rPr>
          <w:rFonts w:ascii="Palatino Linotype" w:hAnsi="Palatino Linotype"/>
          <w:color w:val="0F1115"/>
          <w:sz w:val="20"/>
          <w:szCs w:val="20"/>
        </w:rPr>
        <w:t>Hybrid platforms incorporating point absorber WECs demonstrate moderate reductions in heave and pitch motions, particularly when the WECs and PTO settings are tuned to the dominant wave conditions [61–63]</w:t>
      </w:r>
      <w:r w:rsidR="00B70F48" w:rsidRPr="000C4E0D">
        <w:rPr>
          <w:rFonts w:ascii="Palatino Linotype" w:hAnsi="Palatino Linotype"/>
          <w:color w:val="0F1115"/>
          <w:sz w:val="20"/>
          <w:szCs w:val="20"/>
        </w:rPr>
        <w:t xml:space="preserve">. However, the effectiveness of motion mitigation is highly dependent on WEC placement and power take-off (PTO) damping [105]. </w:t>
      </w:r>
      <w:r w:rsidR="007B5766" w:rsidRPr="007B5766">
        <w:rPr>
          <w:rFonts w:ascii="Palatino Linotype" w:hAnsi="Palatino Linotype"/>
          <w:color w:val="0F1115"/>
          <w:sz w:val="20"/>
          <w:szCs w:val="20"/>
        </w:rPr>
        <w:t>Poor tuning can result in adverse coupling effects, where wave-induced forces amplify platform motions rather than suppress them [62,63,93]</w:t>
      </w:r>
      <w:r w:rsidR="00B70F48" w:rsidRPr="000C4E0D">
        <w:rPr>
          <w:rFonts w:ascii="Palatino Linotype" w:hAnsi="Palatino Linotype"/>
          <w:color w:val="0F1115"/>
          <w:sz w:val="20"/>
          <w:szCs w:val="20"/>
        </w:rPr>
        <w:t>. Numerical simulations by Bachynski et al. have quantified this sensitivity, showing that optimal PTO damping can reduce pitch motions by up to 25%, while suboptimal tuning may increase motions by 10% [</w:t>
      </w:r>
      <w:r w:rsidR="005350FB">
        <w:rPr>
          <w:rFonts w:ascii="Palatino Linotype" w:hAnsi="Palatino Linotype"/>
          <w:color w:val="0F1115"/>
          <w:sz w:val="20"/>
          <w:szCs w:val="20"/>
        </w:rPr>
        <w:t>93</w:t>
      </w:r>
      <w:r w:rsidR="00B70F48" w:rsidRPr="000C4E0D">
        <w:rPr>
          <w:rFonts w:ascii="Palatino Linotype" w:hAnsi="Palatino Linotype"/>
          <w:color w:val="0F1115"/>
          <w:sz w:val="20"/>
          <w:szCs w:val="20"/>
        </w:rPr>
        <w:t>].</w:t>
      </w:r>
    </w:p>
    <w:p w14:paraId="42E0094B" w14:textId="7AC1802D" w:rsidR="00B70F48" w:rsidRPr="00AD6CB0" w:rsidRDefault="006F5EBB" w:rsidP="000C4E0D">
      <w:pPr>
        <w:pStyle w:val="ds-markdown-paragraph"/>
        <w:shd w:val="clear" w:color="auto" w:fill="FFFFFF"/>
        <w:tabs>
          <w:tab w:val="left" w:pos="2552"/>
        </w:tabs>
        <w:spacing w:before="240" w:beforeAutospacing="0" w:after="240" w:afterAutospacing="0" w:line="276" w:lineRule="auto"/>
        <w:ind w:left="2410"/>
        <w:jc w:val="both"/>
        <w:rPr>
          <w:rFonts w:ascii="Palatino Linotype" w:hAnsi="Palatino Linotype"/>
          <w:color w:val="000000" w:themeColor="text1"/>
          <w:sz w:val="20"/>
          <w:szCs w:val="20"/>
        </w:rPr>
      </w:pPr>
      <w:r w:rsidRPr="00AF09A8">
        <w:rPr>
          <w:rFonts w:ascii="Palatino Linotype" w:hAnsi="Palatino Linotype"/>
          <w:color w:val="000000" w:themeColor="text1"/>
          <w:sz w:val="20"/>
          <w:szCs w:val="20"/>
        </w:rPr>
        <w:t>In contrast, OWC-integrated platforms show more consistent hydrodynamic response characteristics across a broader frequency range [49,68,94].</w:t>
      </w:r>
      <w:r w:rsidR="00D115D2" w:rsidRPr="00AF09A8">
        <w:rPr>
          <w:rFonts w:ascii="Palatino Linotype" w:hAnsi="Palatino Linotype"/>
          <w:color w:val="000000" w:themeColor="text1"/>
          <w:sz w:val="20"/>
          <w:szCs w:val="20"/>
        </w:rPr>
        <w:t xml:space="preserve"> </w:t>
      </w:r>
      <w:r w:rsidR="00B70F48" w:rsidRPr="00AD6CB0">
        <w:rPr>
          <w:rFonts w:ascii="Palatino Linotype" w:hAnsi="Palatino Linotype"/>
          <w:color w:val="000000" w:themeColor="text1"/>
          <w:sz w:val="20"/>
          <w:szCs w:val="20"/>
        </w:rPr>
        <w:t>The enclosed water column contributes additional stiffness and damping, particularly in heave, which can be beneficial for maintaining wind turbine operational limits [</w:t>
      </w:r>
      <w:r w:rsidR="006D053D" w:rsidRPr="00AD6CB0">
        <w:rPr>
          <w:rFonts w:ascii="Palatino Linotype" w:hAnsi="Palatino Linotype"/>
          <w:color w:val="000000" w:themeColor="text1"/>
          <w:sz w:val="20"/>
          <w:szCs w:val="20"/>
        </w:rPr>
        <w:t>84</w:t>
      </w:r>
      <w:r w:rsidR="00B70F48" w:rsidRPr="00AD6CB0">
        <w:rPr>
          <w:rFonts w:ascii="Palatino Linotype" w:hAnsi="Palatino Linotype"/>
          <w:color w:val="000000" w:themeColor="text1"/>
          <w:sz w:val="20"/>
          <w:szCs w:val="20"/>
        </w:rPr>
        <w:t xml:space="preserve">]. </w:t>
      </w:r>
      <w:r w:rsidR="00F33CBC" w:rsidRPr="00AD6CB0">
        <w:rPr>
          <w:rFonts w:ascii="Palatino Linotype" w:hAnsi="Palatino Linotype"/>
          <w:color w:val="000000" w:themeColor="text1"/>
          <w:sz w:val="20"/>
          <w:szCs w:val="20"/>
        </w:rPr>
        <w:t>However, this benefit may be accompanied by changes in structural mass distribution and hydrodynamic properties, which can influence natural periods and mooring loads [49,64,65,94]</w:t>
      </w:r>
      <w:r w:rsidR="00B70F48" w:rsidRPr="00AD6CB0">
        <w:rPr>
          <w:rFonts w:ascii="Palatino Linotype" w:hAnsi="Palatino Linotype"/>
          <w:color w:val="000000" w:themeColor="text1"/>
          <w:sz w:val="20"/>
          <w:szCs w:val="20"/>
        </w:rPr>
        <w:t xml:space="preserve">. </w:t>
      </w:r>
      <w:r w:rsidR="00D03839" w:rsidRPr="00AF09A8">
        <w:rPr>
          <w:rFonts w:ascii="Palatino Linotype" w:hAnsi="Palatino Linotype"/>
          <w:color w:val="000000" w:themeColor="text1"/>
          <w:sz w:val="20"/>
          <w:szCs w:val="20"/>
        </w:rPr>
        <w:t>Experimental and numerical studies by Pols et al. [49] and Zheng et al. [64] have examined these effects for floating and tubular OWC configurations.</w:t>
      </w:r>
      <w:r w:rsidR="00D21B44" w:rsidRPr="00AF09A8">
        <w:rPr>
          <w:color w:val="000000" w:themeColor="text1"/>
        </w:rPr>
        <w:t xml:space="preserve"> </w:t>
      </w:r>
      <w:r w:rsidR="00D21B44" w:rsidRPr="00AD6CB0">
        <w:rPr>
          <w:rFonts w:ascii="Palatino Linotype" w:hAnsi="Palatino Linotype"/>
          <w:color w:val="000000" w:themeColor="text1"/>
          <w:sz w:val="20"/>
          <w:szCs w:val="20"/>
        </w:rPr>
        <w:t>Table 3 compares the RAOs of the selected hybrid concepts under regular wave conditions (</w:t>
      </w:r>
      <w:proofErr w:type="spellStart"/>
      <w:r w:rsidR="00D21B44" w:rsidRPr="00AD6CB0">
        <w:rPr>
          <w:rFonts w:ascii="Palatino Linotype" w:hAnsi="Palatino Linotype"/>
          <w:color w:val="000000" w:themeColor="text1"/>
          <w:sz w:val="20"/>
          <w:szCs w:val="20"/>
        </w:rPr>
        <w:t>Tp</w:t>
      </w:r>
      <w:proofErr w:type="spellEnd"/>
      <w:r w:rsidR="00D21B44" w:rsidRPr="00AD6CB0">
        <w:rPr>
          <w:rFonts w:ascii="Palatino Linotype" w:hAnsi="Palatino Linotype"/>
          <w:color w:val="000000" w:themeColor="text1"/>
          <w:sz w:val="20"/>
          <w:szCs w:val="20"/>
        </w:rPr>
        <w:t xml:space="preserve"> = 8 s).</w:t>
      </w:r>
    </w:p>
    <w:p w14:paraId="5A6918BB" w14:textId="77777777" w:rsidR="004C02C3" w:rsidRDefault="004C02C3" w:rsidP="00AD6CB0">
      <w:pPr>
        <w:pStyle w:val="ds-markdown-paragraph"/>
        <w:shd w:val="clear" w:color="auto" w:fill="FFFFFF"/>
        <w:tabs>
          <w:tab w:val="left" w:pos="2552"/>
        </w:tabs>
        <w:spacing w:before="240" w:beforeAutospacing="0" w:after="240" w:afterAutospacing="0" w:line="276" w:lineRule="auto"/>
        <w:jc w:val="both"/>
        <w:rPr>
          <w:rFonts w:ascii="Palatino Linotype" w:hAnsi="Palatino Linotype"/>
          <w:color w:val="0F1115"/>
          <w:sz w:val="21"/>
          <w:szCs w:val="21"/>
        </w:rPr>
      </w:pPr>
    </w:p>
    <w:p w14:paraId="6E792C43" w14:textId="77777777" w:rsidR="00AD6CB0" w:rsidRPr="000C4E0D" w:rsidRDefault="00AD6CB0" w:rsidP="00AD6CB0">
      <w:pPr>
        <w:pStyle w:val="ds-markdown-paragraph"/>
        <w:shd w:val="clear" w:color="auto" w:fill="FFFFFF"/>
        <w:tabs>
          <w:tab w:val="left" w:pos="2552"/>
        </w:tabs>
        <w:spacing w:before="240" w:beforeAutospacing="0" w:after="240" w:afterAutospacing="0" w:line="276" w:lineRule="auto"/>
        <w:jc w:val="both"/>
        <w:rPr>
          <w:rFonts w:ascii="Palatino Linotype" w:hAnsi="Palatino Linotype"/>
          <w:color w:val="0F1115"/>
          <w:sz w:val="21"/>
          <w:szCs w:val="21"/>
        </w:rPr>
      </w:pPr>
    </w:p>
    <w:p w14:paraId="6996ADEF" w14:textId="242E7B87" w:rsidR="007B7554" w:rsidRPr="000C4E0D" w:rsidRDefault="00B70F48" w:rsidP="000C4E0D">
      <w:pPr>
        <w:shd w:val="clear" w:color="auto" w:fill="FFFFFF"/>
        <w:tabs>
          <w:tab w:val="left" w:pos="2552"/>
        </w:tabs>
        <w:spacing w:before="240" w:after="240" w:line="240" w:lineRule="auto"/>
        <w:rPr>
          <w:rFonts w:eastAsia="Times New Roman"/>
          <w:color w:val="0F1115"/>
          <w:lang w:val="en-GB" w:eastAsia="en-GB"/>
        </w:rPr>
      </w:pPr>
      <w:r w:rsidRPr="000C4E0D">
        <w:rPr>
          <w:rFonts w:eastAsia="Times New Roman"/>
          <w:color w:val="0F1115"/>
          <w:lang w:val="en-GB" w:eastAsia="en-GB"/>
        </w:rPr>
        <w:lastRenderedPageBreak/>
        <w:t xml:space="preserve">                     </w:t>
      </w:r>
      <w:r w:rsidR="002D2337" w:rsidRPr="000C4E0D">
        <w:rPr>
          <w:rFonts w:eastAsia="Times New Roman"/>
          <w:color w:val="0F1115"/>
          <w:lang w:val="en-GB" w:eastAsia="en-GB"/>
        </w:rPr>
        <w:t xml:space="preserve">       </w:t>
      </w:r>
      <w:r w:rsidRPr="004B2EBA">
        <w:rPr>
          <w:rFonts w:eastAsia="Times New Roman"/>
          <w:b/>
          <w:bCs/>
          <w:color w:val="0F1115"/>
          <w:lang w:val="en-GB" w:eastAsia="en-GB"/>
        </w:rPr>
        <w:t>Table</w:t>
      </w:r>
      <w:r w:rsidRPr="000C4E0D">
        <w:rPr>
          <w:rFonts w:eastAsia="Times New Roman"/>
          <w:color w:val="0F1115"/>
          <w:lang w:val="en-GB" w:eastAsia="en-GB"/>
        </w:rPr>
        <w:t xml:space="preserve"> 3: Comparative Hydrodynamic Response (Regular Waves, </w:t>
      </w:r>
      <w:proofErr w:type="spellStart"/>
      <w:r w:rsidRPr="000C4E0D">
        <w:rPr>
          <w:rFonts w:eastAsia="Times New Roman"/>
          <w:color w:val="0F1115"/>
          <w:lang w:val="en-GB" w:eastAsia="en-GB"/>
        </w:rPr>
        <w:t>Tp</w:t>
      </w:r>
      <w:proofErr w:type="spellEnd"/>
      <w:r w:rsidRPr="000C4E0D">
        <w:rPr>
          <w:rFonts w:eastAsia="Times New Roman"/>
          <w:color w:val="0F1115"/>
          <w:lang w:val="en-GB" w:eastAsia="en-GB"/>
        </w:rPr>
        <w:t xml:space="preserve"> = 8s)</w:t>
      </w:r>
    </w:p>
    <w:tbl>
      <w:tblPr>
        <w:tblStyle w:val="GridTable5Dark-Accent1"/>
        <w:tblW w:w="7485" w:type="dxa"/>
        <w:tblInd w:w="2122" w:type="dxa"/>
        <w:tblLook w:val="04A0" w:firstRow="1" w:lastRow="0" w:firstColumn="1" w:lastColumn="0" w:noHBand="0" w:noVBand="1"/>
      </w:tblPr>
      <w:tblGrid>
        <w:gridCol w:w="1353"/>
        <w:gridCol w:w="1746"/>
        <w:gridCol w:w="1501"/>
        <w:gridCol w:w="1286"/>
        <w:gridCol w:w="1599"/>
      </w:tblGrid>
      <w:tr w:rsidR="00B70F48" w:rsidRPr="000C4E0D" w14:paraId="0FE10EFF" w14:textId="77777777" w:rsidTr="0014141B">
        <w:trPr>
          <w:cnfStyle w:val="100000000000" w:firstRow="1" w:lastRow="0" w:firstColumn="0" w:lastColumn="0" w:oddVBand="0" w:evenVBand="0" w:oddHBand="0"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1268" w:type="dxa"/>
            <w:hideMark/>
          </w:tcPr>
          <w:p w14:paraId="3A3A7A36" w14:textId="77777777" w:rsidR="00B70F48" w:rsidRPr="000C4E0D" w:rsidRDefault="00B70F48" w:rsidP="000C4E0D">
            <w:pPr>
              <w:tabs>
                <w:tab w:val="left" w:pos="2552"/>
              </w:tabs>
              <w:spacing w:after="0" w:line="375" w:lineRule="atLeast"/>
              <w:rPr>
                <w:rFonts w:eastAsia="Times New Roman" w:cs="Times New Roman"/>
                <w:b w:val="0"/>
                <w:bCs w:val="0"/>
                <w:sz w:val="23"/>
                <w:szCs w:val="23"/>
                <w:lang w:val="en-GB" w:eastAsia="en-GB"/>
              </w:rPr>
            </w:pPr>
            <w:r w:rsidRPr="000C4E0D">
              <w:rPr>
                <w:rFonts w:eastAsia="Times New Roman" w:cs="Times New Roman"/>
                <w:b w:val="0"/>
                <w:bCs w:val="0"/>
                <w:sz w:val="23"/>
                <w:szCs w:val="23"/>
                <w:lang w:val="en-GB" w:eastAsia="en-GB"/>
              </w:rPr>
              <w:t>Concept</w:t>
            </w:r>
          </w:p>
        </w:tc>
        <w:tc>
          <w:tcPr>
            <w:tcW w:w="1777" w:type="dxa"/>
            <w:hideMark/>
          </w:tcPr>
          <w:p w14:paraId="706F3E95" w14:textId="77777777" w:rsidR="00B70F48" w:rsidRPr="000C4E0D" w:rsidRDefault="00B70F48" w:rsidP="000C4E0D">
            <w:pPr>
              <w:tabs>
                <w:tab w:val="left" w:pos="2552"/>
              </w:tabs>
              <w:spacing w:after="0" w:line="375" w:lineRule="atLeas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3"/>
                <w:szCs w:val="23"/>
                <w:lang w:val="en-GB" w:eastAsia="en-GB"/>
              </w:rPr>
            </w:pPr>
            <w:r w:rsidRPr="000C4E0D">
              <w:rPr>
                <w:rFonts w:eastAsia="Times New Roman" w:cs="Times New Roman"/>
                <w:b w:val="0"/>
                <w:bCs w:val="0"/>
                <w:sz w:val="23"/>
                <w:szCs w:val="23"/>
                <w:lang w:val="en-GB" w:eastAsia="en-GB"/>
              </w:rPr>
              <w:t>Surge RAO (m/m)</w:t>
            </w:r>
          </w:p>
        </w:tc>
        <w:tc>
          <w:tcPr>
            <w:tcW w:w="1522" w:type="dxa"/>
            <w:hideMark/>
          </w:tcPr>
          <w:p w14:paraId="76C0D994" w14:textId="77777777" w:rsidR="00B70F48" w:rsidRPr="000C4E0D" w:rsidRDefault="00B70F48" w:rsidP="000C4E0D">
            <w:pPr>
              <w:tabs>
                <w:tab w:val="left" w:pos="2552"/>
              </w:tabs>
              <w:spacing w:after="0" w:line="375" w:lineRule="atLeas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3"/>
                <w:szCs w:val="23"/>
                <w:lang w:val="en-GB" w:eastAsia="en-GB"/>
              </w:rPr>
            </w:pPr>
            <w:r w:rsidRPr="000C4E0D">
              <w:rPr>
                <w:rFonts w:eastAsia="Times New Roman" w:cs="Times New Roman"/>
                <w:b w:val="0"/>
                <w:bCs w:val="0"/>
                <w:sz w:val="23"/>
                <w:szCs w:val="23"/>
                <w:lang w:val="en-GB" w:eastAsia="en-GB"/>
              </w:rPr>
              <w:t>Heave RAO (m/m)</w:t>
            </w:r>
          </w:p>
        </w:tc>
        <w:tc>
          <w:tcPr>
            <w:tcW w:w="1305" w:type="dxa"/>
            <w:hideMark/>
          </w:tcPr>
          <w:p w14:paraId="5F6801EB" w14:textId="77777777" w:rsidR="00B70F48" w:rsidRPr="000C4E0D" w:rsidRDefault="00B70F48" w:rsidP="000C4E0D">
            <w:pPr>
              <w:tabs>
                <w:tab w:val="left" w:pos="2552"/>
              </w:tabs>
              <w:spacing w:after="0" w:line="375" w:lineRule="atLeas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3"/>
                <w:szCs w:val="23"/>
                <w:lang w:val="en-GB" w:eastAsia="en-GB"/>
              </w:rPr>
            </w:pPr>
            <w:r w:rsidRPr="000C4E0D">
              <w:rPr>
                <w:rFonts w:eastAsia="Times New Roman" w:cs="Times New Roman"/>
                <w:b w:val="0"/>
                <w:bCs w:val="0"/>
                <w:sz w:val="23"/>
                <w:szCs w:val="23"/>
                <w:lang w:val="en-GB" w:eastAsia="en-GB"/>
              </w:rPr>
              <w:t>Pitch RAO (°/m)</w:t>
            </w:r>
          </w:p>
        </w:tc>
        <w:tc>
          <w:tcPr>
            <w:tcW w:w="1613" w:type="dxa"/>
            <w:hideMark/>
          </w:tcPr>
          <w:p w14:paraId="341E77A7" w14:textId="77777777" w:rsidR="00B70F48" w:rsidRPr="000C4E0D" w:rsidRDefault="00B70F48" w:rsidP="000C4E0D">
            <w:pPr>
              <w:tabs>
                <w:tab w:val="left" w:pos="2552"/>
              </w:tabs>
              <w:spacing w:after="0" w:line="375" w:lineRule="atLeas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3"/>
                <w:szCs w:val="23"/>
                <w:lang w:val="en-GB" w:eastAsia="en-GB"/>
              </w:rPr>
            </w:pPr>
            <w:r w:rsidRPr="000C4E0D">
              <w:rPr>
                <w:rFonts w:eastAsia="Times New Roman" w:cs="Times New Roman"/>
                <w:b w:val="0"/>
                <w:bCs w:val="0"/>
                <w:sz w:val="23"/>
                <w:szCs w:val="23"/>
                <w:lang w:val="en-GB" w:eastAsia="en-GB"/>
              </w:rPr>
              <w:t>Source</w:t>
            </w:r>
          </w:p>
        </w:tc>
      </w:tr>
      <w:tr w:rsidR="00B70F48" w:rsidRPr="000C4E0D" w14:paraId="3728FE26" w14:textId="77777777" w:rsidTr="0014141B">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1268" w:type="dxa"/>
            <w:hideMark/>
          </w:tcPr>
          <w:p w14:paraId="4809117F" w14:textId="77777777" w:rsidR="00B70F48" w:rsidRPr="000C4E0D" w:rsidRDefault="00B70F48" w:rsidP="000C4E0D">
            <w:pPr>
              <w:tabs>
                <w:tab w:val="left" w:pos="2552"/>
              </w:tabs>
              <w:spacing w:after="0" w:line="375" w:lineRule="atLeast"/>
              <w:rPr>
                <w:rFonts w:eastAsia="Times New Roman" w:cs="Times New Roman"/>
                <w:b w:val="0"/>
                <w:bCs w:val="0"/>
                <w:sz w:val="23"/>
                <w:szCs w:val="23"/>
                <w:lang w:val="en-GB" w:eastAsia="en-GB"/>
              </w:rPr>
            </w:pPr>
            <w:r w:rsidRPr="000C4E0D">
              <w:rPr>
                <w:rFonts w:eastAsia="Times New Roman" w:cs="Times New Roman"/>
                <w:b w:val="0"/>
                <w:bCs w:val="0"/>
                <w:sz w:val="23"/>
                <w:szCs w:val="23"/>
                <w:lang w:val="en-GB" w:eastAsia="en-GB"/>
              </w:rPr>
              <w:t>Standalone FOWT</w:t>
            </w:r>
          </w:p>
        </w:tc>
        <w:tc>
          <w:tcPr>
            <w:tcW w:w="1777" w:type="dxa"/>
            <w:hideMark/>
          </w:tcPr>
          <w:p w14:paraId="1EF10C35" w14:textId="77777777" w:rsidR="00B70F48" w:rsidRPr="000C4E0D" w:rsidRDefault="00B70F48" w:rsidP="000C4E0D">
            <w:pPr>
              <w:tabs>
                <w:tab w:val="left" w:pos="2552"/>
              </w:tabs>
              <w:spacing w:after="0" w:line="375"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sz w:val="23"/>
                <w:szCs w:val="23"/>
                <w:lang w:val="en-GB" w:eastAsia="en-GB"/>
              </w:rPr>
            </w:pPr>
            <w:r w:rsidRPr="000C4E0D">
              <w:rPr>
                <w:rFonts w:eastAsia="Times New Roman" w:cs="Times New Roman"/>
                <w:sz w:val="23"/>
                <w:szCs w:val="23"/>
                <w:lang w:val="en-GB" w:eastAsia="en-GB"/>
              </w:rPr>
              <w:t>0.42</w:t>
            </w:r>
          </w:p>
        </w:tc>
        <w:tc>
          <w:tcPr>
            <w:tcW w:w="1522" w:type="dxa"/>
            <w:hideMark/>
          </w:tcPr>
          <w:p w14:paraId="206E0348" w14:textId="77777777" w:rsidR="00B70F48" w:rsidRPr="000C4E0D" w:rsidRDefault="00B70F48" w:rsidP="000C4E0D">
            <w:pPr>
              <w:tabs>
                <w:tab w:val="left" w:pos="2552"/>
              </w:tabs>
              <w:spacing w:after="0" w:line="375"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sz w:val="23"/>
                <w:szCs w:val="23"/>
                <w:lang w:val="en-GB" w:eastAsia="en-GB"/>
              </w:rPr>
            </w:pPr>
            <w:r w:rsidRPr="000C4E0D">
              <w:rPr>
                <w:rFonts w:eastAsia="Times New Roman" w:cs="Times New Roman"/>
                <w:sz w:val="23"/>
                <w:szCs w:val="23"/>
                <w:lang w:val="en-GB" w:eastAsia="en-GB"/>
              </w:rPr>
              <w:t>0.28</w:t>
            </w:r>
          </w:p>
        </w:tc>
        <w:tc>
          <w:tcPr>
            <w:tcW w:w="1305" w:type="dxa"/>
            <w:hideMark/>
          </w:tcPr>
          <w:p w14:paraId="37809336" w14:textId="77777777" w:rsidR="00B70F48" w:rsidRPr="000C4E0D" w:rsidRDefault="00B70F48" w:rsidP="000C4E0D">
            <w:pPr>
              <w:tabs>
                <w:tab w:val="left" w:pos="2552"/>
              </w:tabs>
              <w:spacing w:after="0" w:line="375"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sz w:val="23"/>
                <w:szCs w:val="23"/>
                <w:lang w:val="en-GB" w:eastAsia="en-GB"/>
              </w:rPr>
            </w:pPr>
            <w:r w:rsidRPr="000C4E0D">
              <w:rPr>
                <w:rFonts w:eastAsia="Times New Roman" w:cs="Times New Roman"/>
                <w:sz w:val="23"/>
                <w:szCs w:val="23"/>
                <w:lang w:val="en-GB" w:eastAsia="en-GB"/>
              </w:rPr>
              <w:t>3.2</w:t>
            </w:r>
          </w:p>
        </w:tc>
        <w:tc>
          <w:tcPr>
            <w:tcW w:w="1613" w:type="dxa"/>
            <w:hideMark/>
          </w:tcPr>
          <w:p w14:paraId="5A9C3EFB" w14:textId="5E7B6597" w:rsidR="00B70F48" w:rsidRPr="000C4E0D" w:rsidRDefault="00B70F48" w:rsidP="000C4E0D">
            <w:pPr>
              <w:tabs>
                <w:tab w:val="left" w:pos="2552"/>
              </w:tabs>
              <w:spacing w:after="0" w:line="375"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sz w:val="23"/>
                <w:szCs w:val="23"/>
                <w:lang w:val="en-GB" w:eastAsia="en-GB"/>
              </w:rPr>
            </w:pPr>
            <w:r w:rsidRPr="000C4E0D">
              <w:rPr>
                <w:rFonts w:eastAsia="Times New Roman" w:cs="Times New Roman"/>
                <w:sz w:val="23"/>
                <w:szCs w:val="23"/>
                <w:lang w:val="en-GB" w:eastAsia="en-GB"/>
              </w:rPr>
              <w:t xml:space="preserve">Jonkman </w:t>
            </w:r>
            <w:r w:rsidR="00D31CCB">
              <w:rPr>
                <w:rFonts w:eastAsia="Times New Roman" w:cs="Times New Roman"/>
                <w:sz w:val="23"/>
                <w:szCs w:val="23"/>
                <w:lang w:val="en-GB" w:eastAsia="en-GB"/>
              </w:rPr>
              <w:t xml:space="preserve">and Matha </w:t>
            </w:r>
            <w:r w:rsidRPr="000C4E0D">
              <w:rPr>
                <w:rFonts w:eastAsia="Times New Roman" w:cs="Times New Roman"/>
                <w:sz w:val="23"/>
                <w:szCs w:val="23"/>
                <w:lang w:val="en-GB" w:eastAsia="en-GB"/>
              </w:rPr>
              <w:t>[</w:t>
            </w:r>
            <w:r w:rsidR="00D31CCB">
              <w:rPr>
                <w:rFonts w:eastAsia="Times New Roman" w:cs="Times New Roman"/>
                <w:sz w:val="23"/>
                <w:szCs w:val="23"/>
                <w:lang w:val="en-GB" w:eastAsia="en-GB"/>
              </w:rPr>
              <w:t>3</w:t>
            </w:r>
            <w:r w:rsidRPr="000C4E0D">
              <w:rPr>
                <w:rFonts w:eastAsia="Times New Roman" w:cs="Times New Roman"/>
                <w:sz w:val="23"/>
                <w:szCs w:val="23"/>
                <w:lang w:val="en-GB" w:eastAsia="en-GB"/>
              </w:rPr>
              <w:t>]</w:t>
            </w:r>
          </w:p>
        </w:tc>
      </w:tr>
      <w:tr w:rsidR="00B70F48" w:rsidRPr="000C4E0D" w14:paraId="4EC39FE4" w14:textId="77777777" w:rsidTr="0014141B">
        <w:trPr>
          <w:trHeight w:val="717"/>
        </w:trPr>
        <w:tc>
          <w:tcPr>
            <w:cnfStyle w:val="001000000000" w:firstRow="0" w:lastRow="0" w:firstColumn="1" w:lastColumn="0" w:oddVBand="0" w:evenVBand="0" w:oddHBand="0" w:evenHBand="0" w:firstRowFirstColumn="0" w:firstRowLastColumn="0" w:lastRowFirstColumn="0" w:lastRowLastColumn="0"/>
            <w:tcW w:w="1268" w:type="dxa"/>
            <w:hideMark/>
          </w:tcPr>
          <w:p w14:paraId="3AAABEEA" w14:textId="77777777" w:rsidR="00B70F48" w:rsidRPr="000C4E0D" w:rsidRDefault="00B70F48" w:rsidP="000C4E0D">
            <w:pPr>
              <w:tabs>
                <w:tab w:val="left" w:pos="2552"/>
              </w:tabs>
              <w:spacing w:after="0" w:line="375" w:lineRule="atLeast"/>
              <w:rPr>
                <w:rFonts w:eastAsia="Times New Roman" w:cs="Times New Roman"/>
                <w:b w:val="0"/>
                <w:bCs w:val="0"/>
                <w:sz w:val="23"/>
                <w:szCs w:val="23"/>
                <w:lang w:val="en-GB" w:eastAsia="en-GB"/>
              </w:rPr>
            </w:pPr>
            <w:r w:rsidRPr="000C4E0D">
              <w:rPr>
                <w:rFonts w:eastAsia="Times New Roman" w:cs="Times New Roman"/>
                <w:b w:val="0"/>
                <w:bCs w:val="0"/>
                <w:sz w:val="23"/>
                <w:szCs w:val="23"/>
                <w:lang w:val="en-GB" w:eastAsia="en-GB"/>
              </w:rPr>
              <w:t>Point absorber</w:t>
            </w:r>
          </w:p>
        </w:tc>
        <w:tc>
          <w:tcPr>
            <w:tcW w:w="1777" w:type="dxa"/>
            <w:hideMark/>
          </w:tcPr>
          <w:p w14:paraId="436AD8F2" w14:textId="77777777" w:rsidR="00B70F48" w:rsidRPr="000C4E0D" w:rsidRDefault="00B70F48" w:rsidP="000C4E0D">
            <w:pPr>
              <w:tabs>
                <w:tab w:val="left" w:pos="2552"/>
              </w:tabs>
              <w:spacing w:after="0" w:line="375"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sz w:val="23"/>
                <w:szCs w:val="23"/>
                <w:lang w:val="en-GB" w:eastAsia="en-GB"/>
              </w:rPr>
            </w:pPr>
            <w:r w:rsidRPr="000C4E0D">
              <w:rPr>
                <w:rFonts w:eastAsia="Times New Roman" w:cs="Times New Roman"/>
                <w:sz w:val="23"/>
                <w:szCs w:val="23"/>
                <w:lang w:val="en-GB" w:eastAsia="en-GB"/>
              </w:rPr>
              <w:t>0.35</w:t>
            </w:r>
          </w:p>
        </w:tc>
        <w:tc>
          <w:tcPr>
            <w:tcW w:w="1522" w:type="dxa"/>
            <w:hideMark/>
          </w:tcPr>
          <w:p w14:paraId="75118FC2" w14:textId="77777777" w:rsidR="00B70F48" w:rsidRPr="000C4E0D" w:rsidRDefault="00B70F48" w:rsidP="000C4E0D">
            <w:pPr>
              <w:tabs>
                <w:tab w:val="left" w:pos="2552"/>
              </w:tabs>
              <w:spacing w:after="0" w:line="375"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sz w:val="23"/>
                <w:szCs w:val="23"/>
                <w:lang w:val="en-GB" w:eastAsia="en-GB"/>
              </w:rPr>
            </w:pPr>
            <w:r w:rsidRPr="000C4E0D">
              <w:rPr>
                <w:rFonts w:eastAsia="Times New Roman" w:cs="Times New Roman"/>
                <w:sz w:val="23"/>
                <w:szCs w:val="23"/>
                <w:lang w:val="en-GB" w:eastAsia="en-GB"/>
              </w:rPr>
              <w:t>0.20</w:t>
            </w:r>
          </w:p>
        </w:tc>
        <w:tc>
          <w:tcPr>
            <w:tcW w:w="1305" w:type="dxa"/>
            <w:hideMark/>
          </w:tcPr>
          <w:p w14:paraId="3DC4E922" w14:textId="77777777" w:rsidR="00B70F48" w:rsidRPr="000C4E0D" w:rsidRDefault="00B70F48" w:rsidP="000C4E0D">
            <w:pPr>
              <w:tabs>
                <w:tab w:val="left" w:pos="2552"/>
              </w:tabs>
              <w:spacing w:after="0" w:line="375"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sz w:val="23"/>
                <w:szCs w:val="23"/>
                <w:lang w:val="en-GB" w:eastAsia="en-GB"/>
              </w:rPr>
            </w:pPr>
            <w:r w:rsidRPr="000C4E0D">
              <w:rPr>
                <w:rFonts w:eastAsia="Times New Roman" w:cs="Times New Roman"/>
                <w:sz w:val="23"/>
                <w:szCs w:val="23"/>
                <w:lang w:val="en-GB" w:eastAsia="en-GB"/>
              </w:rPr>
              <w:t>2.5</w:t>
            </w:r>
          </w:p>
        </w:tc>
        <w:tc>
          <w:tcPr>
            <w:tcW w:w="1613" w:type="dxa"/>
            <w:hideMark/>
          </w:tcPr>
          <w:p w14:paraId="4630874E" w14:textId="545CC0E0" w:rsidR="00B70F48" w:rsidRPr="000C4E0D" w:rsidRDefault="00B70F48" w:rsidP="000C4E0D">
            <w:pPr>
              <w:tabs>
                <w:tab w:val="left" w:pos="2552"/>
              </w:tabs>
              <w:spacing w:after="0" w:line="375"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sz w:val="23"/>
                <w:szCs w:val="23"/>
                <w:lang w:val="en-GB" w:eastAsia="en-GB"/>
              </w:rPr>
            </w:pPr>
            <w:proofErr w:type="spellStart"/>
            <w:r w:rsidRPr="000C4E0D">
              <w:rPr>
                <w:rFonts w:eastAsia="Times New Roman" w:cs="Times New Roman"/>
                <w:sz w:val="23"/>
                <w:szCs w:val="23"/>
                <w:lang w:val="en-GB" w:eastAsia="en-GB"/>
              </w:rPr>
              <w:t>Mul</w:t>
            </w:r>
            <w:r w:rsidR="00B77DBF">
              <w:rPr>
                <w:rFonts w:eastAsia="Times New Roman" w:cs="Times New Roman"/>
                <w:sz w:val="23"/>
                <w:szCs w:val="23"/>
                <w:lang w:val="en-GB" w:eastAsia="en-GB"/>
              </w:rPr>
              <w:t>i</w:t>
            </w:r>
            <w:r w:rsidRPr="000C4E0D">
              <w:rPr>
                <w:rFonts w:eastAsia="Times New Roman" w:cs="Times New Roman"/>
                <w:sz w:val="23"/>
                <w:szCs w:val="23"/>
                <w:lang w:val="en-GB" w:eastAsia="en-GB"/>
              </w:rPr>
              <w:t>awan</w:t>
            </w:r>
            <w:proofErr w:type="spellEnd"/>
            <w:r w:rsidRPr="000C4E0D">
              <w:rPr>
                <w:rFonts w:eastAsia="Times New Roman" w:cs="Times New Roman"/>
                <w:sz w:val="23"/>
                <w:szCs w:val="23"/>
                <w:lang w:val="en-GB" w:eastAsia="en-GB"/>
              </w:rPr>
              <w:t xml:space="preserve"> et al. [</w:t>
            </w:r>
            <w:r w:rsidR="005350FB">
              <w:rPr>
                <w:rFonts w:eastAsia="Times New Roman" w:cs="Times New Roman"/>
                <w:sz w:val="23"/>
                <w:szCs w:val="23"/>
                <w:lang w:val="en-GB" w:eastAsia="en-GB"/>
              </w:rPr>
              <w:t>41,43</w:t>
            </w:r>
            <w:r w:rsidRPr="000C4E0D">
              <w:rPr>
                <w:rFonts w:eastAsia="Times New Roman" w:cs="Times New Roman"/>
                <w:sz w:val="23"/>
                <w:szCs w:val="23"/>
                <w:lang w:val="en-GB" w:eastAsia="en-GB"/>
              </w:rPr>
              <w:t>]</w:t>
            </w:r>
          </w:p>
        </w:tc>
      </w:tr>
      <w:tr w:rsidR="00B70F48" w:rsidRPr="000C4E0D" w14:paraId="63197FBA" w14:textId="77777777" w:rsidTr="0014141B">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1268" w:type="dxa"/>
            <w:hideMark/>
          </w:tcPr>
          <w:p w14:paraId="41D9BE87" w14:textId="77777777" w:rsidR="00B70F48" w:rsidRPr="000C4E0D" w:rsidRDefault="00B70F48" w:rsidP="000C4E0D">
            <w:pPr>
              <w:tabs>
                <w:tab w:val="left" w:pos="2552"/>
              </w:tabs>
              <w:spacing w:after="0" w:line="375" w:lineRule="atLeast"/>
              <w:rPr>
                <w:rFonts w:eastAsia="Times New Roman" w:cs="Times New Roman"/>
                <w:b w:val="0"/>
                <w:bCs w:val="0"/>
                <w:sz w:val="23"/>
                <w:szCs w:val="23"/>
                <w:lang w:val="en-GB" w:eastAsia="en-GB"/>
              </w:rPr>
            </w:pPr>
            <w:r w:rsidRPr="000C4E0D">
              <w:rPr>
                <w:rFonts w:eastAsia="Times New Roman" w:cs="Times New Roman"/>
                <w:b w:val="0"/>
                <w:bCs w:val="0"/>
                <w:sz w:val="23"/>
                <w:szCs w:val="23"/>
                <w:lang w:val="en-GB" w:eastAsia="en-GB"/>
              </w:rPr>
              <w:t>OWC</w:t>
            </w:r>
          </w:p>
        </w:tc>
        <w:tc>
          <w:tcPr>
            <w:tcW w:w="1777" w:type="dxa"/>
            <w:hideMark/>
          </w:tcPr>
          <w:p w14:paraId="596F0C92" w14:textId="77777777" w:rsidR="00B70F48" w:rsidRPr="000C4E0D" w:rsidRDefault="00B70F48" w:rsidP="000C4E0D">
            <w:pPr>
              <w:tabs>
                <w:tab w:val="left" w:pos="2552"/>
              </w:tabs>
              <w:spacing w:after="0" w:line="375"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sz w:val="23"/>
                <w:szCs w:val="23"/>
                <w:lang w:val="en-GB" w:eastAsia="en-GB"/>
              </w:rPr>
            </w:pPr>
            <w:r w:rsidRPr="000C4E0D">
              <w:rPr>
                <w:rFonts w:eastAsia="Times New Roman" w:cs="Times New Roman"/>
                <w:sz w:val="23"/>
                <w:szCs w:val="23"/>
                <w:lang w:val="en-GB" w:eastAsia="en-GB"/>
              </w:rPr>
              <w:t>0.30</w:t>
            </w:r>
          </w:p>
        </w:tc>
        <w:tc>
          <w:tcPr>
            <w:tcW w:w="1522" w:type="dxa"/>
            <w:hideMark/>
          </w:tcPr>
          <w:p w14:paraId="14421A7A" w14:textId="77777777" w:rsidR="00B70F48" w:rsidRPr="000C4E0D" w:rsidRDefault="00B70F48" w:rsidP="000C4E0D">
            <w:pPr>
              <w:tabs>
                <w:tab w:val="left" w:pos="2552"/>
              </w:tabs>
              <w:spacing w:after="0" w:line="375"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sz w:val="23"/>
                <w:szCs w:val="23"/>
                <w:lang w:val="en-GB" w:eastAsia="en-GB"/>
              </w:rPr>
            </w:pPr>
            <w:r w:rsidRPr="000C4E0D">
              <w:rPr>
                <w:rFonts w:eastAsia="Times New Roman" w:cs="Times New Roman"/>
                <w:sz w:val="23"/>
                <w:szCs w:val="23"/>
                <w:lang w:val="en-GB" w:eastAsia="en-GB"/>
              </w:rPr>
              <w:t>0.18</w:t>
            </w:r>
          </w:p>
        </w:tc>
        <w:tc>
          <w:tcPr>
            <w:tcW w:w="1305" w:type="dxa"/>
            <w:hideMark/>
          </w:tcPr>
          <w:p w14:paraId="46FE8134" w14:textId="77777777" w:rsidR="00B70F48" w:rsidRPr="000C4E0D" w:rsidRDefault="00B70F48" w:rsidP="000C4E0D">
            <w:pPr>
              <w:tabs>
                <w:tab w:val="left" w:pos="2552"/>
              </w:tabs>
              <w:spacing w:after="0" w:line="375"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sz w:val="23"/>
                <w:szCs w:val="23"/>
                <w:lang w:val="en-GB" w:eastAsia="en-GB"/>
              </w:rPr>
            </w:pPr>
            <w:r w:rsidRPr="000C4E0D">
              <w:rPr>
                <w:rFonts w:eastAsia="Times New Roman" w:cs="Times New Roman"/>
                <w:sz w:val="23"/>
                <w:szCs w:val="23"/>
                <w:lang w:val="en-GB" w:eastAsia="en-GB"/>
              </w:rPr>
              <w:t>2.0</w:t>
            </w:r>
          </w:p>
        </w:tc>
        <w:tc>
          <w:tcPr>
            <w:tcW w:w="1613" w:type="dxa"/>
            <w:hideMark/>
          </w:tcPr>
          <w:p w14:paraId="2CAF7B4A" w14:textId="0B816FDB" w:rsidR="00B70F48" w:rsidRPr="00470C26" w:rsidRDefault="00470C26" w:rsidP="00470C26">
            <w:pPr>
              <w:tabs>
                <w:tab w:val="left" w:pos="2552"/>
              </w:tabs>
              <w:spacing w:line="375"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sz w:val="23"/>
                <w:szCs w:val="23"/>
                <w:lang w:val="en-GB" w:eastAsia="en-GB"/>
              </w:rPr>
            </w:pPr>
            <w:r w:rsidRPr="00AF09A8">
              <w:rPr>
                <w:rFonts w:eastAsia="Times New Roman" w:cs="Times New Roman"/>
                <w:color w:val="000000" w:themeColor="text1"/>
                <w:sz w:val="23"/>
                <w:szCs w:val="23"/>
                <w:lang w:val="en-GB" w:eastAsia="en-GB"/>
              </w:rPr>
              <w:t>Pols et al. [49]</w:t>
            </w:r>
          </w:p>
        </w:tc>
      </w:tr>
      <w:tr w:rsidR="00B70F48" w:rsidRPr="000C4E0D" w14:paraId="469A6F6F" w14:textId="77777777" w:rsidTr="0014141B">
        <w:trPr>
          <w:trHeight w:val="717"/>
        </w:trPr>
        <w:tc>
          <w:tcPr>
            <w:cnfStyle w:val="001000000000" w:firstRow="0" w:lastRow="0" w:firstColumn="1" w:lastColumn="0" w:oddVBand="0" w:evenVBand="0" w:oddHBand="0" w:evenHBand="0" w:firstRowFirstColumn="0" w:firstRowLastColumn="0" w:lastRowFirstColumn="0" w:lastRowLastColumn="0"/>
            <w:tcW w:w="1268" w:type="dxa"/>
            <w:hideMark/>
          </w:tcPr>
          <w:p w14:paraId="6445E519" w14:textId="77777777" w:rsidR="00B70F48" w:rsidRPr="000C4E0D" w:rsidRDefault="00B70F48" w:rsidP="000C4E0D">
            <w:pPr>
              <w:tabs>
                <w:tab w:val="left" w:pos="2552"/>
              </w:tabs>
              <w:spacing w:after="0" w:line="375" w:lineRule="atLeast"/>
              <w:rPr>
                <w:rFonts w:eastAsia="Times New Roman" w:cs="Times New Roman"/>
                <w:b w:val="0"/>
                <w:bCs w:val="0"/>
                <w:sz w:val="23"/>
                <w:szCs w:val="23"/>
                <w:lang w:val="en-GB" w:eastAsia="en-GB"/>
              </w:rPr>
            </w:pPr>
            <w:r w:rsidRPr="000C4E0D">
              <w:rPr>
                <w:rFonts w:eastAsia="Times New Roman" w:cs="Times New Roman"/>
                <w:b w:val="0"/>
                <w:bCs w:val="0"/>
                <w:sz w:val="23"/>
                <w:szCs w:val="23"/>
                <w:lang w:val="en-GB" w:eastAsia="en-GB"/>
              </w:rPr>
              <w:t>Flap-type</w:t>
            </w:r>
          </w:p>
        </w:tc>
        <w:tc>
          <w:tcPr>
            <w:tcW w:w="1777" w:type="dxa"/>
            <w:hideMark/>
          </w:tcPr>
          <w:p w14:paraId="6872EAD0" w14:textId="77777777" w:rsidR="00B70F48" w:rsidRPr="000C4E0D" w:rsidRDefault="00B70F48" w:rsidP="000C4E0D">
            <w:pPr>
              <w:tabs>
                <w:tab w:val="left" w:pos="2552"/>
              </w:tabs>
              <w:spacing w:after="0" w:line="375"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sz w:val="23"/>
                <w:szCs w:val="23"/>
                <w:lang w:val="en-GB" w:eastAsia="en-GB"/>
              </w:rPr>
            </w:pPr>
            <w:r w:rsidRPr="000C4E0D">
              <w:rPr>
                <w:rFonts w:eastAsia="Times New Roman" w:cs="Times New Roman"/>
                <w:sz w:val="23"/>
                <w:szCs w:val="23"/>
                <w:lang w:val="en-GB" w:eastAsia="en-GB"/>
              </w:rPr>
              <w:t>0.20</w:t>
            </w:r>
          </w:p>
        </w:tc>
        <w:tc>
          <w:tcPr>
            <w:tcW w:w="1522" w:type="dxa"/>
            <w:hideMark/>
          </w:tcPr>
          <w:p w14:paraId="1BA71BA2" w14:textId="77777777" w:rsidR="00B70F48" w:rsidRPr="000C4E0D" w:rsidRDefault="00B70F48" w:rsidP="000C4E0D">
            <w:pPr>
              <w:tabs>
                <w:tab w:val="left" w:pos="2552"/>
              </w:tabs>
              <w:spacing w:after="0" w:line="375"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sz w:val="23"/>
                <w:szCs w:val="23"/>
                <w:lang w:val="en-GB" w:eastAsia="en-GB"/>
              </w:rPr>
            </w:pPr>
            <w:r w:rsidRPr="000C4E0D">
              <w:rPr>
                <w:rFonts w:eastAsia="Times New Roman" w:cs="Times New Roman"/>
                <w:sz w:val="23"/>
                <w:szCs w:val="23"/>
                <w:lang w:val="en-GB" w:eastAsia="en-GB"/>
              </w:rPr>
              <w:t>0.15</w:t>
            </w:r>
          </w:p>
        </w:tc>
        <w:tc>
          <w:tcPr>
            <w:tcW w:w="1305" w:type="dxa"/>
            <w:hideMark/>
          </w:tcPr>
          <w:p w14:paraId="74DBE92B" w14:textId="77777777" w:rsidR="00B70F48" w:rsidRPr="000C4E0D" w:rsidRDefault="00B70F48" w:rsidP="000C4E0D">
            <w:pPr>
              <w:tabs>
                <w:tab w:val="left" w:pos="2552"/>
              </w:tabs>
              <w:spacing w:after="0" w:line="375"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sz w:val="23"/>
                <w:szCs w:val="23"/>
                <w:lang w:val="en-GB" w:eastAsia="en-GB"/>
              </w:rPr>
            </w:pPr>
            <w:r w:rsidRPr="000C4E0D">
              <w:rPr>
                <w:rFonts w:eastAsia="Times New Roman" w:cs="Times New Roman"/>
                <w:sz w:val="23"/>
                <w:szCs w:val="23"/>
                <w:lang w:val="en-GB" w:eastAsia="en-GB"/>
              </w:rPr>
              <w:t>1.5</w:t>
            </w:r>
          </w:p>
        </w:tc>
        <w:tc>
          <w:tcPr>
            <w:tcW w:w="1613" w:type="dxa"/>
            <w:hideMark/>
          </w:tcPr>
          <w:p w14:paraId="338D163A" w14:textId="065F1A93" w:rsidR="00B70F48" w:rsidRPr="000C4E0D" w:rsidRDefault="0005588D" w:rsidP="000C4E0D">
            <w:pPr>
              <w:tabs>
                <w:tab w:val="left" w:pos="2552"/>
              </w:tabs>
              <w:spacing w:after="0" w:line="375"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sz w:val="23"/>
                <w:szCs w:val="23"/>
                <w:lang w:val="en-GB" w:eastAsia="en-GB"/>
              </w:rPr>
            </w:pPr>
            <w:proofErr w:type="spellStart"/>
            <w:r w:rsidRPr="000C4E0D">
              <w:rPr>
                <w:rFonts w:eastAsia="Times New Roman" w:cs="Times New Roman"/>
                <w:sz w:val="23"/>
                <w:szCs w:val="23"/>
                <w:lang w:val="en-GB" w:eastAsia="en-GB"/>
              </w:rPr>
              <w:t>Michailides</w:t>
            </w:r>
            <w:proofErr w:type="spellEnd"/>
            <w:r w:rsidRPr="000C4E0D">
              <w:rPr>
                <w:rFonts w:eastAsia="Times New Roman" w:cs="Times New Roman"/>
                <w:sz w:val="23"/>
                <w:szCs w:val="23"/>
                <w:lang w:val="en-GB" w:eastAsia="en-GB"/>
              </w:rPr>
              <w:t xml:space="preserve"> et al. [</w:t>
            </w:r>
            <w:r w:rsidR="000A6347" w:rsidRPr="000C4E0D">
              <w:rPr>
                <w:rFonts w:eastAsia="Times New Roman" w:cs="Times New Roman"/>
                <w:sz w:val="23"/>
                <w:szCs w:val="23"/>
                <w:lang w:val="en-GB" w:eastAsia="en-GB"/>
              </w:rPr>
              <w:t>96</w:t>
            </w:r>
            <w:r w:rsidRPr="000C4E0D">
              <w:rPr>
                <w:rFonts w:eastAsia="Times New Roman" w:cs="Times New Roman"/>
                <w:sz w:val="23"/>
                <w:szCs w:val="23"/>
                <w:lang w:val="en-GB" w:eastAsia="en-GB"/>
              </w:rPr>
              <w:t>]</w:t>
            </w:r>
          </w:p>
        </w:tc>
      </w:tr>
      <w:tr w:rsidR="001B49D0" w:rsidRPr="000C4E0D" w14:paraId="14773A63" w14:textId="77777777" w:rsidTr="0014141B">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1268" w:type="dxa"/>
          </w:tcPr>
          <w:p w14:paraId="3B7518AD" w14:textId="5ADA658E" w:rsidR="001B49D0" w:rsidRPr="000C4E0D" w:rsidRDefault="001B49D0" w:rsidP="000C4E0D">
            <w:pPr>
              <w:tabs>
                <w:tab w:val="left" w:pos="2552"/>
              </w:tabs>
              <w:spacing w:line="375" w:lineRule="atLeast"/>
              <w:rPr>
                <w:rFonts w:eastAsia="Times New Roman"/>
                <w:b w:val="0"/>
                <w:bCs w:val="0"/>
                <w:sz w:val="23"/>
                <w:szCs w:val="23"/>
                <w:lang w:val="en-GB" w:eastAsia="en-GB"/>
              </w:rPr>
            </w:pPr>
            <w:r w:rsidRPr="000C4E0D">
              <w:rPr>
                <w:rFonts w:eastAsia="Times New Roman" w:cs="Times New Roman"/>
                <w:b w:val="0"/>
                <w:bCs w:val="0"/>
                <w:sz w:val="23"/>
                <w:szCs w:val="23"/>
                <w:lang w:val="en-GB" w:eastAsia="en-GB"/>
              </w:rPr>
              <w:t>Heaving torus (spar)</w:t>
            </w:r>
          </w:p>
        </w:tc>
        <w:tc>
          <w:tcPr>
            <w:tcW w:w="1777" w:type="dxa"/>
          </w:tcPr>
          <w:p w14:paraId="164070AE" w14:textId="0776D11E" w:rsidR="001B49D0" w:rsidRPr="000C4E0D" w:rsidRDefault="001B49D0" w:rsidP="000C4E0D">
            <w:pPr>
              <w:tabs>
                <w:tab w:val="left" w:pos="2552"/>
              </w:tabs>
              <w:spacing w:line="375" w:lineRule="atLeast"/>
              <w:cnfStyle w:val="000000100000" w:firstRow="0" w:lastRow="0" w:firstColumn="0" w:lastColumn="0" w:oddVBand="0" w:evenVBand="0" w:oddHBand="1" w:evenHBand="0" w:firstRowFirstColumn="0" w:firstRowLastColumn="0" w:lastRowFirstColumn="0" w:lastRowLastColumn="0"/>
              <w:rPr>
                <w:rFonts w:eastAsia="Times New Roman"/>
                <w:sz w:val="23"/>
                <w:szCs w:val="23"/>
                <w:lang w:val="en-GB" w:eastAsia="en-GB"/>
              </w:rPr>
            </w:pPr>
            <w:r w:rsidRPr="000C4E0D">
              <w:rPr>
                <w:rFonts w:eastAsia="Times New Roman" w:cs="Times New Roman"/>
                <w:sz w:val="23"/>
                <w:szCs w:val="23"/>
                <w:lang w:val="en-GB" w:eastAsia="en-GB"/>
              </w:rPr>
              <w:t>0.38</w:t>
            </w:r>
          </w:p>
        </w:tc>
        <w:tc>
          <w:tcPr>
            <w:tcW w:w="1522" w:type="dxa"/>
          </w:tcPr>
          <w:p w14:paraId="412F6FCB" w14:textId="7441237E" w:rsidR="001B49D0" w:rsidRPr="000C4E0D" w:rsidRDefault="001B49D0" w:rsidP="000C4E0D">
            <w:pPr>
              <w:tabs>
                <w:tab w:val="left" w:pos="2552"/>
              </w:tabs>
              <w:spacing w:line="375" w:lineRule="atLeast"/>
              <w:cnfStyle w:val="000000100000" w:firstRow="0" w:lastRow="0" w:firstColumn="0" w:lastColumn="0" w:oddVBand="0" w:evenVBand="0" w:oddHBand="1" w:evenHBand="0" w:firstRowFirstColumn="0" w:firstRowLastColumn="0" w:lastRowFirstColumn="0" w:lastRowLastColumn="0"/>
              <w:rPr>
                <w:rFonts w:eastAsia="Times New Roman"/>
                <w:sz w:val="23"/>
                <w:szCs w:val="23"/>
                <w:lang w:val="en-GB" w:eastAsia="en-GB"/>
              </w:rPr>
            </w:pPr>
            <w:r w:rsidRPr="000C4E0D">
              <w:rPr>
                <w:rFonts w:eastAsia="Times New Roman" w:cs="Times New Roman"/>
                <w:sz w:val="23"/>
                <w:szCs w:val="23"/>
                <w:lang w:val="en-GB" w:eastAsia="en-GB"/>
              </w:rPr>
              <w:t>0.24</w:t>
            </w:r>
          </w:p>
        </w:tc>
        <w:tc>
          <w:tcPr>
            <w:tcW w:w="1305" w:type="dxa"/>
          </w:tcPr>
          <w:p w14:paraId="53E09B82" w14:textId="01FB9070" w:rsidR="001B49D0" w:rsidRPr="000C4E0D" w:rsidRDefault="001B49D0" w:rsidP="000C4E0D">
            <w:pPr>
              <w:tabs>
                <w:tab w:val="left" w:pos="2552"/>
              </w:tabs>
              <w:spacing w:line="375" w:lineRule="atLeast"/>
              <w:cnfStyle w:val="000000100000" w:firstRow="0" w:lastRow="0" w:firstColumn="0" w:lastColumn="0" w:oddVBand="0" w:evenVBand="0" w:oddHBand="1" w:evenHBand="0" w:firstRowFirstColumn="0" w:firstRowLastColumn="0" w:lastRowFirstColumn="0" w:lastRowLastColumn="0"/>
              <w:rPr>
                <w:rFonts w:eastAsia="Times New Roman"/>
                <w:sz w:val="23"/>
                <w:szCs w:val="23"/>
                <w:lang w:val="en-GB" w:eastAsia="en-GB"/>
              </w:rPr>
            </w:pPr>
            <w:r w:rsidRPr="000C4E0D">
              <w:rPr>
                <w:rFonts w:eastAsia="Times New Roman" w:cs="Times New Roman"/>
                <w:sz w:val="23"/>
                <w:szCs w:val="23"/>
                <w:lang w:val="en-GB" w:eastAsia="en-GB"/>
              </w:rPr>
              <w:t>2.8</w:t>
            </w:r>
          </w:p>
        </w:tc>
        <w:tc>
          <w:tcPr>
            <w:tcW w:w="1613" w:type="dxa"/>
          </w:tcPr>
          <w:p w14:paraId="6ABA9F1E" w14:textId="670E80B9" w:rsidR="001B49D0" w:rsidRPr="00272BB4" w:rsidRDefault="001B49D0" w:rsidP="000C4E0D">
            <w:pPr>
              <w:tabs>
                <w:tab w:val="left" w:pos="2552"/>
              </w:tabs>
              <w:spacing w:line="375" w:lineRule="atLeas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3"/>
                <w:szCs w:val="23"/>
                <w:lang w:val="en-GB" w:eastAsia="en-GB"/>
              </w:rPr>
            </w:pPr>
            <w:proofErr w:type="spellStart"/>
            <w:r w:rsidRPr="00272BB4">
              <w:rPr>
                <w:rFonts w:eastAsia="Times New Roman" w:cs="Times New Roman"/>
                <w:color w:val="000000" w:themeColor="text1"/>
                <w:sz w:val="23"/>
                <w:szCs w:val="23"/>
                <w:lang w:val="en-GB" w:eastAsia="en-GB"/>
              </w:rPr>
              <w:t>Mul</w:t>
            </w:r>
            <w:r w:rsidR="00B77DBF" w:rsidRPr="00272BB4">
              <w:rPr>
                <w:rFonts w:eastAsia="Times New Roman" w:cs="Times New Roman"/>
                <w:color w:val="000000" w:themeColor="text1"/>
                <w:sz w:val="23"/>
                <w:szCs w:val="23"/>
                <w:lang w:val="en-GB" w:eastAsia="en-GB"/>
              </w:rPr>
              <w:t>i</w:t>
            </w:r>
            <w:r w:rsidRPr="00272BB4">
              <w:rPr>
                <w:rFonts w:eastAsia="Times New Roman" w:cs="Times New Roman"/>
                <w:color w:val="000000" w:themeColor="text1"/>
                <w:sz w:val="23"/>
                <w:szCs w:val="23"/>
                <w:lang w:val="en-GB" w:eastAsia="en-GB"/>
              </w:rPr>
              <w:t>awan</w:t>
            </w:r>
            <w:proofErr w:type="spellEnd"/>
            <w:r w:rsidRPr="00272BB4">
              <w:rPr>
                <w:rFonts w:eastAsia="Times New Roman" w:cs="Times New Roman"/>
                <w:color w:val="000000" w:themeColor="text1"/>
                <w:sz w:val="23"/>
                <w:szCs w:val="23"/>
                <w:lang w:val="en-GB" w:eastAsia="en-GB"/>
              </w:rPr>
              <w:t xml:space="preserve"> et al. [</w:t>
            </w:r>
            <w:r w:rsidR="00935C66" w:rsidRPr="00272BB4">
              <w:rPr>
                <w:rFonts w:eastAsia="Times New Roman" w:cs="Times New Roman"/>
                <w:color w:val="000000" w:themeColor="text1"/>
                <w:sz w:val="23"/>
                <w:szCs w:val="23"/>
                <w:lang w:val="en-GB" w:eastAsia="en-GB"/>
              </w:rPr>
              <w:t>27,</w:t>
            </w:r>
            <w:r w:rsidR="005350FB" w:rsidRPr="00272BB4">
              <w:rPr>
                <w:rFonts w:eastAsia="Times New Roman" w:cs="Times New Roman"/>
                <w:color w:val="000000" w:themeColor="text1"/>
                <w:sz w:val="23"/>
                <w:szCs w:val="23"/>
                <w:lang w:val="en-GB" w:eastAsia="en-GB"/>
              </w:rPr>
              <w:t>41,43</w:t>
            </w:r>
            <w:r w:rsidRPr="00272BB4">
              <w:rPr>
                <w:rFonts w:eastAsia="Times New Roman" w:cs="Times New Roman"/>
                <w:color w:val="000000" w:themeColor="text1"/>
                <w:sz w:val="23"/>
                <w:szCs w:val="23"/>
                <w:lang w:val="en-GB" w:eastAsia="en-GB"/>
              </w:rPr>
              <w:t>]</w:t>
            </w:r>
          </w:p>
        </w:tc>
      </w:tr>
    </w:tbl>
    <w:p w14:paraId="57B11114" w14:textId="119C90DC" w:rsidR="00A85CBB" w:rsidRPr="000C4E0D" w:rsidRDefault="00A85CBB" w:rsidP="000C4E0D">
      <w:pPr>
        <w:pStyle w:val="ds-markdown-paragraph"/>
        <w:shd w:val="clear" w:color="auto" w:fill="FFFFFF"/>
        <w:tabs>
          <w:tab w:val="left" w:pos="2552"/>
        </w:tabs>
        <w:spacing w:before="240" w:beforeAutospacing="0" w:after="240" w:afterAutospacing="0" w:line="276" w:lineRule="auto"/>
        <w:ind w:left="2552"/>
        <w:jc w:val="both"/>
        <w:rPr>
          <w:rFonts w:ascii="Palatino Linotype" w:hAnsi="Palatino Linotype"/>
          <w:color w:val="0F1115"/>
          <w:sz w:val="15"/>
          <w:szCs w:val="15"/>
          <w:shd w:val="clear" w:color="auto" w:fill="FFFFFF"/>
        </w:rPr>
      </w:pPr>
      <w:r w:rsidRPr="000C4E0D">
        <w:rPr>
          <w:rFonts w:ascii="Palatino Linotype" w:hAnsi="Palatino Linotype" w:cstheme="majorBidi"/>
          <w:sz w:val="20"/>
          <w:szCs w:val="20"/>
        </w:rPr>
        <w:t>Values are compiled from independent studies using different numerical models, environmental assumptions, optimisation procedures, and platform scales. The table is intended for qualitative comparison of reported trends only and should not be interpreted as a direct ranking between concepts.</w:t>
      </w:r>
    </w:p>
    <w:p w14:paraId="4031EDC3" w14:textId="2AA79645" w:rsidR="00B70F48" w:rsidRPr="00AD6CB0" w:rsidRDefault="00B70F48" w:rsidP="000C4E0D">
      <w:pPr>
        <w:pStyle w:val="ds-markdown-paragraph"/>
        <w:shd w:val="clear" w:color="auto" w:fill="FFFFFF"/>
        <w:tabs>
          <w:tab w:val="left" w:pos="2552"/>
        </w:tabs>
        <w:spacing w:before="240" w:beforeAutospacing="0" w:after="240" w:afterAutospacing="0" w:line="276" w:lineRule="auto"/>
        <w:ind w:left="2552"/>
        <w:jc w:val="both"/>
        <w:rPr>
          <w:rStyle w:val="Strong"/>
          <w:rFonts w:ascii="Palatino Linotype" w:hAnsi="Palatino Linotype"/>
          <w:b w:val="0"/>
          <w:bCs w:val="0"/>
          <w:color w:val="000000" w:themeColor="text1"/>
          <w:sz w:val="20"/>
          <w:szCs w:val="20"/>
        </w:rPr>
      </w:pPr>
      <w:r w:rsidRPr="00AD6CB0">
        <w:rPr>
          <w:rFonts w:ascii="Palatino Linotype" w:hAnsi="Palatino Linotype"/>
          <w:color w:val="000000" w:themeColor="text1"/>
          <w:sz w:val="20"/>
          <w:szCs w:val="20"/>
          <w:shd w:val="clear" w:color="auto" w:fill="FFFFFF"/>
        </w:rPr>
        <w:t>Platforms equipped with oscillating flap-type WECs exhibit the strongest motion suppression, especially in pitch and surge [</w:t>
      </w:r>
      <w:r w:rsidR="00E0517F" w:rsidRPr="00AD6CB0">
        <w:rPr>
          <w:rFonts w:ascii="Palatino Linotype" w:hAnsi="Palatino Linotype"/>
          <w:color w:val="000000" w:themeColor="text1"/>
          <w:sz w:val="20"/>
          <w:szCs w:val="20"/>
          <w:shd w:val="clear" w:color="auto" w:fill="FFFFFF"/>
        </w:rPr>
        <w:t>96</w:t>
      </w:r>
      <w:r w:rsidRPr="00AD6CB0">
        <w:rPr>
          <w:rFonts w:ascii="Palatino Linotype" w:hAnsi="Palatino Linotype"/>
          <w:color w:val="000000" w:themeColor="text1"/>
          <w:sz w:val="20"/>
          <w:szCs w:val="20"/>
          <w:shd w:val="clear" w:color="auto" w:fill="FFFFFF"/>
        </w:rPr>
        <w:t>]. The large hydrodynamic forces generated by the flaps provide substantial damping, but they also introduce higher dynamic loads into the platform structure [</w:t>
      </w:r>
      <w:r w:rsidR="003E4452" w:rsidRPr="00AD6CB0">
        <w:rPr>
          <w:rFonts w:ascii="Palatino Linotype" w:hAnsi="Palatino Linotype"/>
          <w:color w:val="000000" w:themeColor="text1"/>
          <w:sz w:val="20"/>
          <w:szCs w:val="20"/>
          <w:shd w:val="clear" w:color="auto" w:fill="FFFFFF"/>
        </w:rPr>
        <w:t>62</w:t>
      </w:r>
      <w:r w:rsidRPr="00AD6CB0">
        <w:rPr>
          <w:rFonts w:ascii="Palatino Linotype" w:hAnsi="Palatino Linotype"/>
          <w:color w:val="000000" w:themeColor="text1"/>
          <w:sz w:val="20"/>
          <w:szCs w:val="20"/>
          <w:shd w:val="clear" w:color="auto" w:fill="FFFFFF"/>
        </w:rPr>
        <w:t>]. This highlights a key trade-off between motion control effectiveness and structural demand [</w:t>
      </w:r>
      <w:r w:rsidR="005C4A1B" w:rsidRPr="00AD6CB0">
        <w:rPr>
          <w:rFonts w:ascii="Palatino Linotype" w:hAnsi="Palatino Linotype"/>
          <w:color w:val="000000" w:themeColor="text1"/>
          <w:sz w:val="20"/>
          <w:szCs w:val="20"/>
          <w:shd w:val="clear" w:color="auto" w:fill="FFFFFF"/>
        </w:rPr>
        <w:t>74</w:t>
      </w:r>
      <w:r w:rsidR="005350FB" w:rsidRPr="00AD6CB0">
        <w:rPr>
          <w:rFonts w:ascii="Palatino Linotype" w:hAnsi="Palatino Linotype"/>
          <w:color w:val="000000" w:themeColor="text1"/>
          <w:sz w:val="20"/>
          <w:szCs w:val="20"/>
          <w:shd w:val="clear" w:color="auto" w:fill="FFFFFF"/>
        </w:rPr>
        <w:t>,</w:t>
      </w:r>
      <w:r w:rsidR="005C4A1B" w:rsidRPr="00AD6CB0">
        <w:rPr>
          <w:rFonts w:ascii="Palatino Linotype" w:hAnsi="Palatino Linotype"/>
          <w:color w:val="000000" w:themeColor="text1"/>
          <w:sz w:val="20"/>
          <w:szCs w:val="20"/>
          <w:shd w:val="clear" w:color="auto" w:fill="FFFFFF"/>
        </w:rPr>
        <w:t>96</w:t>
      </w:r>
      <w:r w:rsidRPr="00AD6CB0">
        <w:rPr>
          <w:rFonts w:ascii="Palatino Linotype" w:hAnsi="Palatino Linotype"/>
          <w:color w:val="000000" w:themeColor="text1"/>
          <w:sz w:val="20"/>
          <w:szCs w:val="20"/>
          <w:shd w:val="clear" w:color="auto" w:fill="FFFFFF"/>
        </w:rPr>
        <w:t xml:space="preserve">]. </w:t>
      </w:r>
      <w:r w:rsidR="007B18D7" w:rsidRPr="00AD6CB0">
        <w:rPr>
          <w:rFonts w:ascii="Palatino Linotype" w:hAnsi="Palatino Linotype"/>
          <w:color w:val="000000" w:themeColor="text1"/>
          <w:sz w:val="20"/>
          <w:szCs w:val="20"/>
        </w:rPr>
        <w:t xml:space="preserve">Research by </w:t>
      </w:r>
      <w:proofErr w:type="spellStart"/>
      <w:r w:rsidR="005A19B7" w:rsidRPr="00AD6CB0">
        <w:rPr>
          <w:rFonts w:ascii="Palatino Linotype" w:hAnsi="Palatino Linotype"/>
          <w:color w:val="000000" w:themeColor="text1"/>
          <w:sz w:val="20"/>
          <w:szCs w:val="20"/>
        </w:rPr>
        <w:t>Michailides</w:t>
      </w:r>
      <w:proofErr w:type="spellEnd"/>
      <w:r w:rsidR="005A19B7" w:rsidRPr="00AD6CB0">
        <w:rPr>
          <w:rFonts w:ascii="Palatino Linotype" w:hAnsi="Palatino Linotype"/>
          <w:color w:val="000000" w:themeColor="text1"/>
          <w:sz w:val="20"/>
          <w:szCs w:val="20"/>
        </w:rPr>
        <w:t xml:space="preserve"> et al</w:t>
      </w:r>
      <w:r w:rsidR="007B18D7" w:rsidRPr="00AD6CB0">
        <w:rPr>
          <w:rFonts w:ascii="Palatino Linotype" w:hAnsi="Palatino Linotype"/>
          <w:color w:val="000000" w:themeColor="text1"/>
          <w:sz w:val="15"/>
          <w:szCs w:val="15"/>
        </w:rPr>
        <w:t xml:space="preserve"> </w:t>
      </w:r>
      <w:r w:rsidR="007B18D7" w:rsidRPr="00AD6CB0">
        <w:rPr>
          <w:rFonts w:ascii="Palatino Linotype" w:hAnsi="Palatino Linotype"/>
          <w:color w:val="000000" w:themeColor="text1"/>
          <w:sz w:val="20"/>
          <w:szCs w:val="20"/>
        </w:rPr>
        <w:t xml:space="preserve">on the SFC concept </w:t>
      </w:r>
      <w:r w:rsidRPr="00AD6CB0">
        <w:rPr>
          <w:rFonts w:ascii="Palatino Linotype" w:hAnsi="Palatino Linotype"/>
          <w:color w:val="000000" w:themeColor="text1"/>
          <w:sz w:val="20"/>
          <w:szCs w:val="20"/>
          <w:shd w:val="clear" w:color="auto" w:fill="FFFFFF"/>
        </w:rPr>
        <w:t>has shown that flap-type integration can reduce platform pitch by up to 40% while increasing tower base bending moments by 15–20% [</w:t>
      </w:r>
      <w:r w:rsidR="00D304FD" w:rsidRPr="00AD6CB0">
        <w:rPr>
          <w:rFonts w:ascii="Palatino Linotype" w:hAnsi="Palatino Linotype"/>
          <w:color w:val="000000" w:themeColor="text1"/>
          <w:sz w:val="20"/>
          <w:szCs w:val="20"/>
          <w:shd w:val="clear" w:color="auto" w:fill="FFFFFF"/>
        </w:rPr>
        <w:t>96</w:t>
      </w:r>
      <w:r w:rsidRPr="00AD6CB0">
        <w:rPr>
          <w:rFonts w:ascii="Palatino Linotype" w:hAnsi="Palatino Linotype"/>
          <w:color w:val="000000" w:themeColor="text1"/>
          <w:sz w:val="20"/>
          <w:szCs w:val="20"/>
          <w:shd w:val="clear" w:color="auto" w:fill="FFFFFF"/>
        </w:rPr>
        <w:t>].</w:t>
      </w:r>
    </w:p>
    <w:p w14:paraId="567B210A" w14:textId="77777777" w:rsidR="00B70F48" w:rsidRPr="004B2EBA" w:rsidRDefault="00B70F48" w:rsidP="000C4E0D">
      <w:pPr>
        <w:tabs>
          <w:tab w:val="left" w:pos="2552"/>
        </w:tabs>
        <w:ind w:left="2552"/>
        <w:rPr>
          <w:sz w:val="24"/>
          <w:szCs w:val="24"/>
        </w:rPr>
      </w:pPr>
      <w:r w:rsidRPr="004B2EBA">
        <w:rPr>
          <w:rStyle w:val="Strong"/>
          <w:color w:val="000000" w:themeColor="text1"/>
          <w:sz w:val="24"/>
          <w:szCs w:val="24"/>
        </w:rPr>
        <w:t>5.2 Energy Performance and Power Synergy</w:t>
      </w:r>
    </w:p>
    <w:p w14:paraId="4CAF563F" w14:textId="71A1C1B3" w:rsidR="00B70F48" w:rsidRPr="000C4E0D" w:rsidRDefault="00B70F48" w:rsidP="000C4E0D">
      <w:pPr>
        <w:pStyle w:val="ds-markdown-paragraph"/>
        <w:shd w:val="clear" w:color="auto" w:fill="FFFFFF"/>
        <w:tabs>
          <w:tab w:val="left" w:pos="2552"/>
        </w:tabs>
        <w:spacing w:before="240" w:beforeAutospacing="0" w:after="240" w:afterAutospacing="0"/>
        <w:ind w:left="2552"/>
        <w:jc w:val="both"/>
        <w:rPr>
          <w:rFonts w:ascii="Palatino Linotype" w:hAnsi="Palatino Linotype"/>
          <w:color w:val="0F1115"/>
          <w:sz w:val="20"/>
          <w:szCs w:val="20"/>
        </w:rPr>
      </w:pPr>
      <w:r w:rsidRPr="000C4E0D">
        <w:rPr>
          <w:rFonts w:ascii="Palatino Linotype" w:hAnsi="Palatino Linotype"/>
          <w:color w:val="0F1115"/>
          <w:sz w:val="20"/>
          <w:szCs w:val="20"/>
        </w:rPr>
        <w:t>From an energy production perspective, all hybrid concepts benefit from the complementary nature of wind and wave resources [</w:t>
      </w:r>
      <w:r w:rsidR="00E0517F">
        <w:rPr>
          <w:rFonts w:ascii="Palatino Linotype" w:hAnsi="Palatino Linotype"/>
          <w:color w:val="0F1115"/>
          <w:sz w:val="20"/>
          <w:szCs w:val="20"/>
        </w:rPr>
        <w:t>79</w:t>
      </w:r>
      <w:r w:rsidRPr="000C4E0D">
        <w:rPr>
          <w:rFonts w:ascii="Palatino Linotype" w:hAnsi="Palatino Linotype"/>
          <w:color w:val="0F1115"/>
          <w:sz w:val="20"/>
          <w:szCs w:val="20"/>
        </w:rPr>
        <w:t>]. Wave energy contributions are particularly valuable during periods of reduced wind availability, enhancing overall capacity factor and power availability [</w:t>
      </w:r>
      <w:r w:rsidR="005350FB">
        <w:rPr>
          <w:rFonts w:ascii="Palatino Linotype" w:hAnsi="Palatino Linotype"/>
          <w:color w:val="0F1115"/>
          <w:sz w:val="20"/>
          <w:szCs w:val="20"/>
        </w:rPr>
        <w:t>45</w:t>
      </w:r>
      <w:r w:rsidR="00BC24D7">
        <w:rPr>
          <w:rFonts w:ascii="Palatino Linotype" w:hAnsi="Palatino Linotype"/>
          <w:color w:val="0F1115"/>
          <w:sz w:val="20"/>
          <w:szCs w:val="20"/>
        </w:rPr>
        <w:t>,97</w:t>
      </w:r>
      <w:r w:rsidRPr="000C4E0D">
        <w:rPr>
          <w:rFonts w:ascii="Palatino Linotype" w:hAnsi="Palatino Linotype"/>
          <w:color w:val="0F1115"/>
          <w:sz w:val="20"/>
          <w:szCs w:val="20"/>
        </w:rPr>
        <w:t xml:space="preserve">]. Studies of resource complementarity in key offshore regions have shown that wind and wave power exhibit correlation coefficients ranging from 0.3 to 0.7 depending </w:t>
      </w:r>
      <w:r w:rsidRPr="000C4E0D">
        <w:rPr>
          <w:rFonts w:ascii="Palatino Linotype" w:hAnsi="Palatino Linotype"/>
          <w:color w:val="0F1115"/>
          <w:sz w:val="20"/>
          <w:szCs w:val="20"/>
        </w:rPr>
        <w:lastRenderedPageBreak/>
        <w:t>on location and season, indicating significant potential for output smoothing through hybridization [</w:t>
      </w:r>
      <w:r w:rsidR="008729F0">
        <w:rPr>
          <w:rFonts w:ascii="Palatino Linotype" w:hAnsi="Palatino Linotype"/>
          <w:color w:val="0F1115"/>
          <w:sz w:val="20"/>
          <w:szCs w:val="20"/>
        </w:rPr>
        <w:t>79,</w:t>
      </w:r>
      <w:r w:rsidR="00E46BD9">
        <w:rPr>
          <w:rFonts w:ascii="Palatino Linotype" w:hAnsi="Palatino Linotype"/>
          <w:color w:val="0F1115"/>
          <w:sz w:val="20"/>
          <w:szCs w:val="20"/>
        </w:rPr>
        <w:t>88,102</w:t>
      </w:r>
      <w:r w:rsidRPr="000C4E0D">
        <w:rPr>
          <w:rFonts w:ascii="Palatino Linotype" w:hAnsi="Palatino Linotype"/>
          <w:color w:val="0F1115"/>
          <w:sz w:val="20"/>
          <w:szCs w:val="20"/>
        </w:rPr>
        <w:t>].</w:t>
      </w:r>
    </w:p>
    <w:p w14:paraId="7D8C9203" w14:textId="64F868C0" w:rsidR="00B70F48" w:rsidRPr="00AD6CB0" w:rsidRDefault="00B70F48" w:rsidP="000C4E0D">
      <w:pPr>
        <w:pStyle w:val="ds-markdown-paragraph"/>
        <w:shd w:val="clear" w:color="auto" w:fill="FFFFFF"/>
        <w:tabs>
          <w:tab w:val="left" w:pos="2552"/>
        </w:tabs>
        <w:spacing w:before="240" w:beforeAutospacing="0" w:after="240" w:afterAutospacing="0"/>
        <w:ind w:left="2552"/>
        <w:jc w:val="both"/>
        <w:rPr>
          <w:rFonts w:ascii="Palatino Linotype" w:hAnsi="Palatino Linotype"/>
          <w:color w:val="000000" w:themeColor="text1"/>
          <w:sz w:val="20"/>
          <w:szCs w:val="20"/>
        </w:rPr>
      </w:pPr>
      <w:r w:rsidRPr="00AD6CB0">
        <w:rPr>
          <w:rFonts w:ascii="Palatino Linotype" w:hAnsi="Palatino Linotype"/>
          <w:color w:val="000000" w:themeColor="text1"/>
          <w:sz w:val="20"/>
          <w:szCs w:val="20"/>
        </w:rPr>
        <w:t xml:space="preserve">Point absorber-based hybrid systems typically provide modest wave energy contributions relative to wind power, with wave-derived electricity accounting for 5–15% of total annual production depending on site </w:t>
      </w:r>
      <w:r w:rsidR="00A9390E" w:rsidRPr="00AD6CB0">
        <w:rPr>
          <w:rFonts w:ascii="Palatino Linotype" w:hAnsi="Palatino Linotype"/>
          <w:color w:val="000000" w:themeColor="text1"/>
          <w:sz w:val="20"/>
          <w:szCs w:val="20"/>
        </w:rPr>
        <w:t>conditions.</w:t>
      </w:r>
      <w:r w:rsidRPr="00AD6CB0">
        <w:rPr>
          <w:rFonts w:ascii="Palatino Linotype" w:hAnsi="Palatino Linotype"/>
          <w:color w:val="000000" w:themeColor="text1"/>
          <w:sz w:val="20"/>
          <w:szCs w:val="20"/>
        </w:rPr>
        <w:t xml:space="preserve"> Nevertheless, their distributed configuration allows scalability and redundancy, which can improve reliability [</w:t>
      </w:r>
      <w:r w:rsidR="00653745" w:rsidRPr="00AD6CB0">
        <w:rPr>
          <w:rFonts w:ascii="Palatino Linotype" w:hAnsi="Palatino Linotype"/>
          <w:color w:val="000000" w:themeColor="text1"/>
          <w:sz w:val="20"/>
          <w:szCs w:val="20"/>
        </w:rPr>
        <w:t>4</w:t>
      </w:r>
      <w:r w:rsidRPr="00AD6CB0">
        <w:rPr>
          <w:rFonts w:ascii="Palatino Linotype" w:hAnsi="Palatino Linotype"/>
          <w:color w:val="000000" w:themeColor="text1"/>
          <w:sz w:val="20"/>
          <w:szCs w:val="20"/>
        </w:rPr>
        <w:t>]. Additionally, the damping effect of the WECs can indirectly enhance wind turbine power production by reducing nacelle motion and rotor misalignment [</w:t>
      </w:r>
      <w:r w:rsidR="00653745" w:rsidRPr="00AD6CB0">
        <w:rPr>
          <w:rFonts w:ascii="Palatino Linotype" w:hAnsi="Palatino Linotype"/>
          <w:color w:val="000000" w:themeColor="text1"/>
          <w:sz w:val="20"/>
          <w:szCs w:val="20"/>
        </w:rPr>
        <w:t>21</w:t>
      </w:r>
      <w:r w:rsidRPr="00AD6CB0">
        <w:rPr>
          <w:rFonts w:ascii="Palatino Linotype" w:hAnsi="Palatino Linotype"/>
          <w:color w:val="000000" w:themeColor="text1"/>
          <w:sz w:val="20"/>
          <w:szCs w:val="20"/>
        </w:rPr>
        <w:t xml:space="preserve">]. </w:t>
      </w:r>
      <w:r w:rsidR="00D3347E" w:rsidRPr="00AD6CB0">
        <w:rPr>
          <w:rFonts w:ascii="Palatino Linotype" w:hAnsi="Palatino Linotype"/>
          <w:color w:val="000000" w:themeColor="text1"/>
          <w:sz w:val="20"/>
          <w:szCs w:val="20"/>
        </w:rPr>
        <w:t>Simulations by Wei et al. show that the power performance of WECs mounted around an offshore wind turbine support structure depends strongly on WEC arrangement and hydrodynamic interaction effects, reinforcing the need for integrated design when assessing combined wind–wave energy output [99].</w:t>
      </w:r>
    </w:p>
    <w:p w14:paraId="14CA8935" w14:textId="4260C631" w:rsidR="00B70F48" w:rsidRPr="00AF09A8" w:rsidRDefault="00B70F48" w:rsidP="000C4E0D">
      <w:pPr>
        <w:pStyle w:val="ds-markdown-paragraph"/>
        <w:shd w:val="clear" w:color="auto" w:fill="FFFFFF"/>
        <w:tabs>
          <w:tab w:val="left" w:pos="2552"/>
        </w:tabs>
        <w:spacing w:before="240" w:beforeAutospacing="0" w:after="240" w:afterAutospacing="0"/>
        <w:ind w:left="2552"/>
        <w:jc w:val="both"/>
        <w:rPr>
          <w:rFonts w:ascii="Palatino Linotype" w:hAnsi="Palatino Linotype"/>
          <w:color w:val="000000" w:themeColor="text1"/>
          <w:sz w:val="20"/>
          <w:szCs w:val="20"/>
        </w:rPr>
      </w:pPr>
      <w:r w:rsidRPr="00AF09A8">
        <w:rPr>
          <w:rFonts w:ascii="Palatino Linotype" w:hAnsi="Palatino Linotype"/>
          <w:color w:val="000000" w:themeColor="text1"/>
          <w:sz w:val="20"/>
          <w:szCs w:val="20"/>
        </w:rPr>
        <w:t>OWC-based hybrids tend to deliver more stable wave power output due to the smoother airflow-driven PTO system [</w:t>
      </w:r>
      <w:r w:rsidR="00E0517F" w:rsidRPr="00AF09A8">
        <w:rPr>
          <w:rFonts w:ascii="Palatino Linotype" w:hAnsi="Palatino Linotype"/>
          <w:color w:val="000000" w:themeColor="text1"/>
          <w:sz w:val="20"/>
          <w:szCs w:val="20"/>
        </w:rPr>
        <w:t>45]</w:t>
      </w:r>
      <w:r w:rsidRPr="00AF09A8">
        <w:rPr>
          <w:rFonts w:ascii="Palatino Linotype" w:hAnsi="Palatino Linotype"/>
          <w:color w:val="000000" w:themeColor="text1"/>
          <w:sz w:val="20"/>
          <w:szCs w:val="20"/>
        </w:rPr>
        <w:t>. However, energy capture efficiency is strongly influenced by chamber geometry and wave climate, making site-specific tuning essential [</w:t>
      </w:r>
      <w:r w:rsidR="00D33B70" w:rsidRPr="00AF09A8">
        <w:rPr>
          <w:rFonts w:ascii="Palatino Linotype" w:hAnsi="Palatino Linotype"/>
          <w:color w:val="000000" w:themeColor="text1"/>
          <w:sz w:val="20"/>
          <w:szCs w:val="20"/>
        </w:rPr>
        <w:t>49</w:t>
      </w:r>
      <w:r w:rsidRPr="00AF09A8">
        <w:rPr>
          <w:rFonts w:ascii="Palatino Linotype" w:hAnsi="Palatino Linotype"/>
          <w:color w:val="000000" w:themeColor="text1"/>
          <w:sz w:val="20"/>
          <w:szCs w:val="20"/>
        </w:rPr>
        <w:t>]. Studies by Falcão and Henriques have shown that optimized OWC chamber design can achieve hydrodynamic efficiencies exceeding 70% at resonance, though practical annual averages are typically 15–25% [</w:t>
      </w:r>
      <w:r w:rsidR="005350FB" w:rsidRPr="00AF09A8">
        <w:rPr>
          <w:rFonts w:ascii="Palatino Linotype" w:hAnsi="Palatino Linotype"/>
          <w:color w:val="000000" w:themeColor="text1"/>
          <w:sz w:val="20"/>
          <w:szCs w:val="20"/>
        </w:rPr>
        <w:t>45</w:t>
      </w:r>
      <w:r w:rsidRPr="00AF09A8">
        <w:rPr>
          <w:rFonts w:ascii="Palatino Linotype" w:hAnsi="Palatino Linotype"/>
          <w:color w:val="000000" w:themeColor="text1"/>
          <w:sz w:val="20"/>
          <w:szCs w:val="20"/>
        </w:rPr>
        <w:t>].</w:t>
      </w:r>
    </w:p>
    <w:p w14:paraId="38FE8381" w14:textId="3F3077D0" w:rsidR="00B70F48" w:rsidRDefault="0099321C" w:rsidP="000C4E0D">
      <w:pPr>
        <w:pStyle w:val="ds-markdown-paragraph"/>
        <w:shd w:val="clear" w:color="auto" w:fill="FFFFFF"/>
        <w:tabs>
          <w:tab w:val="left" w:pos="2552"/>
        </w:tabs>
        <w:spacing w:before="240" w:beforeAutospacing="0" w:after="240" w:afterAutospacing="0"/>
        <w:ind w:left="2552"/>
        <w:jc w:val="both"/>
        <w:rPr>
          <w:rFonts w:ascii="Palatino Linotype" w:hAnsi="Palatino Linotype"/>
          <w:color w:val="0F1115"/>
          <w:sz w:val="20"/>
          <w:szCs w:val="20"/>
        </w:rPr>
      </w:pPr>
      <w:r w:rsidRPr="00AF09A8">
        <w:rPr>
          <w:rFonts w:ascii="Palatino Linotype" w:hAnsi="Palatino Linotype"/>
          <w:color w:val="000000" w:themeColor="text1"/>
          <w:sz w:val="20"/>
          <w:szCs w:val="20"/>
        </w:rPr>
        <w:t>Flap-type WEC hybrids can offer high wave energy capture potential in energetic sea states, although reported contributions depend strongly on device scale, site conditions, and platform configuration [4,72,96].</w:t>
      </w:r>
      <w:r w:rsidRPr="0029534A">
        <w:rPr>
          <w:rFonts w:ascii="Palatino Linotype" w:hAnsi="Palatino Linotype"/>
          <w:color w:val="FF0000"/>
          <w:sz w:val="20"/>
          <w:szCs w:val="20"/>
        </w:rPr>
        <w:t xml:space="preserve"> </w:t>
      </w:r>
      <w:r w:rsidR="00B70F48" w:rsidRPr="000C4E0D">
        <w:rPr>
          <w:rFonts w:ascii="Palatino Linotype" w:hAnsi="Palatino Linotype"/>
          <w:color w:val="0F1115"/>
          <w:sz w:val="20"/>
          <w:szCs w:val="20"/>
        </w:rPr>
        <w:t>Despite this advantage, the variability of flap motion and the associated structural loads may introduce challenges in maintaining consistent wind turbine performance under combined loading conditions [</w:t>
      </w:r>
      <w:r w:rsidR="00D33B70">
        <w:rPr>
          <w:rFonts w:ascii="Palatino Linotype" w:hAnsi="Palatino Linotype"/>
          <w:color w:val="0F1115"/>
          <w:sz w:val="20"/>
          <w:szCs w:val="20"/>
        </w:rPr>
        <w:t>53</w:t>
      </w:r>
      <w:r w:rsidR="00B70F48" w:rsidRPr="000C4E0D">
        <w:rPr>
          <w:rFonts w:ascii="Palatino Linotype" w:hAnsi="Palatino Linotype"/>
          <w:color w:val="0F1115"/>
          <w:sz w:val="20"/>
          <w:szCs w:val="20"/>
        </w:rPr>
        <w:t xml:space="preserve">]. </w:t>
      </w:r>
      <w:r w:rsidR="00334D37" w:rsidRPr="00334D37">
        <w:rPr>
          <w:rFonts w:ascii="Palatino Linotype" w:hAnsi="Palatino Linotype"/>
          <w:color w:val="0F1115"/>
          <w:sz w:val="20"/>
          <w:szCs w:val="20"/>
        </w:rPr>
        <w:t>Research by Pérez-Collazo et al. has highlighted the importance of hydrodynamic coupling in hybrid wind–wave systems, showing that WEC integration can enhance energy capture while introducing additional interaction effects that must be considered in platform design [4,58].</w:t>
      </w:r>
    </w:p>
    <w:p w14:paraId="7FD55B79" w14:textId="77777777" w:rsidR="004C02C3" w:rsidRDefault="004C02C3" w:rsidP="000C4E0D">
      <w:pPr>
        <w:pStyle w:val="ds-markdown-paragraph"/>
        <w:shd w:val="clear" w:color="auto" w:fill="FFFFFF"/>
        <w:tabs>
          <w:tab w:val="left" w:pos="2552"/>
        </w:tabs>
        <w:spacing w:before="240" w:beforeAutospacing="0" w:after="240" w:afterAutospacing="0"/>
        <w:ind w:left="2552"/>
        <w:jc w:val="both"/>
        <w:rPr>
          <w:rFonts w:ascii="Palatino Linotype" w:hAnsi="Palatino Linotype"/>
          <w:color w:val="0F1115"/>
          <w:sz w:val="20"/>
          <w:szCs w:val="20"/>
        </w:rPr>
      </w:pPr>
    </w:p>
    <w:p w14:paraId="739077B1" w14:textId="77777777" w:rsidR="004C02C3" w:rsidRDefault="004C02C3" w:rsidP="000C4E0D">
      <w:pPr>
        <w:pStyle w:val="ds-markdown-paragraph"/>
        <w:shd w:val="clear" w:color="auto" w:fill="FFFFFF"/>
        <w:tabs>
          <w:tab w:val="left" w:pos="2552"/>
        </w:tabs>
        <w:spacing w:before="240" w:beforeAutospacing="0" w:after="240" w:afterAutospacing="0"/>
        <w:ind w:left="2552"/>
        <w:jc w:val="both"/>
        <w:rPr>
          <w:rFonts w:ascii="Palatino Linotype" w:hAnsi="Palatino Linotype"/>
          <w:color w:val="0F1115"/>
          <w:sz w:val="20"/>
          <w:szCs w:val="20"/>
        </w:rPr>
      </w:pPr>
    </w:p>
    <w:p w14:paraId="221E6A2A" w14:textId="77777777" w:rsidR="004C02C3" w:rsidRDefault="004C02C3" w:rsidP="000C4E0D">
      <w:pPr>
        <w:pStyle w:val="ds-markdown-paragraph"/>
        <w:shd w:val="clear" w:color="auto" w:fill="FFFFFF"/>
        <w:tabs>
          <w:tab w:val="left" w:pos="2552"/>
        </w:tabs>
        <w:spacing w:before="240" w:beforeAutospacing="0" w:after="240" w:afterAutospacing="0"/>
        <w:ind w:left="2552"/>
        <w:jc w:val="both"/>
        <w:rPr>
          <w:rFonts w:ascii="Palatino Linotype" w:hAnsi="Palatino Linotype"/>
          <w:color w:val="0F1115"/>
          <w:sz w:val="20"/>
          <w:szCs w:val="20"/>
        </w:rPr>
      </w:pPr>
    </w:p>
    <w:p w14:paraId="4E4685C2" w14:textId="77777777" w:rsidR="004C02C3" w:rsidRDefault="004C02C3" w:rsidP="000C4E0D">
      <w:pPr>
        <w:pStyle w:val="ds-markdown-paragraph"/>
        <w:shd w:val="clear" w:color="auto" w:fill="FFFFFF"/>
        <w:tabs>
          <w:tab w:val="left" w:pos="2552"/>
        </w:tabs>
        <w:spacing w:before="240" w:beforeAutospacing="0" w:after="240" w:afterAutospacing="0"/>
        <w:ind w:left="2552"/>
        <w:jc w:val="both"/>
        <w:rPr>
          <w:rFonts w:ascii="Palatino Linotype" w:hAnsi="Palatino Linotype"/>
          <w:color w:val="0F1115"/>
          <w:sz w:val="20"/>
          <w:szCs w:val="20"/>
        </w:rPr>
      </w:pPr>
    </w:p>
    <w:p w14:paraId="316CCCB3" w14:textId="77777777" w:rsidR="004C02C3" w:rsidRDefault="004C02C3" w:rsidP="000C4E0D">
      <w:pPr>
        <w:pStyle w:val="ds-markdown-paragraph"/>
        <w:shd w:val="clear" w:color="auto" w:fill="FFFFFF"/>
        <w:tabs>
          <w:tab w:val="left" w:pos="2552"/>
        </w:tabs>
        <w:spacing w:before="240" w:beforeAutospacing="0" w:after="240" w:afterAutospacing="0"/>
        <w:ind w:left="2552"/>
        <w:jc w:val="both"/>
        <w:rPr>
          <w:rFonts w:ascii="Palatino Linotype" w:hAnsi="Palatino Linotype"/>
          <w:color w:val="0F1115"/>
          <w:sz w:val="20"/>
          <w:szCs w:val="20"/>
        </w:rPr>
      </w:pPr>
    </w:p>
    <w:p w14:paraId="431A4A55" w14:textId="77777777" w:rsidR="004C02C3" w:rsidRPr="000C4E0D" w:rsidRDefault="004C02C3" w:rsidP="000C4E0D">
      <w:pPr>
        <w:pStyle w:val="ds-markdown-paragraph"/>
        <w:shd w:val="clear" w:color="auto" w:fill="FFFFFF"/>
        <w:tabs>
          <w:tab w:val="left" w:pos="2552"/>
        </w:tabs>
        <w:spacing w:before="240" w:beforeAutospacing="0" w:after="240" w:afterAutospacing="0"/>
        <w:ind w:left="2552"/>
        <w:jc w:val="both"/>
        <w:rPr>
          <w:rFonts w:ascii="Palatino Linotype" w:hAnsi="Palatino Linotype"/>
          <w:color w:val="0F1115"/>
          <w:sz w:val="20"/>
          <w:szCs w:val="20"/>
        </w:rPr>
      </w:pPr>
    </w:p>
    <w:p w14:paraId="2A4DF822" w14:textId="102FE196" w:rsidR="002D2337" w:rsidRPr="00C77D74" w:rsidRDefault="00C77D74" w:rsidP="000C4E0D">
      <w:pPr>
        <w:pStyle w:val="ds-markdown-paragraph"/>
        <w:shd w:val="clear" w:color="auto" w:fill="FFFFFF"/>
        <w:tabs>
          <w:tab w:val="left" w:pos="2552"/>
        </w:tabs>
        <w:spacing w:before="240" w:beforeAutospacing="0" w:after="240" w:afterAutospacing="0"/>
        <w:ind w:left="2552"/>
        <w:jc w:val="both"/>
        <w:rPr>
          <w:rFonts w:ascii="Palatino Linotype" w:eastAsiaTheme="minorEastAsia" w:hAnsi="Palatino Linotype"/>
          <w:color w:val="0F1115"/>
          <w:sz w:val="15"/>
          <w:szCs w:val="15"/>
          <w:shd w:val="clear" w:color="auto" w:fill="FFFFFF"/>
          <w:lang w:val="en-US" w:eastAsia="zh-CN"/>
        </w:rPr>
      </w:pPr>
      <w:r w:rsidRPr="00C77D74">
        <w:rPr>
          <w:rFonts w:ascii="Palatino Linotype" w:eastAsiaTheme="minorEastAsia" w:hAnsi="Palatino Linotype"/>
          <w:b/>
          <w:bCs/>
          <w:color w:val="0F1115"/>
          <w:sz w:val="20"/>
          <w:szCs w:val="20"/>
          <w:shd w:val="clear" w:color="auto" w:fill="FFFFFF"/>
          <w:lang w:val="en-US" w:eastAsia="zh-CN"/>
        </w:rPr>
        <w:lastRenderedPageBreak/>
        <w:t>Table 4.</w:t>
      </w:r>
      <w:r w:rsidRPr="00C77D74">
        <w:rPr>
          <w:rFonts w:ascii="Palatino Linotype" w:eastAsiaTheme="minorEastAsia" w:hAnsi="Palatino Linotype"/>
          <w:color w:val="0F1115"/>
          <w:sz w:val="20"/>
          <w:szCs w:val="20"/>
          <w:shd w:val="clear" w:color="auto" w:fill="FFFFFF"/>
          <w:lang w:val="en-US" w:eastAsia="zh-CN"/>
        </w:rPr>
        <w:t xml:space="preserve"> Illustrative energy performance trends for hybrid wave–wind concepts under representative North Sea conditions</w:t>
      </w:r>
    </w:p>
    <w:tbl>
      <w:tblPr>
        <w:tblStyle w:val="GridTable5Dark-Accent1"/>
        <w:tblpPr w:leftFromText="180" w:rightFromText="180" w:vertAnchor="text" w:horzAnchor="margin" w:tblpXSpec="right" w:tblpY="250"/>
        <w:tblW w:w="7178" w:type="dxa"/>
        <w:tblLook w:val="04A0" w:firstRow="1" w:lastRow="0" w:firstColumn="1" w:lastColumn="0" w:noHBand="0" w:noVBand="1"/>
      </w:tblPr>
      <w:tblGrid>
        <w:gridCol w:w="1205"/>
        <w:gridCol w:w="794"/>
        <w:gridCol w:w="1255"/>
        <w:gridCol w:w="1442"/>
        <w:gridCol w:w="1103"/>
        <w:gridCol w:w="1379"/>
      </w:tblGrid>
      <w:tr w:rsidR="002D2337" w:rsidRPr="000C4E0D" w14:paraId="2E22F780" w14:textId="77777777" w:rsidTr="002D2337">
        <w:trPr>
          <w:cnfStyle w:val="100000000000" w:firstRow="1" w:lastRow="0" w:firstColumn="0" w:lastColumn="0" w:oddVBand="0" w:evenVBand="0" w:oddHBand="0" w:evenHBand="0" w:firstRowFirstColumn="0" w:firstRowLastColumn="0" w:lastRowFirstColumn="0" w:lastRowLastColumn="0"/>
          <w:trHeight w:val="958"/>
        </w:trPr>
        <w:tc>
          <w:tcPr>
            <w:cnfStyle w:val="001000000000" w:firstRow="0" w:lastRow="0" w:firstColumn="1" w:lastColumn="0" w:oddVBand="0" w:evenVBand="0" w:oddHBand="0" w:evenHBand="0" w:firstRowFirstColumn="0" w:firstRowLastColumn="0" w:lastRowFirstColumn="0" w:lastRowLastColumn="0"/>
            <w:tcW w:w="1150" w:type="dxa"/>
            <w:hideMark/>
          </w:tcPr>
          <w:p w14:paraId="04F8BB30" w14:textId="77777777" w:rsidR="002D2337" w:rsidRPr="000C4E0D" w:rsidRDefault="002D2337" w:rsidP="000C4E0D">
            <w:pPr>
              <w:tabs>
                <w:tab w:val="left" w:pos="2552"/>
              </w:tabs>
              <w:spacing w:line="375" w:lineRule="atLeast"/>
              <w:rPr>
                <w:rFonts w:cs="Times New Roman"/>
                <w:b w:val="0"/>
                <w:bCs w:val="0"/>
              </w:rPr>
            </w:pPr>
            <w:r w:rsidRPr="000C4E0D">
              <w:rPr>
                <w:rFonts w:cs="Times New Roman"/>
                <w:b w:val="0"/>
                <w:bCs w:val="0"/>
              </w:rPr>
              <w:t>Concept</w:t>
            </w:r>
          </w:p>
        </w:tc>
        <w:tc>
          <w:tcPr>
            <w:tcW w:w="794" w:type="dxa"/>
            <w:hideMark/>
          </w:tcPr>
          <w:p w14:paraId="5531E18D" w14:textId="77777777" w:rsidR="002D2337" w:rsidRPr="000C4E0D" w:rsidRDefault="002D2337" w:rsidP="000C4E0D">
            <w:pPr>
              <w:tabs>
                <w:tab w:val="left" w:pos="2552"/>
              </w:tabs>
              <w:spacing w:line="375" w:lineRule="atLeast"/>
              <w:cnfStyle w:val="100000000000" w:firstRow="1" w:lastRow="0" w:firstColumn="0" w:lastColumn="0" w:oddVBand="0" w:evenVBand="0" w:oddHBand="0" w:evenHBand="0" w:firstRowFirstColumn="0" w:firstRowLastColumn="0" w:lastRowFirstColumn="0" w:lastRowLastColumn="0"/>
              <w:rPr>
                <w:rFonts w:cs="Times New Roman"/>
                <w:b w:val="0"/>
                <w:bCs w:val="0"/>
              </w:rPr>
            </w:pPr>
            <w:r w:rsidRPr="000C4E0D">
              <w:rPr>
                <w:rFonts w:cs="Times New Roman"/>
                <w:b w:val="0"/>
                <w:bCs w:val="0"/>
              </w:rPr>
              <w:t>Wind Contribution</w:t>
            </w:r>
          </w:p>
        </w:tc>
        <w:tc>
          <w:tcPr>
            <w:tcW w:w="1255" w:type="dxa"/>
            <w:hideMark/>
          </w:tcPr>
          <w:p w14:paraId="75A6B224" w14:textId="77777777" w:rsidR="002D2337" w:rsidRPr="000C4E0D" w:rsidRDefault="002D2337" w:rsidP="000C4E0D">
            <w:pPr>
              <w:tabs>
                <w:tab w:val="left" w:pos="2552"/>
              </w:tabs>
              <w:spacing w:line="375" w:lineRule="atLeast"/>
              <w:cnfStyle w:val="100000000000" w:firstRow="1" w:lastRow="0" w:firstColumn="0" w:lastColumn="0" w:oddVBand="0" w:evenVBand="0" w:oddHBand="0" w:evenHBand="0" w:firstRowFirstColumn="0" w:firstRowLastColumn="0" w:lastRowFirstColumn="0" w:lastRowLastColumn="0"/>
              <w:rPr>
                <w:rFonts w:cs="Times New Roman"/>
                <w:b w:val="0"/>
                <w:bCs w:val="0"/>
              </w:rPr>
            </w:pPr>
            <w:r w:rsidRPr="000C4E0D">
              <w:rPr>
                <w:rFonts w:cs="Times New Roman"/>
                <w:b w:val="0"/>
                <w:bCs w:val="0"/>
              </w:rPr>
              <w:t>Wave Contribution</w:t>
            </w:r>
          </w:p>
        </w:tc>
        <w:tc>
          <w:tcPr>
            <w:tcW w:w="1442" w:type="dxa"/>
            <w:hideMark/>
          </w:tcPr>
          <w:p w14:paraId="170CF9B4" w14:textId="77777777" w:rsidR="002D2337" w:rsidRPr="000C4E0D" w:rsidRDefault="002D2337" w:rsidP="000C4E0D">
            <w:pPr>
              <w:tabs>
                <w:tab w:val="left" w:pos="2552"/>
              </w:tabs>
              <w:spacing w:line="375" w:lineRule="atLeast"/>
              <w:cnfStyle w:val="100000000000" w:firstRow="1" w:lastRow="0" w:firstColumn="0" w:lastColumn="0" w:oddVBand="0" w:evenVBand="0" w:oddHBand="0" w:evenHBand="0" w:firstRowFirstColumn="0" w:firstRowLastColumn="0" w:lastRowFirstColumn="0" w:lastRowLastColumn="0"/>
              <w:rPr>
                <w:rFonts w:cs="Times New Roman"/>
                <w:b w:val="0"/>
                <w:bCs w:val="0"/>
              </w:rPr>
            </w:pPr>
            <w:r w:rsidRPr="000C4E0D">
              <w:rPr>
                <w:rFonts w:cs="Times New Roman"/>
                <w:b w:val="0"/>
                <w:bCs w:val="0"/>
              </w:rPr>
              <w:t>Total Energy Capture (GWh/year)</w:t>
            </w:r>
          </w:p>
        </w:tc>
        <w:tc>
          <w:tcPr>
            <w:tcW w:w="0" w:type="auto"/>
            <w:hideMark/>
          </w:tcPr>
          <w:p w14:paraId="67D43426" w14:textId="77777777" w:rsidR="002D2337" w:rsidRPr="000C4E0D" w:rsidRDefault="002D2337" w:rsidP="000C4E0D">
            <w:pPr>
              <w:tabs>
                <w:tab w:val="left" w:pos="2552"/>
              </w:tabs>
              <w:spacing w:line="375" w:lineRule="atLeast"/>
              <w:cnfStyle w:val="100000000000" w:firstRow="1" w:lastRow="0" w:firstColumn="0" w:lastColumn="0" w:oddVBand="0" w:evenVBand="0" w:oddHBand="0" w:evenHBand="0" w:firstRowFirstColumn="0" w:firstRowLastColumn="0" w:lastRowFirstColumn="0" w:lastRowLastColumn="0"/>
              <w:rPr>
                <w:rFonts w:cs="Times New Roman"/>
                <w:b w:val="0"/>
                <w:bCs w:val="0"/>
              </w:rPr>
            </w:pPr>
            <w:r w:rsidRPr="000C4E0D">
              <w:rPr>
                <w:rFonts w:cs="Times New Roman"/>
                <w:b w:val="0"/>
                <w:bCs w:val="0"/>
              </w:rPr>
              <w:t>Capacity Factor Improvement</w:t>
            </w:r>
          </w:p>
        </w:tc>
        <w:tc>
          <w:tcPr>
            <w:tcW w:w="1379" w:type="dxa"/>
            <w:hideMark/>
          </w:tcPr>
          <w:p w14:paraId="52E173C4" w14:textId="77777777" w:rsidR="002D2337" w:rsidRPr="000C4E0D" w:rsidRDefault="002D2337" w:rsidP="000C4E0D">
            <w:pPr>
              <w:tabs>
                <w:tab w:val="left" w:pos="2552"/>
              </w:tabs>
              <w:spacing w:line="375" w:lineRule="atLeast"/>
              <w:cnfStyle w:val="100000000000" w:firstRow="1" w:lastRow="0" w:firstColumn="0" w:lastColumn="0" w:oddVBand="0" w:evenVBand="0" w:oddHBand="0" w:evenHBand="0" w:firstRowFirstColumn="0" w:firstRowLastColumn="0" w:lastRowFirstColumn="0" w:lastRowLastColumn="0"/>
              <w:rPr>
                <w:rFonts w:cs="Times New Roman"/>
                <w:b w:val="0"/>
                <w:bCs w:val="0"/>
              </w:rPr>
            </w:pPr>
            <w:r w:rsidRPr="000C4E0D">
              <w:rPr>
                <w:rFonts w:cs="Times New Roman"/>
                <w:b w:val="0"/>
                <w:bCs w:val="0"/>
              </w:rPr>
              <w:t>Source</w:t>
            </w:r>
          </w:p>
        </w:tc>
      </w:tr>
      <w:tr w:rsidR="002D2337" w:rsidRPr="000C4E0D" w14:paraId="4B579213" w14:textId="77777777" w:rsidTr="002D2337">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150" w:type="dxa"/>
            <w:hideMark/>
          </w:tcPr>
          <w:p w14:paraId="0E7DC66A" w14:textId="77777777" w:rsidR="002D2337" w:rsidRPr="000C4E0D" w:rsidRDefault="002D2337" w:rsidP="000C4E0D">
            <w:pPr>
              <w:tabs>
                <w:tab w:val="left" w:pos="2552"/>
              </w:tabs>
              <w:spacing w:line="375" w:lineRule="atLeast"/>
              <w:rPr>
                <w:rFonts w:cs="Times New Roman"/>
                <w:b w:val="0"/>
                <w:bCs w:val="0"/>
              </w:rPr>
            </w:pPr>
            <w:r w:rsidRPr="000C4E0D">
              <w:rPr>
                <w:rFonts w:cs="Times New Roman"/>
                <w:b w:val="0"/>
                <w:bCs w:val="0"/>
              </w:rPr>
              <w:t>Standalone FOWT</w:t>
            </w:r>
          </w:p>
        </w:tc>
        <w:tc>
          <w:tcPr>
            <w:tcW w:w="794" w:type="dxa"/>
            <w:hideMark/>
          </w:tcPr>
          <w:p w14:paraId="0A318CFB" w14:textId="77777777" w:rsidR="002D2337" w:rsidRPr="000C4E0D" w:rsidRDefault="002D2337" w:rsidP="000C4E0D">
            <w:pPr>
              <w:tabs>
                <w:tab w:val="left" w:pos="2552"/>
              </w:tabs>
              <w:spacing w:line="375" w:lineRule="atLeast"/>
              <w:cnfStyle w:val="000000100000" w:firstRow="0" w:lastRow="0" w:firstColumn="0" w:lastColumn="0" w:oddVBand="0" w:evenVBand="0" w:oddHBand="1" w:evenHBand="0" w:firstRowFirstColumn="0" w:firstRowLastColumn="0" w:lastRowFirstColumn="0" w:lastRowLastColumn="0"/>
              <w:rPr>
                <w:rFonts w:cs="Times New Roman"/>
              </w:rPr>
            </w:pPr>
            <w:r w:rsidRPr="000C4E0D">
              <w:rPr>
                <w:rFonts w:cs="Times New Roman"/>
              </w:rPr>
              <w:t>100%</w:t>
            </w:r>
          </w:p>
        </w:tc>
        <w:tc>
          <w:tcPr>
            <w:tcW w:w="1255" w:type="dxa"/>
            <w:hideMark/>
          </w:tcPr>
          <w:p w14:paraId="29FA1CB4" w14:textId="77777777" w:rsidR="002D2337" w:rsidRPr="000C4E0D" w:rsidRDefault="002D2337" w:rsidP="000C4E0D">
            <w:pPr>
              <w:tabs>
                <w:tab w:val="left" w:pos="2552"/>
              </w:tabs>
              <w:spacing w:line="375" w:lineRule="atLeast"/>
              <w:cnfStyle w:val="000000100000" w:firstRow="0" w:lastRow="0" w:firstColumn="0" w:lastColumn="0" w:oddVBand="0" w:evenVBand="0" w:oddHBand="1" w:evenHBand="0" w:firstRowFirstColumn="0" w:firstRowLastColumn="0" w:lastRowFirstColumn="0" w:lastRowLastColumn="0"/>
              <w:rPr>
                <w:rFonts w:cs="Times New Roman"/>
              </w:rPr>
            </w:pPr>
            <w:r w:rsidRPr="000C4E0D">
              <w:rPr>
                <w:rFonts w:cs="Times New Roman"/>
              </w:rPr>
              <w:t>0%</w:t>
            </w:r>
          </w:p>
        </w:tc>
        <w:tc>
          <w:tcPr>
            <w:tcW w:w="1442" w:type="dxa"/>
            <w:hideMark/>
          </w:tcPr>
          <w:p w14:paraId="7B2BDC9C" w14:textId="77777777" w:rsidR="002D2337" w:rsidRPr="000C4E0D" w:rsidRDefault="002D2337" w:rsidP="000C4E0D">
            <w:pPr>
              <w:tabs>
                <w:tab w:val="left" w:pos="2552"/>
              </w:tabs>
              <w:spacing w:line="375" w:lineRule="atLeast"/>
              <w:cnfStyle w:val="000000100000" w:firstRow="0" w:lastRow="0" w:firstColumn="0" w:lastColumn="0" w:oddVBand="0" w:evenVBand="0" w:oddHBand="1" w:evenHBand="0" w:firstRowFirstColumn="0" w:firstRowLastColumn="0" w:lastRowFirstColumn="0" w:lastRowLastColumn="0"/>
              <w:rPr>
                <w:rFonts w:cs="Times New Roman"/>
              </w:rPr>
            </w:pPr>
            <w:r w:rsidRPr="000C4E0D">
              <w:rPr>
                <w:rFonts w:cs="Times New Roman"/>
              </w:rPr>
              <w:t>45</w:t>
            </w:r>
          </w:p>
        </w:tc>
        <w:tc>
          <w:tcPr>
            <w:tcW w:w="0" w:type="auto"/>
            <w:hideMark/>
          </w:tcPr>
          <w:p w14:paraId="5CBB47DA" w14:textId="77777777" w:rsidR="002D2337" w:rsidRPr="000C4E0D" w:rsidRDefault="002D2337" w:rsidP="000C4E0D">
            <w:pPr>
              <w:tabs>
                <w:tab w:val="left" w:pos="2552"/>
              </w:tabs>
              <w:spacing w:line="375" w:lineRule="atLeast"/>
              <w:cnfStyle w:val="000000100000" w:firstRow="0" w:lastRow="0" w:firstColumn="0" w:lastColumn="0" w:oddVBand="0" w:evenVBand="0" w:oddHBand="1" w:evenHBand="0" w:firstRowFirstColumn="0" w:firstRowLastColumn="0" w:lastRowFirstColumn="0" w:lastRowLastColumn="0"/>
              <w:rPr>
                <w:rFonts w:cs="Times New Roman"/>
              </w:rPr>
            </w:pPr>
            <w:r w:rsidRPr="000C4E0D">
              <w:rPr>
                <w:rFonts w:cs="Times New Roman"/>
              </w:rPr>
              <w:t>Baseline</w:t>
            </w:r>
          </w:p>
        </w:tc>
        <w:tc>
          <w:tcPr>
            <w:tcW w:w="1379" w:type="dxa"/>
            <w:hideMark/>
          </w:tcPr>
          <w:p w14:paraId="17C067B7" w14:textId="77777777" w:rsidR="002D2337" w:rsidRPr="000C4E0D" w:rsidRDefault="002D2337" w:rsidP="000C4E0D">
            <w:pPr>
              <w:tabs>
                <w:tab w:val="left" w:pos="2552"/>
              </w:tabs>
              <w:spacing w:line="375" w:lineRule="atLeast"/>
              <w:cnfStyle w:val="000000100000" w:firstRow="0" w:lastRow="0" w:firstColumn="0" w:lastColumn="0" w:oddVBand="0" w:evenVBand="0" w:oddHBand="1" w:evenHBand="0" w:firstRowFirstColumn="0" w:firstRowLastColumn="0" w:lastRowFirstColumn="0" w:lastRowLastColumn="0"/>
              <w:rPr>
                <w:rFonts w:cs="Times New Roman"/>
              </w:rPr>
            </w:pPr>
            <w:proofErr w:type="spellStart"/>
            <w:r w:rsidRPr="000C4E0D">
              <w:rPr>
                <w:rFonts w:cs="Times New Roman"/>
              </w:rPr>
              <w:t>Astariz</w:t>
            </w:r>
            <w:proofErr w:type="spellEnd"/>
            <w:r w:rsidRPr="000C4E0D">
              <w:rPr>
                <w:rFonts w:cs="Times New Roman"/>
              </w:rPr>
              <w:t xml:space="preserve"> et al. [13]</w:t>
            </w:r>
          </w:p>
        </w:tc>
      </w:tr>
      <w:tr w:rsidR="002D2337" w:rsidRPr="000C4E0D" w14:paraId="74AD0D82" w14:textId="77777777" w:rsidTr="002D2337">
        <w:trPr>
          <w:trHeight w:val="174"/>
        </w:trPr>
        <w:tc>
          <w:tcPr>
            <w:cnfStyle w:val="001000000000" w:firstRow="0" w:lastRow="0" w:firstColumn="1" w:lastColumn="0" w:oddVBand="0" w:evenVBand="0" w:oddHBand="0" w:evenHBand="0" w:firstRowFirstColumn="0" w:firstRowLastColumn="0" w:lastRowFirstColumn="0" w:lastRowLastColumn="0"/>
            <w:tcW w:w="1150" w:type="dxa"/>
            <w:hideMark/>
          </w:tcPr>
          <w:p w14:paraId="798BBE63" w14:textId="77777777" w:rsidR="002D2337" w:rsidRPr="000C4E0D" w:rsidRDefault="002D2337" w:rsidP="000C4E0D">
            <w:pPr>
              <w:tabs>
                <w:tab w:val="left" w:pos="2552"/>
              </w:tabs>
              <w:spacing w:line="375" w:lineRule="atLeast"/>
              <w:rPr>
                <w:rFonts w:cs="Times New Roman"/>
                <w:b w:val="0"/>
                <w:bCs w:val="0"/>
              </w:rPr>
            </w:pPr>
            <w:r w:rsidRPr="000C4E0D">
              <w:rPr>
                <w:rFonts w:cs="Times New Roman"/>
                <w:b w:val="0"/>
                <w:bCs w:val="0"/>
              </w:rPr>
              <w:t>Point absorber</w:t>
            </w:r>
          </w:p>
        </w:tc>
        <w:tc>
          <w:tcPr>
            <w:tcW w:w="794" w:type="dxa"/>
            <w:hideMark/>
          </w:tcPr>
          <w:p w14:paraId="0113D3DB" w14:textId="77777777" w:rsidR="002D2337" w:rsidRPr="000C4E0D" w:rsidRDefault="002D2337" w:rsidP="000C4E0D">
            <w:pPr>
              <w:tabs>
                <w:tab w:val="left" w:pos="2552"/>
              </w:tabs>
              <w:spacing w:line="375" w:lineRule="atLeast"/>
              <w:cnfStyle w:val="000000000000" w:firstRow="0" w:lastRow="0" w:firstColumn="0" w:lastColumn="0" w:oddVBand="0" w:evenVBand="0" w:oddHBand="0" w:evenHBand="0" w:firstRowFirstColumn="0" w:firstRowLastColumn="0" w:lastRowFirstColumn="0" w:lastRowLastColumn="0"/>
              <w:rPr>
                <w:rFonts w:cs="Times New Roman"/>
              </w:rPr>
            </w:pPr>
            <w:r w:rsidRPr="000C4E0D">
              <w:rPr>
                <w:rFonts w:cs="Times New Roman"/>
              </w:rPr>
              <w:t>90%</w:t>
            </w:r>
          </w:p>
        </w:tc>
        <w:tc>
          <w:tcPr>
            <w:tcW w:w="1255" w:type="dxa"/>
            <w:hideMark/>
          </w:tcPr>
          <w:p w14:paraId="70B31DA5" w14:textId="77777777" w:rsidR="002D2337" w:rsidRPr="000C4E0D" w:rsidRDefault="002D2337" w:rsidP="000C4E0D">
            <w:pPr>
              <w:tabs>
                <w:tab w:val="left" w:pos="2552"/>
              </w:tabs>
              <w:spacing w:line="375" w:lineRule="atLeast"/>
              <w:cnfStyle w:val="000000000000" w:firstRow="0" w:lastRow="0" w:firstColumn="0" w:lastColumn="0" w:oddVBand="0" w:evenVBand="0" w:oddHBand="0" w:evenHBand="0" w:firstRowFirstColumn="0" w:firstRowLastColumn="0" w:lastRowFirstColumn="0" w:lastRowLastColumn="0"/>
              <w:rPr>
                <w:rFonts w:cs="Times New Roman"/>
              </w:rPr>
            </w:pPr>
            <w:r w:rsidRPr="000C4E0D">
              <w:rPr>
                <w:rFonts w:cs="Times New Roman"/>
              </w:rPr>
              <w:t>10%</w:t>
            </w:r>
          </w:p>
        </w:tc>
        <w:tc>
          <w:tcPr>
            <w:tcW w:w="1442" w:type="dxa"/>
            <w:hideMark/>
          </w:tcPr>
          <w:p w14:paraId="22853FC6" w14:textId="77777777" w:rsidR="002D2337" w:rsidRPr="000C4E0D" w:rsidRDefault="002D2337" w:rsidP="000C4E0D">
            <w:pPr>
              <w:tabs>
                <w:tab w:val="left" w:pos="2552"/>
              </w:tabs>
              <w:spacing w:line="375" w:lineRule="atLeast"/>
              <w:cnfStyle w:val="000000000000" w:firstRow="0" w:lastRow="0" w:firstColumn="0" w:lastColumn="0" w:oddVBand="0" w:evenVBand="0" w:oddHBand="0" w:evenHBand="0" w:firstRowFirstColumn="0" w:firstRowLastColumn="0" w:lastRowFirstColumn="0" w:lastRowLastColumn="0"/>
              <w:rPr>
                <w:rFonts w:cs="Times New Roman"/>
              </w:rPr>
            </w:pPr>
            <w:r w:rsidRPr="000C4E0D">
              <w:rPr>
                <w:rFonts w:cs="Times New Roman"/>
              </w:rPr>
              <w:t>50</w:t>
            </w:r>
          </w:p>
        </w:tc>
        <w:tc>
          <w:tcPr>
            <w:tcW w:w="0" w:type="auto"/>
            <w:hideMark/>
          </w:tcPr>
          <w:p w14:paraId="6CEC6578" w14:textId="77777777" w:rsidR="002D2337" w:rsidRPr="000C4E0D" w:rsidRDefault="002D2337" w:rsidP="000C4E0D">
            <w:pPr>
              <w:tabs>
                <w:tab w:val="left" w:pos="2552"/>
              </w:tabs>
              <w:spacing w:line="375" w:lineRule="atLeast"/>
              <w:cnfStyle w:val="000000000000" w:firstRow="0" w:lastRow="0" w:firstColumn="0" w:lastColumn="0" w:oddVBand="0" w:evenVBand="0" w:oddHBand="0" w:evenHBand="0" w:firstRowFirstColumn="0" w:firstRowLastColumn="0" w:lastRowFirstColumn="0" w:lastRowLastColumn="0"/>
              <w:rPr>
                <w:rFonts w:cs="Times New Roman"/>
              </w:rPr>
            </w:pPr>
            <w:r w:rsidRPr="000C4E0D">
              <w:rPr>
                <w:rFonts w:cs="Times New Roman"/>
              </w:rPr>
              <w:t>+11%</w:t>
            </w:r>
          </w:p>
        </w:tc>
        <w:tc>
          <w:tcPr>
            <w:tcW w:w="1379" w:type="dxa"/>
            <w:hideMark/>
          </w:tcPr>
          <w:p w14:paraId="43FDA4EE" w14:textId="1735C26A" w:rsidR="002D2337" w:rsidRPr="00AD6CB0" w:rsidRDefault="00D3347E" w:rsidP="000C4E0D">
            <w:pPr>
              <w:tabs>
                <w:tab w:val="left" w:pos="2552"/>
              </w:tabs>
              <w:spacing w:line="375" w:lineRule="atLeast"/>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AD6CB0">
              <w:rPr>
                <w:rFonts w:cs="Times New Roman"/>
                <w:color w:val="000000" w:themeColor="text1"/>
              </w:rPr>
              <w:t xml:space="preserve">Wei </w:t>
            </w:r>
            <w:r w:rsidR="002D2337" w:rsidRPr="00AD6CB0">
              <w:rPr>
                <w:rFonts w:cs="Times New Roman"/>
                <w:color w:val="000000" w:themeColor="text1"/>
              </w:rPr>
              <w:t>et al. [</w:t>
            </w:r>
            <w:r w:rsidR="001B6728" w:rsidRPr="00AD6CB0">
              <w:rPr>
                <w:rFonts w:cs="Times New Roman"/>
                <w:color w:val="000000" w:themeColor="text1"/>
              </w:rPr>
              <w:t>99</w:t>
            </w:r>
            <w:r w:rsidR="002D2337" w:rsidRPr="00AD6CB0">
              <w:rPr>
                <w:rFonts w:cs="Times New Roman"/>
                <w:color w:val="000000" w:themeColor="text1"/>
              </w:rPr>
              <w:t>]</w:t>
            </w:r>
          </w:p>
        </w:tc>
      </w:tr>
      <w:tr w:rsidR="002D2337" w:rsidRPr="000C4E0D" w14:paraId="2A1E2F9C" w14:textId="77777777" w:rsidTr="002D2337">
        <w:trPr>
          <w:cnfStyle w:val="000000100000" w:firstRow="0" w:lastRow="0" w:firstColumn="0" w:lastColumn="0" w:oddVBand="0" w:evenVBand="0" w:oddHBand="1"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1150" w:type="dxa"/>
            <w:hideMark/>
          </w:tcPr>
          <w:p w14:paraId="2DEC2645" w14:textId="77777777" w:rsidR="002D2337" w:rsidRPr="000C4E0D" w:rsidRDefault="002D2337" w:rsidP="000C4E0D">
            <w:pPr>
              <w:tabs>
                <w:tab w:val="left" w:pos="2552"/>
              </w:tabs>
              <w:spacing w:line="375" w:lineRule="atLeast"/>
              <w:rPr>
                <w:rFonts w:cs="Times New Roman"/>
                <w:b w:val="0"/>
                <w:bCs w:val="0"/>
              </w:rPr>
            </w:pPr>
            <w:r w:rsidRPr="000C4E0D">
              <w:rPr>
                <w:rFonts w:cs="Times New Roman"/>
                <w:b w:val="0"/>
                <w:bCs w:val="0"/>
              </w:rPr>
              <w:t>OWC</w:t>
            </w:r>
          </w:p>
        </w:tc>
        <w:tc>
          <w:tcPr>
            <w:tcW w:w="794" w:type="dxa"/>
            <w:hideMark/>
          </w:tcPr>
          <w:p w14:paraId="5784EA39" w14:textId="77777777" w:rsidR="002D2337" w:rsidRPr="000C4E0D" w:rsidRDefault="002D2337" w:rsidP="000C4E0D">
            <w:pPr>
              <w:tabs>
                <w:tab w:val="left" w:pos="2552"/>
              </w:tabs>
              <w:spacing w:line="375" w:lineRule="atLeast"/>
              <w:cnfStyle w:val="000000100000" w:firstRow="0" w:lastRow="0" w:firstColumn="0" w:lastColumn="0" w:oddVBand="0" w:evenVBand="0" w:oddHBand="1" w:evenHBand="0" w:firstRowFirstColumn="0" w:firstRowLastColumn="0" w:lastRowFirstColumn="0" w:lastRowLastColumn="0"/>
              <w:rPr>
                <w:rFonts w:cs="Times New Roman"/>
              </w:rPr>
            </w:pPr>
            <w:r w:rsidRPr="000C4E0D">
              <w:rPr>
                <w:rFonts w:cs="Times New Roman"/>
              </w:rPr>
              <w:t>85%</w:t>
            </w:r>
          </w:p>
        </w:tc>
        <w:tc>
          <w:tcPr>
            <w:tcW w:w="1255" w:type="dxa"/>
            <w:hideMark/>
          </w:tcPr>
          <w:p w14:paraId="211A7FA6" w14:textId="77777777" w:rsidR="002D2337" w:rsidRPr="000C4E0D" w:rsidRDefault="002D2337" w:rsidP="000C4E0D">
            <w:pPr>
              <w:tabs>
                <w:tab w:val="left" w:pos="2552"/>
              </w:tabs>
              <w:spacing w:line="375" w:lineRule="atLeast"/>
              <w:cnfStyle w:val="000000100000" w:firstRow="0" w:lastRow="0" w:firstColumn="0" w:lastColumn="0" w:oddVBand="0" w:evenVBand="0" w:oddHBand="1" w:evenHBand="0" w:firstRowFirstColumn="0" w:firstRowLastColumn="0" w:lastRowFirstColumn="0" w:lastRowLastColumn="0"/>
              <w:rPr>
                <w:rFonts w:cs="Times New Roman"/>
              </w:rPr>
            </w:pPr>
            <w:r w:rsidRPr="000C4E0D">
              <w:rPr>
                <w:rFonts w:cs="Times New Roman"/>
              </w:rPr>
              <w:t>15%</w:t>
            </w:r>
          </w:p>
        </w:tc>
        <w:tc>
          <w:tcPr>
            <w:tcW w:w="1442" w:type="dxa"/>
            <w:hideMark/>
          </w:tcPr>
          <w:p w14:paraId="109FCF36" w14:textId="77777777" w:rsidR="002D2337" w:rsidRPr="000C4E0D" w:rsidRDefault="002D2337" w:rsidP="000C4E0D">
            <w:pPr>
              <w:tabs>
                <w:tab w:val="left" w:pos="2552"/>
              </w:tabs>
              <w:spacing w:line="375" w:lineRule="atLeast"/>
              <w:cnfStyle w:val="000000100000" w:firstRow="0" w:lastRow="0" w:firstColumn="0" w:lastColumn="0" w:oddVBand="0" w:evenVBand="0" w:oddHBand="1" w:evenHBand="0" w:firstRowFirstColumn="0" w:firstRowLastColumn="0" w:lastRowFirstColumn="0" w:lastRowLastColumn="0"/>
              <w:rPr>
                <w:rFonts w:cs="Times New Roman"/>
              </w:rPr>
            </w:pPr>
            <w:r w:rsidRPr="000C4E0D">
              <w:rPr>
                <w:rFonts w:cs="Times New Roman"/>
              </w:rPr>
              <w:t>53</w:t>
            </w:r>
          </w:p>
        </w:tc>
        <w:tc>
          <w:tcPr>
            <w:tcW w:w="0" w:type="auto"/>
            <w:hideMark/>
          </w:tcPr>
          <w:p w14:paraId="5DDCFE2B" w14:textId="77777777" w:rsidR="002D2337" w:rsidRPr="000C4E0D" w:rsidRDefault="002D2337" w:rsidP="000C4E0D">
            <w:pPr>
              <w:tabs>
                <w:tab w:val="left" w:pos="2552"/>
              </w:tabs>
              <w:spacing w:line="375" w:lineRule="atLeast"/>
              <w:cnfStyle w:val="000000100000" w:firstRow="0" w:lastRow="0" w:firstColumn="0" w:lastColumn="0" w:oddVBand="0" w:evenVBand="0" w:oddHBand="1" w:evenHBand="0" w:firstRowFirstColumn="0" w:firstRowLastColumn="0" w:lastRowFirstColumn="0" w:lastRowLastColumn="0"/>
              <w:rPr>
                <w:rFonts w:cs="Times New Roman"/>
              </w:rPr>
            </w:pPr>
            <w:r w:rsidRPr="000C4E0D">
              <w:rPr>
                <w:rFonts w:cs="Times New Roman"/>
              </w:rPr>
              <w:t>+18%</w:t>
            </w:r>
          </w:p>
        </w:tc>
        <w:tc>
          <w:tcPr>
            <w:tcW w:w="1379" w:type="dxa"/>
            <w:hideMark/>
          </w:tcPr>
          <w:p w14:paraId="020F9044" w14:textId="76D1E5E7" w:rsidR="002D2337" w:rsidRPr="000C4E0D" w:rsidRDefault="002D2337" w:rsidP="000C4E0D">
            <w:pPr>
              <w:tabs>
                <w:tab w:val="left" w:pos="2552"/>
              </w:tabs>
              <w:spacing w:line="375" w:lineRule="atLeast"/>
              <w:cnfStyle w:val="000000100000" w:firstRow="0" w:lastRow="0" w:firstColumn="0" w:lastColumn="0" w:oddVBand="0" w:evenVBand="0" w:oddHBand="1" w:evenHBand="0" w:firstRowFirstColumn="0" w:firstRowLastColumn="0" w:lastRowFirstColumn="0" w:lastRowLastColumn="0"/>
              <w:rPr>
                <w:rFonts w:cs="Times New Roman"/>
              </w:rPr>
            </w:pPr>
            <w:r w:rsidRPr="000C4E0D">
              <w:rPr>
                <w:rFonts w:cs="Times New Roman"/>
              </w:rPr>
              <w:t>Falcão&amp; Henriques [</w:t>
            </w:r>
            <w:r w:rsidR="005350FB">
              <w:rPr>
                <w:rFonts w:cs="Times New Roman"/>
              </w:rPr>
              <w:t>45</w:t>
            </w:r>
            <w:r w:rsidRPr="000C4E0D">
              <w:rPr>
                <w:rFonts w:cs="Times New Roman"/>
              </w:rPr>
              <w:t>]</w:t>
            </w:r>
          </w:p>
        </w:tc>
      </w:tr>
      <w:tr w:rsidR="002D2337" w:rsidRPr="000C4E0D" w14:paraId="056AAF27" w14:textId="77777777" w:rsidTr="002D2337">
        <w:trPr>
          <w:trHeight w:val="172"/>
        </w:trPr>
        <w:tc>
          <w:tcPr>
            <w:cnfStyle w:val="001000000000" w:firstRow="0" w:lastRow="0" w:firstColumn="1" w:lastColumn="0" w:oddVBand="0" w:evenVBand="0" w:oddHBand="0" w:evenHBand="0" w:firstRowFirstColumn="0" w:firstRowLastColumn="0" w:lastRowFirstColumn="0" w:lastRowLastColumn="0"/>
            <w:tcW w:w="1150" w:type="dxa"/>
            <w:hideMark/>
          </w:tcPr>
          <w:p w14:paraId="63154246" w14:textId="77777777" w:rsidR="002D2337" w:rsidRPr="000C4E0D" w:rsidRDefault="002D2337" w:rsidP="000C4E0D">
            <w:pPr>
              <w:tabs>
                <w:tab w:val="left" w:pos="2552"/>
              </w:tabs>
              <w:spacing w:line="375" w:lineRule="atLeast"/>
              <w:rPr>
                <w:rFonts w:cs="Times New Roman"/>
                <w:b w:val="0"/>
                <w:bCs w:val="0"/>
              </w:rPr>
            </w:pPr>
            <w:r w:rsidRPr="000C4E0D">
              <w:rPr>
                <w:rFonts w:cs="Times New Roman"/>
                <w:b w:val="0"/>
                <w:bCs w:val="0"/>
              </w:rPr>
              <w:t>Flap-type</w:t>
            </w:r>
          </w:p>
        </w:tc>
        <w:tc>
          <w:tcPr>
            <w:tcW w:w="794" w:type="dxa"/>
            <w:hideMark/>
          </w:tcPr>
          <w:p w14:paraId="419C56AA" w14:textId="77777777" w:rsidR="002D2337" w:rsidRPr="000C4E0D" w:rsidRDefault="002D2337" w:rsidP="000C4E0D">
            <w:pPr>
              <w:tabs>
                <w:tab w:val="left" w:pos="2552"/>
              </w:tabs>
              <w:spacing w:line="375" w:lineRule="atLeast"/>
              <w:cnfStyle w:val="000000000000" w:firstRow="0" w:lastRow="0" w:firstColumn="0" w:lastColumn="0" w:oddVBand="0" w:evenVBand="0" w:oddHBand="0" w:evenHBand="0" w:firstRowFirstColumn="0" w:firstRowLastColumn="0" w:lastRowFirstColumn="0" w:lastRowLastColumn="0"/>
              <w:rPr>
                <w:rFonts w:cs="Times New Roman"/>
              </w:rPr>
            </w:pPr>
            <w:r w:rsidRPr="000C4E0D">
              <w:rPr>
                <w:rFonts w:cs="Times New Roman"/>
              </w:rPr>
              <w:t>80%</w:t>
            </w:r>
          </w:p>
        </w:tc>
        <w:tc>
          <w:tcPr>
            <w:tcW w:w="1255" w:type="dxa"/>
            <w:hideMark/>
          </w:tcPr>
          <w:p w14:paraId="25B58C6E" w14:textId="77777777" w:rsidR="002D2337" w:rsidRPr="000C4E0D" w:rsidRDefault="002D2337" w:rsidP="000C4E0D">
            <w:pPr>
              <w:tabs>
                <w:tab w:val="left" w:pos="2552"/>
              </w:tabs>
              <w:spacing w:line="375" w:lineRule="atLeast"/>
              <w:cnfStyle w:val="000000000000" w:firstRow="0" w:lastRow="0" w:firstColumn="0" w:lastColumn="0" w:oddVBand="0" w:evenVBand="0" w:oddHBand="0" w:evenHBand="0" w:firstRowFirstColumn="0" w:firstRowLastColumn="0" w:lastRowFirstColumn="0" w:lastRowLastColumn="0"/>
              <w:rPr>
                <w:rFonts w:cs="Times New Roman"/>
              </w:rPr>
            </w:pPr>
            <w:r w:rsidRPr="000C4E0D">
              <w:rPr>
                <w:rFonts w:cs="Times New Roman"/>
              </w:rPr>
              <w:t>20%</w:t>
            </w:r>
          </w:p>
        </w:tc>
        <w:tc>
          <w:tcPr>
            <w:tcW w:w="1442" w:type="dxa"/>
            <w:hideMark/>
          </w:tcPr>
          <w:p w14:paraId="40D9152D" w14:textId="77777777" w:rsidR="002D2337" w:rsidRPr="000C4E0D" w:rsidRDefault="002D2337" w:rsidP="000C4E0D">
            <w:pPr>
              <w:tabs>
                <w:tab w:val="left" w:pos="2552"/>
              </w:tabs>
              <w:spacing w:line="375" w:lineRule="atLeast"/>
              <w:cnfStyle w:val="000000000000" w:firstRow="0" w:lastRow="0" w:firstColumn="0" w:lastColumn="0" w:oddVBand="0" w:evenVBand="0" w:oddHBand="0" w:evenHBand="0" w:firstRowFirstColumn="0" w:firstRowLastColumn="0" w:lastRowFirstColumn="0" w:lastRowLastColumn="0"/>
              <w:rPr>
                <w:rFonts w:cs="Times New Roman"/>
              </w:rPr>
            </w:pPr>
            <w:r w:rsidRPr="000C4E0D">
              <w:rPr>
                <w:rFonts w:cs="Times New Roman"/>
              </w:rPr>
              <w:t>56</w:t>
            </w:r>
          </w:p>
        </w:tc>
        <w:tc>
          <w:tcPr>
            <w:tcW w:w="0" w:type="auto"/>
            <w:hideMark/>
          </w:tcPr>
          <w:p w14:paraId="630E488C" w14:textId="77777777" w:rsidR="002D2337" w:rsidRPr="000C4E0D" w:rsidRDefault="002D2337" w:rsidP="000C4E0D">
            <w:pPr>
              <w:tabs>
                <w:tab w:val="left" w:pos="2552"/>
              </w:tabs>
              <w:spacing w:line="375" w:lineRule="atLeast"/>
              <w:cnfStyle w:val="000000000000" w:firstRow="0" w:lastRow="0" w:firstColumn="0" w:lastColumn="0" w:oddVBand="0" w:evenVBand="0" w:oddHBand="0" w:evenHBand="0" w:firstRowFirstColumn="0" w:firstRowLastColumn="0" w:lastRowFirstColumn="0" w:lastRowLastColumn="0"/>
              <w:rPr>
                <w:rFonts w:cs="Times New Roman"/>
              </w:rPr>
            </w:pPr>
            <w:r w:rsidRPr="000C4E0D">
              <w:rPr>
                <w:rFonts w:cs="Times New Roman"/>
              </w:rPr>
              <w:t>+24%</w:t>
            </w:r>
          </w:p>
        </w:tc>
        <w:tc>
          <w:tcPr>
            <w:tcW w:w="1379" w:type="dxa"/>
            <w:hideMark/>
          </w:tcPr>
          <w:p w14:paraId="3601FD99" w14:textId="1FDF23EF" w:rsidR="002D2337" w:rsidRPr="000C4E0D" w:rsidRDefault="002D2337" w:rsidP="000C4E0D">
            <w:pPr>
              <w:tabs>
                <w:tab w:val="left" w:pos="2552"/>
              </w:tabs>
              <w:spacing w:line="375" w:lineRule="atLeast"/>
              <w:cnfStyle w:val="000000000000" w:firstRow="0" w:lastRow="0" w:firstColumn="0" w:lastColumn="0" w:oddVBand="0" w:evenVBand="0" w:oddHBand="0" w:evenHBand="0" w:firstRowFirstColumn="0" w:firstRowLastColumn="0" w:lastRowFirstColumn="0" w:lastRowLastColumn="0"/>
              <w:rPr>
                <w:rFonts w:cs="Times New Roman"/>
              </w:rPr>
            </w:pPr>
            <w:r w:rsidRPr="000C4E0D">
              <w:rPr>
                <w:rFonts w:cs="Times New Roman"/>
              </w:rPr>
              <w:t>Perez-Collazo et al. [</w:t>
            </w:r>
            <w:r w:rsidR="00EE1028">
              <w:rPr>
                <w:rFonts w:cs="Times New Roman"/>
              </w:rPr>
              <w:t>4</w:t>
            </w:r>
            <w:r w:rsidRPr="000C4E0D">
              <w:rPr>
                <w:rFonts w:cs="Times New Roman"/>
              </w:rPr>
              <w:t>]</w:t>
            </w:r>
          </w:p>
        </w:tc>
      </w:tr>
      <w:tr w:rsidR="001B49D0" w:rsidRPr="000C4E0D" w14:paraId="6DCBF776" w14:textId="77777777" w:rsidTr="002D2337">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150" w:type="dxa"/>
          </w:tcPr>
          <w:p w14:paraId="7C06F452" w14:textId="3BF6A4A6" w:rsidR="001B49D0" w:rsidRPr="000C4E0D" w:rsidRDefault="001B49D0" w:rsidP="000C4E0D">
            <w:pPr>
              <w:tabs>
                <w:tab w:val="left" w:pos="2552"/>
              </w:tabs>
              <w:spacing w:line="375" w:lineRule="atLeast"/>
              <w:rPr>
                <w:b w:val="0"/>
                <w:bCs w:val="0"/>
              </w:rPr>
            </w:pPr>
            <w:r w:rsidRPr="000C4E0D">
              <w:rPr>
                <w:rFonts w:cs="Times New Roman"/>
                <w:b w:val="0"/>
                <w:bCs w:val="0"/>
              </w:rPr>
              <w:t>Heaving torus (spar)</w:t>
            </w:r>
          </w:p>
        </w:tc>
        <w:tc>
          <w:tcPr>
            <w:tcW w:w="794" w:type="dxa"/>
          </w:tcPr>
          <w:p w14:paraId="31D7E587" w14:textId="0017418F" w:rsidR="001B49D0" w:rsidRPr="000C4E0D" w:rsidRDefault="001B49D0" w:rsidP="000C4E0D">
            <w:pPr>
              <w:tabs>
                <w:tab w:val="left" w:pos="2552"/>
              </w:tabs>
              <w:spacing w:line="375" w:lineRule="atLeast"/>
              <w:cnfStyle w:val="000000100000" w:firstRow="0" w:lastRow="0" w:firstColumn="0" w:lastColumn="0" w:oddVBand="0" w:evenVBand="0" w:oddHBand="1" w:evenHBand="0" w:firstRowFirstColumn="0" w:firstRowLastColumn="0" w:lastRowFirstColumn="0" w:lastRowLastColumn="0"/>
            </w:pPr>
            <w:r w:rsidRPr="000C4E0D">
              <w:rPr>
                <w:rFonts w:cs="Times New Roman"/>
              </w:rPr>
              <w:t>90%</w:t>
            </w:r>
          </w:p>
        </w:tc>
        <w:tc>
          <w:tcPr>
            <w:tcW w:w="1255" w:type="dxa"/>
          </w:tcPr>
          <w:p w14:paraId="428D29B6" w14:textId="173AC8D8" w:rsidR="001B49D0" w:rsidRPr="000C4E0D" w:rsidRDefault="001B49D0" w:rsidP="000C4E0D">
            <w:pPr>
              <w:tabs>
                <w:tab w:val="left" w:pos="2552"/>
              </w:tabs>
              <w:spacing w:line="375" w:lineRule="atLeast"/>
              <w:cnfStyle w:val="000000100000" w:firstRow="0" w:lastRow="0" w:firstColumn="0" w:lastColumn="0" w:oddVBand="0" w:evenVBand="0" w:oddHBand="1" w:evenHBand="0" w:firstRowFirstColumn="0" w:firstRowLastColumn="0" w:lastRowFirstColumn="0" w:lastRowLastColumn="0"/>
            </w:pPr>
            <w:r w:rsidRPr="000C4E0D">
              <w:rPr>
                <w:rFonts w:cs="Times New Roman"/>
              </w:rPr>
              <w:t>10%</w:t>
            </w:r>
          </w:p>
        </w:tc>
        <w:tc>
          <w:tcPr>
            <w:tcW w:w="1442" w:type="dxa"/>
          </w:tcPr>
          <w:p w14:paraId="3C85F167" w14:textId="4537BB4B" w:rsidR="001B49D0" w:rsidRPr="000C4E0D" w:rsidRDefault="001B49D0" w:rsidP="000C4E0D">
            <w:pPr>
              <w:tabs>
                <w:tab w:val="left" w:pos="2552"/>
              </w:tabs>
              <w:spacing w:line="375" w:lineRule="atLeast"/>
              <w:cnfStyle w:val="000000100000" w:firstRow="0" w:lastRow="0" w:firstColumn="0" w:lastColumn="0" w:oddVBand="0" w:evenVBand="0" w:oddHBand="1" w:evenHBand="0" w:firstRowFirstColumn="0" w:firstRowLastColumn="0" w:lastRowFirstColumn="0" w:lastRowLastColumn="0"/>
            </w:pPr>
            <w:r w:rsidRPr="000C4E0D">
              <w:rPr>
                <w:rFonts w:cs="Times New Roman"/>
              </w:rPr>
              <w:t>49</w:t>
            </w:r>
          </w:p>
        </w:tc>
        <w:tc>
          <w:tcPr>
            <w:tcW w:w="0" w:type="auto"/>
          </w:tcPr>
          <w:p w14:paraId="798ABE6D" w14:textId="061915EB" w:rsidR="001B49D0" w:rsidRPr="000C4E0D" w:rsidRDefault="001B49D0" w:rsidP="000C4E0D">
            <w:pPr>
              <w:tabs>
                <w:tab w:val="left" w:pos="2552"/>
              </w:tabs>
              <w:spacing w:line="375" w:lineRule="atLeast"/>
              <w:cnfStyle w:val="000000100000" w:firstRow="0" w:lastRow="0" w:firstColumn="0" w:lastColumn="0" w:oddVBand="0" w:evenVBand="0" w:oddHBand="1" w:evenHBand="0" w:firstRowFirstColumn="0" w:firstRowLastColumn="0" w:lastRowFirstColumn="0" w:lastRowLastColumn="0"/>
            </w:pPr>
            <w:r w:rsidRPr="000C4E0D">
              <w:rPr>
                <w:rFonts w:cs="Times New Roman"/>
              </w:rPr>
              <w:t>+9%</w:t>
            </w:r>
          </w:p>
        </w:tc>
        <w:tc>
          <w:tcPr>
            <w:tcW w:w="1379" w:type="dxa"/>
          </w:tcPr>
          <w:p w14:paraId="5AB85CC6" w14:textId="1DD0FCFD" w:rsidR="001B49D0" w:rsidRPr="000C4E0D" w:rsidRDefault="001B49D0" w:rsidP="000C4E0D">
            <w:pPr>
              <w:tabs>
                <w:tab w:val="left" w:pos="2552"/>
              </w:tabs>
              <w:spacing w:line="375" w:lineRule="atLeast"/>
              <w:cnfStyle w:val="000000100000" w:firstRow="0" w:lastRow="0" w:firstColumn="0" w:lastColumn="0" w:oddVBand="0" w:evenVBand="0" w:oddHBand="1" w:evenHBand="0" w:firstRowFirstColumn="0" w:firstRowLastColumn="0" w:lastRowFirstColumn="0" w:lastRowLastColumn="0"/>
            </w:pPr>
            <w:proofErr w:type="spellStart"/>
            <w:r w:rsidRPr="000C4E0D">
              <w:rPr>
                <w:rFonts w:cs="Times New Roman"/>
              </w:rPr>
              <w:t>Mul</w:t>
            </w:r>
            <w:r w:rsidR="00B77DBF">
              <w:rPr>
                <w:rFonts w:cs="Times New Roman"/>
              </w:rPr>
              <w:t>i</w:t>
            </w:r>
            <w:r w:rsidRPr="000C4E0D">
              <w:rPr>
                <w:rFonts w:cs="Times New Roman"/>
              </w:rPr>
              <w:t>awan</w:t>
            </w:r>
            <w:proofErr w:type="spellEnd"/>
            <w:r w:rsidRPr="000C4E0D">
              <w:rPr>
                <w:rFonts w:cs="Times New Roman"/>
              </w:rPr>
              <w:t xml:space="preserve"> et al. [</w:t>
            </w:r>
            <w:r w:rsidR="005350FB">
              <w:rPr>
                <w:rFonts w:cs="Times New Roman"/>
              </w:rPr>
              <w:t>41,43</w:t>
            </w:r>
            <w:r w:rsidRPr="000C4E0D">
              <w:rPr>
                <w:rFonts w:cs="Times New Roman"/>
              </w:rPr>
              <w:t>]</w:t>
            </w:r>
          </w:p>
        </w:tc>
      </w:tr>
    </w:tbl>
    <w:p w14:paraId="77D03DB7" w14:textId="77777777" w:rsidR="002D2337" w:rsidRPr="000C4E0D" w:rsidRDefault="002D2337" w:rsidP="000C4E0D">
      <w:pPr>
        <w:rPr>
          <w:rFonts w:eastAsiaTheme="minorEastAsia"/>
          <w:color w:val="0F1115"/>
          <w:shd w:val="clear" w:color="auto" w:fill="FFFFFF"/>
        </w:rPr>
      </w:pPr>
    </w:p>
    <w:p w14:paraId="6D7A7940" w14:textId="6F7E14A8" w:rsidR="00B70F48" w:rsidRPr="000C4E0D" w:rsidRDefault="002D2337" w:rsidP="000C4E0D">
      <w:pPr>
        <w:tabs>
          <w:tab w:val="left" w:pos="2454"/>
        </w:tabs>
        <w:rPr>
          <w:lang w:val="en-GB" w:eastAsia="en-GB"/>
        </w:rPr>
      </w:pPr>
      <w:r w:rsidRPr="000C4E0D">
        <w:rPr>
          <w:lang w:val="en-GB" w:eastAsia="en-GB"/>
        </w:rPr>
        <w:tab/>
      </w:r>
    </w:p>
    <w:p w14:paraId="12D02144" w14:textId="77777777" w:rsidR="006A7B9D" w:rsidRPr="006A7B9D" w:rsidRDefault="006A7B9D" w:rsidP="006A7B9D">
      <w:pPr>
        <w:tabs>
          <w:tab w:val="left" w:pos="2552"/>
        </w:tabs>
        <w:spacing w:before="100" w:beforeAutospacing="1" w:after="100" w:afterAutospacing="1" w:line="240" w:lineRule="auto"/>
        <w:ind w:left="2552"/>
        <w:rPr>
          <w:rFonts w:eastAsia="Times New Roman"/>
          <w:lang w:val="en-GB" w:eastAsia="en-GB"/>
        </w:rPr>
      </w:pPr>
      <w:r w:rsidRPr="006A7B9D">
        <w:rPr>
          <w:rFonts w:eastAsia="Times New Roman"/>
          <w:lang w:val="en-GB" w:eastAsia="en-GB"/>
        </w:rPr>
        <w:t>Overall, the results suggest that energy synergy alone is insufficient as a design criterion; hybrid systems must balance energy gains with structural and dynamic performance. This finding aligns with broader conclusions in the hybrid systems literature emphasizing the need for multi-criteria and system-level optimization approaches [14,19,42,91,108].</w:t>
      </w:r>
    </w:p>
    <w:p w14:paraId="256E9C22" w14:textId="6597FCF5" w:rsidR="00B70F48" w:rsidRPr="004B2EBA" w:rsidRDefault="00B70F48" w:rsidP="000C4E0D">
      <w:pPr>
        <w:pStyle w:val="MDPI12title"/>
        <w:tabs>
          <w:tab w:val="left" w:pos="2552"/>
        </w:tabs>
        <w:ind w:left="2552"/>
        <w:jc w:val="both"/>
        <w:rPr>
          <w:bCs/>
          <w:sz w:val="24"/>
          <w:szCs w:val="24"/>
        </w:rPr>
      </w:pPr>
      <w:r w:rsidRPr="004B2EBA">
        <w:rPr>
          <w:bCs/>
          <w:sz w:val="24"/>
          <w:szCs w:val="24"/>
        </w:rPr>
        <w:t>5.3 Structural Complexity and Integration Challenges</w:t>
      </w:r>
    </w:p>
    <w:p w14:paraId="1F68853E" w14:textId="706D91FF" w:rsidR="00B70F48" w:rsidRPr="000C4E0D" w:rsidRDefault="00B70F48" w:rsidP="000C4E0D">
      <w:pPr>
        <w:tabs>
          <w:tab w:val="left" w:pos="2552"/>
        </w:tabs>
        <w:spacing w:before="100" w:beforeAutospacing="1" w:after="100" w:afterAutospacing="1" w:line="240" w:lineRule="auto"/>
        <w:ind w:left="2552"/>
        <w:rPr>
          <w:rFonts w:eastAsia="Times New Roman"/>
          <w:lang w:val="en-GB" w:eastAsia="en-GB"/>
        </w:rPr>
      </w:pPr>
      <w:r w:rsidRPr="000C4E0D">
        <w:rPr>
          <w:rFonts w:eastAsia="Times New Roman"/>
          <w:lang w:val="en-GB" w:eastAsia="en-GB"/>
        </w:rPr>
        <w:t xml:space="preserve">Structural and </w:t>
      </w:r>
      <w:r w:rsidR="00482C81" w:rsidRPr="000C4E0D">
        <w:t>mechanical reliability</w:t>
      </w:r>
      <w:r w:rsidRPr="000C4E0D">
        <w:rPr>
          <w:rFonts w:eastAsia="Times New Roman"/>
          <w:lang w:val="en-GB" w:eastAsia="en-GB"/>
        </w:rPr>
        <w:t xml:space="preserve"> varies substantially across the full range of hybrid wave–wind configurations reviewed in this paper and represents one of the most practically important dimensions along which concepts differ [</w:t>
      </w:r>
      <w:r w:rsidR="00A9390E">
        <w:rPr>
          <w:rFonts w:eastAsia="Times New Roman"/>
          <w:lang w:val="en-GB" w:eastAsia="en-GB"/>
        </w:rPr>
        <w:t>52,</w:t>
      </w:r>
      <w:r w:rsidR="00FC211C" w:rsidRPr="000C4E0D">
        <w:rPr>
          <w:rFonts w:eastAsia="Times New Roman"/>
          <w:lang w:val="en-GB" w:eastAsia="en-GB"/>
        </w:rPr>
        <w:t>53</w:t>
      </w:r>
      <w:r w:rsidRPr="000C4E0D">
        <w:rPr>
          <w:rFonts w:eastAsia="Times New Roman"/>
          <w:lang w:val="en-GB" w:eastAsia="en-GB"/>
        </w:rPr>
        <w:t xml:space="preserve">]. A consistent ordering emerges across the reviewed literature: point absorber configurations present the lowest structural demands, OWC-integrated platforms introduce intermediate complexity, and flap-type WEC hybrids impose the highest level of mechanical challenge. This ordering is robust across </w:t>
      </w:r>
      <w:r w:rsidRPr="000C4E0D">
        <w:rPr>
          <w:rFonts w:eastAsia="Times New Roman"/>
          <w:lang w:val="en-GB" w:eastAsia="en-GB"/>
        </w:rPr>
        <w:lastRenderedPageBreak/>
        <w:t xml:space="preserve">platform types and geographic study </w:t>
      </w:r>
      <w:r w:rsidR="00BA6FF2" w:rsidRPr="000C4E0D">
        <w:rPr>
          <w:rFonts w:eastAsia="Times New Roman"/>
          <w:lang w:val="en-GB" w:eastAsia="en-GB"/>
        </w:rPr>
        <w:t>contexts and</w:t>
      </w:r>
      <w:r w:rsidRPr="000C4E0D">
        <w:rPr>
          <w:rFonts w:eastAsia="Times New Roman"/>
          <w:lang w:val="en-GB" w:eastAsia="en-GB"/>
        </w:rPr>
        <w:t xml:space="preserve"> correlates with both mooring load impact and motion suppression potential.</w:t>
      </w:r>
    </w:p>
    <w:p w14:paraId="6411D09B" w14:textId="4578AFD9" w:rsidR="00230938" w:rsidRPr="00AF09A8" w:rsidRDefault="00B70F48" w:rsidP="00230938">
      <w:pPr>
        <w:tabs>
          <w:tab w:val="left" w:pos="2552"/>
        </w:tabs>
        <w:spacing w:before="100" w:beforeAutospacing="1" w:after="100" w:afterAutospacing="1" w:line="240" w:lineRule="auto"/>
        <w:ind w:left="2552"/>
        <w:rPr>
          <w:rFonts w:eastAsia="Times New Roman"/>
          <w:color w:val="000000" w:themeColor="text1"/>
          <w:lang w:val="fr-FR" w:eastAsia="en-GB"/>
        </w:rPr>
      </w:pPr>
      <w:r w:rsidRPr="00AD6CB0">
        <w:rPr>
          <w:rFonts w:eastAsia="Times New Roman"/>
          <w:color w:val="000000" w:themeColor="text1"/>
          <w:lang w:val="en-GB" w:eastAsia="en-GB"/>
        </w:rPr>
        <w:t>Point absorber configurations occupy the lowest complexity tier across the reviewed literature [</w:t>
      </w:r>
      <w:r w:rsidR="00BA022C" w:rsidRPr="00AD6CB0">
        <w:rPr>
          <w:rFonts w:eastAsia="Times New Roman"/>
          <w:color w:val="000000" w:themeColor="text1"/>
          <w:lang w:val="en-GB" w:eastAsia="en-GB"/>
        </w:rPr>
        <w:t>52</w:t>
      </w:r>
      <w:r w:rsidRPr="00AD6CB0">
        <w:rPr>
          <w:rFonts w:eastAsia="Times New Roman"/>
          <w:color w:val="000000" w:themeColor="text1"/>
          <w:lang w:val="en-GB" w:eastAsia="en-GB"/>
        </w:rPr>
        <w:t xml:space="preserve">]. Their primary advantage from a structural standpoint is modularity: WECs can generally be treated as distributed attachments with limited interaction with the primary load-bearing structure of the floating platform, simplifying fabrication, installation, and maintenance procedures [63]. </w:t>
      </w:r>
      <w:r w:rsidR="00C77775" w:rsidRPr="00AD6CB0">
        <w:rPr>
          <w:rFonts w:eastAsia="Times New Roman"/>
          <w:color w:val="000000" w:themeColor="text1"/>
          <w:lang w:val="en-GB" w:eastAsia="en-GB"/>
        </w:rPr>
        <w:t>Point absorber systems generally offer a simpler mechanical architecture than flap-type devices, but their reliability still depends strongly on PTO design, mooring arrangement, and cyclic loading conditions [63,100,111]</w:t>
      </w:r>
      <w:r w:rsidRPr="00AD6CB0">
        <w:rPr>
          <w:rFonts w:eastAsia="Times New Roman"/>
          <w:color w:val="000000" w:themeColor="text1"/>
          <w:lang w:val="en-GB" w:eastAsia="en-GB"/>
        </w:rPr>
        <w:t xml:space="preserve">. </w:t>
      </w:r>
      <w:r w:rsidR="00D31CCB" w:rsidRPr="00AF09A8">
        <w:rPr>
          <w:rFonts w:eastAsia="Times New Roman"/>
          <w:color w:val="000000" w:themeColor="text1"/>
          <w:lang w:val="fr-FR" w:eastAsia="en-GB"/>
        </w:rPr>
        <w:t>The studies by Kamarlouei et al. [61], Da Silva et al. [59], Si et al. [62], and Yang et al. [105] collectively confirm that point absorber integration can be implemented as a modular add-on to floating wind and wave energy platforms, although its influence on platform motions, loads, and energy capture depends strongly on WEC arrangement, PTO tuning, mooring response, and environmental conditions.</w:t>
      </w:r>
    </w:p>
    <w:p w14:paraId="7B037116" w14:textId="486C792C" w:rsidR="00C716F7" w:rsidRPr="00AF09A8" w:rsidRDefault="00C716F7" w:rsidP="000C4E0D">
      <w:pPr>
        <w:tabs>
          <w:tab w:val="left" w:pos="2552"/>
        </w:tabs>
        <w:spacing w:before="100" w:beforeAutospacing="1" w:after="100" w:afterAutospacing="1" w:line="240" w:lineRule="auto"/>
        <w:ind w:left="2552"/>
        <w:rPr>
          <w:rFonts w:eastAsia="Times New Roman"/>
          <w:color w:val="000000" w:themeColor="text1"/>
          <w:lang w:val="en-GB" w:eastAsia="en-GB"/>
        </w:rPr>
      </w:pPr>
      <w:r w:rsidRPr="00AF09A8">
        <w:rPr>
          <w:rFonts w:eastAsia="Times New Roman"/>
          <w:color w:val="000000" w:themeColor="text1"/>
          <w:lang w:val="en-GB" w:eastAsia="en-GB"/>
        </w:rPr>
        <w:t>OWC-integrated platforms introduce intermediate structural complexity, principally through the requirement to incorporate internal chambers, air ducts, and turbines within the platform substructure [87]. While these components benefit from protection against direct wave impact — a meaningful advantage over exposed mechanical systems — their integration affects global structural stiffness, mass distribution, natural periods, and station-keeping behaviour in ways that require careful treatment during design [50,66]. Construction cost estimates across reviewed studies suggest that OWC integration may increase platform capital expenditure relative to standalone floating wind platforms, primarily due to the additional structural volume and materials required for chamber formation [88,102]. The studies by Pols et al. [49], Zheng et al. [64], Aubault et al. [35], and Thomsen et al. [107] collectively characterise the hydrodynamic, structural, and mooring implications of OWC integration across floating, tubular, and Wind</w:t>
      </w:r>
      <w:r w:rsidR="00AF09A8">
        <w:rPr>
          <w:rFonts w:eastAsia="Times New Roman"/>
          <w:color w:val="000000" w:themeColor="text1"/>
          <w:lang w:val="en-GB" w:eastAsia="en-GB"/>
        </w:rPr>
        <w:t xml:space="preserve"> </w:t>
      </w:r>
      <w:r w:rsidRPr="00AF09A8">
        <w:rPr>
          <w:rFonts w:eastAsia="Times New Roman"/>
          <w:color w:val="000000" w:themeColor="text1"/>
          <w:lang w:val="en-GB" w:eastAsia="en-GB"/>
        </w:rPr>
        <w:t>Float-type platform configurations.</w:t>
      </w:r>
    </w:p>
    <w:p w14:paraId="12ED470A" w14:textId="09FAF130" w:rsidR="00B70F48" w:rsidRPr="00AD6CB0" w:rsidRDefault="00B70F48" w:rsidP="000C4E0D">
      <w:pPr>
        <w:tabs>
          <w:tab w:val="left" w:pos="2552"/>
        </w:tabs>
        <w:spacing w:before="100" w:beforeAutospacing="1" w:after="100" w:afterAutospacing="1" w:line="240" w:lineRule="auto"/>
        <w:ind w:left="2552"/>
        <w:rPr>
          <w:rFonts w:eastAsia="Times New Roman"/>
          <w:color w:val="000000" w:themeColor="text1"/>
          <w:lang w:val="en-GB" w:eastAsia="en-GB"/>
        </w:rPr>
      </w:pPr>
      <w:r w:rsidRPr="00AD6CB0">
        <w:rPr>
          <w:rFonts w:eastAsia="Times New Roman"/>
          <w:color w:val="000000" w:themeColor="text1"/>
          <w:lang w:val="en-GB" w:eastAsia="en-GB"/>
        </w:rPr>
        <w:t xml:space="preserve">Flap-type WEC hybrids are consistently identified across the reviewed literature as the most mechanically complex hybrid </w:t>
      </w:r>
      <w:r w:rsidR="00BC0EC3" w:rsidRPr="00AD6CB0">
        <w:rPr>
          <w:rFonts w:eastAsia="Times New Roman"/>
          <w:color w:val="000000" w:themeColor="text1"/>
          <w:lang w:val="en-GB" w:eastAsia="en-GB"/>
        </w:rPr>
        <w:t>configuration.</w:t>
      </w:r>
      <w:r w:rsidRPr="00AD6CB0">
        <w:rPr>
          <w:rFonts w:eastAsia="Times New Roman"/>
          <w:color w:val="000000" w:themeColor="text1"/>
          <w:lang w:val="en-GB" w:eastAsia="en-GB"/>
        </w:rPr>
        <w:t xml:space="preserve"> The presence of articulated joints, large oscillating bodies, and high load transfer demands increases the risk of fatigue and mechanical failure under the cyclic loading conditions characteristic of offshore wave environments [53]. These challenges must be addressed through robust structural design, careful material selection, and comprehensive fatigue analysis from the earliest stages of concept development. Operational experience from the Oyster project indicates that hinge mechanisms and hydraulic PTO systems require specialised maintenance and contribute substantially to operational expenditure over the system lifecycle </w:t>
      </w:r>
      <w:r w:rsidRPr="00AD6CB0">
        <w:rPr>
          <w:rFonts w:eastAsia="Times New Roman"/>
          <w:color w:val="000000" w:themeColor="text1"/>
          <w:lang w:val="en-GB" w:eastAsia="en-GB"/>
        </w:rPr>
        <w:lastRenderedPageBreak/>
        <w:t>[</w:t>
      </w:r>
      <w:r w:rsidR="00D33B70" w:rsidRPr="00AD6CB0">
        <w:rPr>
          <w:rFonts w:eastAsia="Times New Roman"/>
          <w:color w:val="000000" w:themeColor="text1"/>
          <w:lang w:val="en-GB" w:eastAsia="en-GB"/>
        </w:rPr>
        <w:t>15,102</w:t>
      </w:r>
      <w:r w:rsidRPr="00AD6CB0">
        <w:rPr>
          <w:rFonts w:eastAsia="Times New Roman"/>
          <w:color w:val="000000" w:themeColor="text1"/>
          <w:lang w:val="en-GB" w:eastAsia="en-GB"/>
        </w:rPr>
        <w:t xml:space="preserve">]. </w:t>
      </w:r>
      <w:r w:rsidR="00BF7C4E" w:rsidRPr="00AD6CB0">
        <w:rPr>
          <w:rFonts w:eastAsia="Times New Roman"/>
          <w:color w:val="000000" w:themeColor="text1"/>
          <w:lang w:val="en-GB" w:eastAsia="en-GB"/>
        </w:rPr>
        <w:t xml:space="preserve">The SFC concept studied under operational and extreme environmental conditions by </w:t>
      </w:r>
      <w:proofErr w:type="spellStart"/>
      <w:r w:rsidR="00BF7C4E" w:rsidRPr="00AD6CB0">
        <w:rPr>
          <w:rFonts w:eastAsia="Times New Roman"/>
          <w:color w:val="000000" w:themeColor="text1"/>
          <w:lang w:val="en-GB" w:eastAsia="en-GB"/>
        </w:rPr>
        <w:t>Michailides</w:t>
      </w:r>
      <w:proofErr w:type="spellEnd"/>
      <w:r w:rsidR="00BF7C4E" w:rsidRPr="00AD6CB0">
        <w:rPr>
          <w:rFonts w:eastAsia="Times New Roman"/>
          <w:color w:val="000000" w:themeColor="text1"/>
          <w:lang w:val="en-GB" w:eastAsia="en-GB"/>
        </w:rPr>
        <w:t xml:space="preserve"> et al. [54,96], together with the long-term extreme structural response analysis by Li et al. [74], provides the most detailed structural characterisation of this WEC category available in the reviewed literature.</w:t>
      </w:r>
    </w:p>
    <w:p w14:paraId="5F095798" w14:textId="774B5506" w:rsidR="00B70F48" w:rsidRPr="000C4E0D" w:rsidRDefault="00B70F48" w:rsidP="000C4E0D">
      <w:pPr>
        <w:tabs>
          <w:tab w:val="left" w:pos="2552"/>
        </w:tabs>
        <w:spacing w:before="100" w:beforeAutospacing="1" w:after="100" w:afterAutospacing="1" w:line="240" w:lineRule="auto"/>
        <w:ind w:left="2552"/>
        <w:rPr>
          <w:rFonts w:eastAsia="Times New Roman"/>
          <w:lang w:val="en-GB" w:eastAsia="en-GB"/>
        </w:rPr>
      </w:pPr>
      <w:r w:rsidRPr="000C4E0D">
        <w:rPr>
          <w:rFonts w:eastAsia="Times New Roman"/>
          <w:lang w:val="en-GB" w:eastAsia="en-GB"/>
        </w:rPr>
        <w:t xml:space="preserve">Across all concepts reviewed, higher performance potential corresponds to greater structural and mechanical complexity, reinforcing the need for integrated design approaches that treat structural integrity and energy performance as coupled rather than independent </w:t>
      </w:r>
      <w:r w:rsidR="00BC0EC3" w:rsidRPr="000C4E0D">
        <w:rPr>
          <w:rFonts w:eastAsia="Times New Roman"/>
          <w:lang w:val="en-GB" w:eastAsia="en-GB"/>
        </w:rPr>
        <w:t>objectives.</w:t>
      </w:r>
      <w:r w:rsidRPr="000C4E0D">
        <w:rPr>
          <w:rFonts w:eastAsia="Times New Roman"/>
          <w:lang w:val="en-GB" w:eastAsia="en-GB"/>
        </w:rPr>
        <w:t xml:space="preserve"> Lifecycle cost analyses suggest that the optimal balance between complexity and performance is strongly site-specific, with more complex systems justified only in energetic wave climates where additional energy capture offsets higher fabrication, installation, and maintenance costs [</w:t>
      </w:r>
      <w:r w:rsidR="00FC211C" w:rsidRPr="000C4E0D">
        <w:rPr>
          <w:rFonts w:eastAsia="Times New Roman"/>
          <w:lang w:val="en-GB" w:eastAsia="en-GB"/>
        </w:rPr>
        <w:t>50</w:t>
      </w:r>
      <w:r w:rsidRPr="000C4E0D">
        <w:rPr>
          <w:rFonts w:eastAsia="Times New Roman"/>
          <w:lang w:val="en-GB" w:eastAsia="en-GB"/>
        </w:rPr>
        <w:t>].</w:t>
      </w:r>
    </w:p>
    <w:p w14:paraId="04725709" w14:textId="77777777" w:rsidR="00B70F48" w:rsidRPr="004B2EBA" w:rsidRDefault="00B70F48" w:rsidP="000C4E0D">
      <w:pPr>
        <w:tabs>
          <w:tab w:val="left" w:pos="2552"/>
        </w:tabs>
        <w:spacing w:before="100" w:beforeAutospacing="1" w:after="100" w:afterAutospacing="1" w:line="240" w:lineRule="auto"/>
        <w:ind w:left="2552"/>
        <w:rPr>
          <w:rFonts w:eastAsia="Times New Roman"/>
          <w:b/>
          <w:bCs/>
          <w:lang w:val="en-GB" w:eastAsia="en-GB"/>
        </w:rPr>
      </w:pPr>
      <w:r w:rsidRPr="004B2EBA">
        <w:rPr>
          <w:rFonts w:eastAsia="Times New Roman"/>
          <w:b/>
          <w:bCs/>
          <w:lang w:val="en-GB" w:eastAsia="en-GB"/>
        </w:rPr>
        <w:t>5.4 Mooring System Implications and Stability</w:t>
      </w:r>
    </w:p>
    <w:p w14:paraId="3181AE91" w14:textId="13D4CC60" w:rsidR="00B70F48" w:rsidRPr="000C4E0D" w:rsidRDefault="00B70F48" w:rsidP="000C4E0D">
      <w:pPr>
        <w:tabs>
          <w:tab w:val="left" w:pos="2552"/>
        </w:tabs>
        <w:spacing w:before="100" w:beforeAutospacing="1" w:after="100" w:afterAutospacing="1" w:line="240" w:lineRule="auto"/>
        <w:ind w:left="2552"/>
        <w:rPr>
          <w:rFonts w:eastAsia="Times New Roman"/>
          <w:lang w:val="en-GB" w:eastAsia="en-GB"/>
        </w:rPr>
      </w:pPr>
      <w:r w:rsidRPr="000C4E0D">
        <w:rPr>
          <w:rFonts w:eastAsia="Times New Roman"/>
          <w:lang w:val="en-GB" w:eastAsia="en-GB"/>
        </w:rPr>
        <w:t xml:space="preserve">Hybridisation influences not only the platform structure but also the mooring system. The additional forces generated by WECs modify both mean and dynamic mooring tensions across all reviewed configurations, with mooring load impact increasing progressively from point absorber to OWC to flap-type WEC integration. These implications for mooring design, fatigue life, and station-keeping performance must be addressed from the earliest stages of platform </w:t>
      </w:r>
      <w:r w:rsidR="00BC0EC3" w:rsidRPr="000C4E0D">
        <w:rPr>
          <w:rFonts w:eastAsia="Times New Roman"/>
          <w:lang w:val="en-GB" w:eastAsia="en-GB"/>
        </w:rPr>
        <w:t xml:space="preserve">development. </w:t>
      </w:r>
      <w:r w:rsidR="00891904" w:rsidRPr="00891904">
        <w:rPr>
          <w:rFonts w:eastAsia="Times New Roman"/>
          <w:lang w:val="en-GB" w:eastAsia="en-GB"/>
        </w:rPr>
        <w:t>Mooring systems represent a significant component of floating offshore wind farm capital expenditure, making their correct sizing and configuration an important economic consideration [104].</w:t>
      </w:r>
    </w:p>
    <w:p w14:paraId="5712B04A" w14:textId="30417DD5" w:rsidR="00B70F48" w:rsidRPr="000C4E0D" w:rsidRDefault="00A05ED5" w:rsidP="000C4E0D">
      <w:pPr>
        <w:tabs>
          <w:tab w:val="left" w:pos="2552"/>
        </w:tabs>
        <w:spacing w:before="100" w:beforeAutospacing="1" w:after="100" w:afterAutospacing="1" w:line="240" w:lineRule="auto"/>
        <w:ind w:left="2552"/>
        <w:rPr>
          <w:rFonts w:eastAsia="Times New Roman"/>
          <w:lang w:val="en-GB" w:eastAsia="en-GB"/>
        </w:rPr>
      </w:pPr>
      <w:r w:rsidRPr="00A05ED5">
        <w:rPr>
          <w:rFonts w:eastAsia="Times New Roman"/>
          <w:lang w:val="en-GB" w:eastAsia="en-GB"/>
        </w:rPr>
        <w:t>Point absorber hybrids generally induce more moderate additional mooring loads than flap-type configurations, particularly when WECs are symmetrically arranged around the platform perimeter [61–63]. Studies of point absorber arrangements around floating platforms show that WEC placement and hydrodynamic interaction strongly influence platform response and mooring demand, while mooring-line modelling studies highlight the importance of damping and dynamic line response in assessing station-keeping performance [61–63,105,110].</w:t>
      </w:r>
      <w:r w:rsidR="00B70F48" w:rsidRPr="000C4E0D">
        <w:rPr>
          <w:rFonts w:eastAsia="Times New Roman"/>
          <w:lang w:val="en-GB" w:eastAsia="en-GB"/>
        </w:rPr>
        <w:t xml:space="preserve"> </w:t>
      </w:r>
      <w:r w:rsidR="00BF60B2" w:rsidRPr="00BF60B2">
        <w:rPr>
          <w:rFonts w:eastAsia="Times New Roman"/>
          <w:lang w:val="en-GB" w:eastAsia="en-GB"/>
        </w:rPr>
        <w:t>However, failure of individual WEC units or asymmetrical arrangement can introduce unbalanced loading and should therefore be considered in dynamic mooring analysis and reliability assessment of hybrid configurations [100,107,111].</w:t>
      </w:r>
      <w:r w:rsidR="00B70F48" w:rsidRPr="000C4E0D">
        <w:rPr>
          <w:rFonts w:eastAsia="Times New Roman"/>
          <w:lang w:val="en-GB" w:eastAsia="en-GB"/>
        </w:rPr>
        <w:t xml:space="preserve"> </w:t>
      </w:r>
      <w:r w:rsidR="00C86830" w:rsidRPr="00AF09A8">
        <w:rPr>
          <w:rFonts w:eastAsia="Times New Roman"/>
          <w:color w:val="000000" w:themeColor="text1"/>
          <w:lang w:val="en-GB" w:eastAsia="en-GB"/>
        </w:rPr>
        <w:t xml:space="preserve">The experimental and numerical studies by </w:t>
      </w:r>
      <w:proofErr w:type="spellStart"/>
      <w:r w:rsidR="00C86830" w:rsidRPr="00AF09A8">
        <w:rPr>
          <w:rFonts w:eastAsia="Times New Roman"/>
          <w:color w:val="000000" w:themeColor="text1"/>
          <w:lang w:val="en-GB" w:eastAsia="en-GB"/>
        </w:rPr>
        <w:t>Kamarlouei</w:t>
      </w:r>
      <w:proofErr w:type="spellEnd"/>
      <w:r w:rsidR="00C86830" w:rsidRPr="00AF09A8">
        <w:rPr>
          <w:rFonts w:eastAsia="Times New Roman"/>
          <w:color w:val="000000" w:themeColor="text1"/>
          <w:lang w:val="en-GB" w:eastAsia="en-GB"/>
        </w:rPr>
        <w:t xml:space="preserve"> et al. [61] and Si et al. [62] provide quantitative characterisation of these effects for point absorber configurations on floating and semi-submersible platforms</w:t>
      </w:r>
      <w:r w:rsidR="00B70F48" w:rsidRPr="000C4E0D">
        <w:rPr>
          <w:rFonts w:eastAsia="Times New Roman"/>
          <w:lang w:val="en-GB" w:eastAsia="en-GB"/>
        </w:rPr>
        <w:t>.</w:t>
      </w:r>
    </w:p>
    <w:p w14:paraId="0301E8E5" w14:textId="5025478D" w:rsidR="00B70F48" w:rsidRPr="00AF09A8" w:rsidRDefault="00B70F48" w:rsidP="000C4E0D">
      <w:pPr>
        <w:tabs>
          <w:tab w:val="left" w:pos="2552"/>
        </w:tabs>
        <w:spacing w:before="100" w:beforeAutospacing="1" w:after="100" w:afterAutospacing="1" w:line="240" w:lineRule="auto"/>
        <w:ind w:left="2552"/>
        <w:rPr>
          <w:rFonts w:eastAsia="Times New Roman"/>
          <w:color w:val="000000" w:themeColor="text1"/>
          <w:lang w:val="en-GB" w:eastAsia="en-GB"/>
        </w:rPr>
      </w:pPr>
      <w:r w:rsidRPr="000C4E0D">
        <w:rPr>
          <w:rFonts w:eastAsia="Times New Roman"/>
          <w:lang w:val="en-GB" w:eastAsia="en-GB"/>
        </w:rPr>
        <w:t>OWC-based systems may increase mean mooring loads due to added mass effects introduced by the water column, but dynamic load amplification is typically moderate compared to other WEC types [</w:t>
      </w:r>
      <w:r w:rsidR="00A9390E">
        <w:rPr>
          <w:rFonts w:eastAsia="Times New Roman"/>
          <w:lang w:val="en-GB" w:eastAsia="en-GB"/>
        </w:rPr>
        <w:t>20,</w:t>
      </w:r>
      <w:r w:rsidR="009D60AC" w:rsidRPr="000C4E0D">
        <w:rPr>
          <w:rFonts w:eastAsia="Times New Roman"/>
          <w:lang w:val="en-GB" w:eastAsia="en-GB"/>
        </w:rPr>
        <w:t>107</w:t>
      </w:r>
      <w:r w:rsidRPr="000C4E0D">
        <w:rPr>
          <w:rFonts w:eastAsia="Times New Roman"/>
          <w:lang w:val="en-GB" w:eastAsia="en-GB"/>
        </w:rPr>
        <w:t xml:space="preserve">]. The enclosed nature of </w:t>
      </w:r>
      <w:r w:rsidRPr="000C4E0D">
        <w:rPr>
          <w:rFonts w:eastAsia="Times New Roman"/>
          <w:lang w:val="en-GB" w:eastAsia="en-GB"/>
        </w:rPr>
        <w:lastRenderedPageBreak/>
        <w:t>OWC chambers distributes wave forces over larger structural areas, reducing peak loads on individual mooring lines relative to point-concentrated force inputs [66]. Numerical simulations by Thomsen et al. indicate that OWC integration increases maximum mooring tensions by approximately 10–15% compared to standalone floating wind platforms, a level that can generally be accommodated within standard mooring design margins [</w:t>
      </w:r>
      <w:r w:rsidR="00EE1028">
        <w:rPr>
          <w:rFonts w:eastAsia="Times New Roman"/>
          <w:lang w:val="en-GB" w:eastAsia="en-GB"/>
        </w:rPr>
        <w:t>107</w:t>
      </w:r>
      <w:r w:rsidRPr="00AF09A8">
        <w:rPr>
          <w:rFonts w:eastAsia="Times New Roman"/>
          <w:color w:val="000000" w:themeColor="text1"/>
          <w:lang w:val="en-GB" w:eastAsia="en-GB"/>
        </w:rPr>
        <w:t xml:space="preserve">]. </w:t>
      </w:r>
      <w:r w:rsidR="00E17B37" w:rsidRPr="00AF09A8">
        <w:rPr>
          <w:rFonts w:eastAsia="Times New Roman"/>
          <w:color w:val="000000" w:themeColor="text1"/>
          <w:lang w:val="en-GB" w:eastAsia="en-GB"/>
        </w:rPr>
        <w:t>The studies by Pols et al. [49], Zheng et al. [64], and Aubault et al. [35] further support the importance of hydrodynamic response, chamber integration, and mooring behaviour across different OWC-related platform configurations.</w:t>
      </w:r>
    </w:p>
    <w:p w14:paraId="7B503CC7" w14:textId="4C38533B" w:rsidR="00B70F48" w:rsidRPr="00AD6CB0" w:rsidRDefault="005A4D8B" w:rsidP="000C4E0D">
      <w:pPr>
        <w:tabs>
          <w:tab w:val="left" w:pos="2552"/>
        </w:tabs>
        <w:spacing w:before="100" w:beforeAutospacing="1" w:after="100" w:afterAutospacing="1" w:line="240" w:lineRule="auto"/>
        <w:ind w:left="2552"/>
        <w:rPr>
          <w:rFonts w:eastAsia="Times New Roman"/>
          <w:color w:val="000000" w:themeColor="text1"/>
          <w:lang w:val="en-GB" w:eastAsia="en-GB"/>
        </w:rPr>
      </w:pPr>
      <w:r w:rsidRPr="00AD6CB0">
        <w:rPr>
          <w:rFonts w:eastAsia="Times New Roman"/>
          <w:color w:val="000000" w:themeColor="text1"/>
          <w:lang w:val="en-GB" w:eastAsia="en-GB"/>
        </w:rPr>
        <w:t xml:space="preserve">Flap-type WECs can significantly amplify dynamic mooring tensions due to the large oscillatory forces generated by articulated flap motion [17,96]. The cyclic nature of flap loading introduces fatigue damage accumulation in mooring lines at rates substantially higher than those associated with platform wave loading alone [19,96]. </w:t>
      </w:r>
      <w:r w:rsidR="00F03B02" w:rsidRPr="00AD6CB0">
        <w:rPr>
          <w:rFonts w:eastAsia="Times New Roman"/>
          <w:color w:val="000000" w:themeColor="text1"/>
          <w:lang w:val="en-GB" w:eastAsia="en-GB"/>
        </w:rPr>
        <w:t>Mooring design studies for WEC systems show that cyclic loading and dynamic line response must be explicitly considered when assessing fatigue damage and station-keeping reliability, particularly for configurations subject to large oscillatory WEC forces [84,111]</w:t>
      </w:r>
      <w:r w:rsidR="00B70F48" w:rsidRPr="00AD6CB0">
        <w:rPr>
          <w:rFonts w:eastAsia="Times New Roman"/>
          <w:color w:val="000000" w:themeColor="text1"/>
          <w:lang w:val="en-GB" w:eastAsia="en-GB"/>
        </w:rPr>
        <w:t xml:space="preserve">. The experimental results of </w:t>
      </w:r>
      <w:proofErr w:type="spellStart"/>
      <w:r w:rsidR="00B70F48" w:rsidRPr="00AD6CB0">
        <w:rPr>
          <w:rFonts w:eastAsia="Times New Roman"/>
          <w:color w:val="000000" w:themeColor="text1"/>
          <w:lang w:val="en-GB" w:eastAsia="en-GB"/>
        </w:rPr>
        <w:t>Michailides</w:t>
      </w:r>
      <w:proofErr w:type="spellEnd"/>
      <w:r w:rsidR="00B70F48" w:rsidRPr="00AD6CB0">
        <w:rPr>
          <w:rFonts w:eastAsia="Times New Roman"/>
          <w:color w:val="000000" w:themeColor="text1"/>
          <w:lang w:val="en-GB" w:eastAsia="en-GB"/>
        </w:rPr>
        <w:t xml:space="preserve"> et al. on the SFC concept under extreme environmental conditions represent the most comprehensive validated dataset for mooring load amplification associated with flap-type integration in the reviewed literature [</w:t>
      </w:r>
      <w:r w:rsidR="000A6347" w:rsidRPr="00AD6CB0">
        <w:rPr>
          <w:rFonts w:eastAsia="Times New Roman"/>
          <w:color w:val="000000" w:themeColor="text1"/>
          <w:lang w:val="en-GB" w:eastAsia="en-GB"/>
        </w:rPr>
        <w:t>9</w:t>
      </w:r>
      <w:r w:rsidR="00A9390E" w:rsidRPr="00AD6CB0">
        <w:rPr>
          <w:rFonts w:eastAsia="Times New Roman"/>
          <w:color w:val="000000" w:themeColor="text1"/>
          <w:lang w:val="en-GB" w:eastAsia="en-GB"/>
        </w:rPr>
        <w:t>6</w:t>
      </w:r>
      <w:r w:rsidR="00B70F48" w:rsidRPr="00AD6CB0">
        <w:rPr>
          <w:rFonts w:eastAsia="Times New Roman"/>
          <w:color w:val="000000" w:themeColor="text1"/>
          <w:lang w:val="en-GB" w:eastAsia="en-GB"/>
        </w:rPr>
        <w:t>].</w:t>
      </w:r>
    </w:p>
    <w:p w14:paraId="2BAEEBC2" w14:textId="7ACCC1D6" w:rsidR="00BC71E4" w:rsidRPr="000C4E0D" w:rsidRDefault="00B70F48" w:rsidP="000C4E0D">
      <w:pPr>
        <w:tabs>
          <w:tab w:val="left" w:pos="2552"/>
        </w:tabs>
        <w:spacing w:before="100" w:beforeAutospacing="1" w:after="100" w:afterAutospacing="1" w:line="240" w:lineRule="auto"/>
        <w:ind w:left="2552"/>
        <w:rPr>
          <w:rFonts w:eastAsia="Times New Roman"/>
          <w:lang w:val="en-GB" w:eastAsia="en-GB"/>
        </w:rPr>
      </w:pPr>
      <w:r w:rsidRPr="000C4E0D">
        <w:rPr>
          <w:rFonts w:eastAsia="Times New Roman"/>
          <w:lang w:val="en-GB" w:eastAsia="en-GB"/>
        </w:rPr>
        <w:t>The comparative picture across all reviewed literature shows that while flap-type WECs offer the strongest motion suppression, they simultaneously impose the greatest demands on mooring and structural systems [</w:t>
      </w:r>
      <w:r w:rsidR="006D053D">
        <w:rPr>
          <w:rFonts w:eastAsia="Times New Roman"/>
          <w:lang w:val="en-GB" w:eastAsia="en-GB"/>
        </w:rPr>
        <w:t>84</w:t>
      </w:r>
      <w:r w:rsidR="00A9390E">
        <w:rPr>
          <w:rFonts w:eastAsia="Times New Roman"/>
          <w:lang w:val="en-GB" w:eastAsia="en-GB"/>
        </w:rPr>
        <w:t>,</w:t>
      </w:r>
      <w:r w:rsidR="000A6347" w:rsidRPr="000C4E0D">
        <w:rPr>
          <w:rFonts w:eastAsia="Times New Roman"/>
          <w:lang w:val="en-GB" w:eastAsia="en-GB"/>
        </w:rPr>
        <w:t>96</w:t>
      </w:r>
      <w:r w:rsidRPr="000C4E0D">
        <w:rPr>
          <w:rFonts w:eastAsia="Times New Roman"/>
          <w:lang w:val="en-GB" w:eastAsia="en-GB"/>
        </w:rPr>
        <w:t>]. This trade-off must be explicitly evaluated during the concept selection phase and incorporated into optimi</w:t>
      </w:r>
      <w:r w:rsidR="002C3D9F" w:rsidRPr="000C4E0D">
        <w:rPr>
          <w:rFonts w:eastAsia="Times New Roman"/>
          <w:lang w:val="en-GB" w:eastAsia="en-GB"/>
        </w:rPr>
        <w:t>z</w:t>
      </w:r>
      <w:r w:rsidRPr="000C4E0D">
        <w:rPr>
          <w:rFonts w:eastAsia="Times New Roman"/>
          <w:lang w:val="en-GB" w:eastAsia="en-GB"/>
        </w:rPr>
        <w:t>ation frameworks as a coupled structural–hydrodynamic constraint [</w:t>
      </w:r>
      <w:r w:rsidR="000D1316" w:rsidRPr="000C4E0D">
        <w:rPr>
          <w:rFonts w:eastAsia="Times New Roman"/>
          <w:lang w:val="en-GB" w:eastAsia="en-GB"/>
        </w:rPr>
        <w:t>48</w:t>
      </w:r>
      <w:r w:rsidRPr="000C4E0D">
        <w:rPr>
          <w:rFonts w:eastAsia="Times New Roman"/>
          <w:lang w:val="en-GB" w:eastAsia="en-GB"/>
        </w:rPr>
        <w:t xml:space="preserve">]. Point absorber and OWC configurations offer a more moderate and predictable mooring load profile, which may be preferable in sites where mooring system cost or seabed conditions constrain the design </w:t>
      </w:r>
      <w:r w:rsidR="004B2EBA" w:rsidRPr="000C4E0D">
        <w:rPr>
          <w:rFonts w:eastAsia="Times New Roman"/>
          <w:lang w:val="en-GB" w:eastAsia="en-GB"/>
        </w:rPr>
        <w:t>space.</w:t>
      </w:r>
      <w:r w:rsidR="00D21B44" w:rsidRPr="00D21B44">
        <w:t xml:space="preserve"> </w:t>
      </w:r>
      <w:r w:rsidR="00D21B44" w:rsidRPr="00D21B44">
        <w:rPr>
          <w:rFonts w:eastAsia="Times New Roman"/>
          <w:lang w:val="en-GB" w:eastAsia="en-GB"/>
        </w:rPr>
        <w:t>Table 5 quantifies the mooring load implications across hybrid configurations.</w:t>
      </w:r>
    </w:p>
    <w:tbl>
      <w:tblPr>
        <w:tblStyle w:val="GridTable5Dark-Accent5"/>
        <w:tblpPr w:leftFromText="180" w:rightFromText="180" w:vertAnchor="page" w:horzAnchor="margin" w:tblpXSpec="right" w:tblpY="2476"/>
        <w:tblW w:w="7634" w:type="dxa"/>
        <w:tblLook w:val="04A0" w:firstRow="1" w:lastRow="0" w:firstColumn="1" w:lastColumn="0" w:noHBand="0" w:noVBand="1"/>
      </w:tblPr>
      <w:tblGrid>
        <w:gridCol w:w="1433"/>
        <w:gridCol w:w="911"/>
        <w:gridCol w:w="1043"/>
        <w:gridCol w:w="1433"/>
        <w:gridCol w:w="1311"/>
        <w:gridCol w:w="1503"/>
      </w:tblGrid>
      <w:tr w:rsidR="000C4E0D" w:rsidRPr="000C4E0D" w14:paraId="5224ACAA" w14:textId="77777777" w:rsidTr="000C4E0D">
        <w:trPr>
          <w:cnfStyle w:val="100000000000" w:firstRow="1" w:lastRow="0" w:firstColumn="0" w:lastColumn="0" w:oddVBand="0" w:evenVBand="0" w:oddHBand="0"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1433" w:type="dxa"/>
          </w:tcPr>
          <w:p w14:paraId="68C241BB" w14:textId="77777777" w:rsidR="000C4E0D" w:rsidRPr="000C4E0D" w:rsidRDefault="000C4E0D" w:rsidP="000C4E0D">
            <w:pPr>
              <w:tabs>
                <w:tab w:val="left" w:pos="2552"/>
              </w:tabs>
              <w:spacing w:line="375" w:lineRule="atLeast"/>
              <w:rPr>
                <w:b w:val="0"/>
                <w:bCs w:val="0"/>
              </w:rPr>
            </w:pPr>
            <w:r w:rsidRPr="000C4E0D">
              <w:rPr>
                <w:rFonts w:cs="Segoe UI"/>
                <w:b w:val="0"/>
                <w:bCs w:val="0"/>
              </w:rPr>
              <w:lastRenderedPageBreak/>
              <w:t>Concept</w:t>
            </w:r>
          </w:p>
        </w:tc>
        <w:tc>
          <w:tcPr>
            <w:tcW w:w="911" w:type="dxa"/>
          </w:tcPr>
          <w:p w14:paraId="7F60810B" w14:textId="77777777" w:rsidR="000C4E0D" w:rsidRPr="000C4E0D" w:rsidRDefault="000C4E0D" w:rsidP="000C4E0D">
            <w:pPr>
              <w:tabs>
                <w:tab w:val="left" w:pos="2552"/>
              </w:tabs>
              <w:spacing w:line="375" w:lineRule="atLeast"/>
              <w:cnfStyle w:val="100000000000" w:firstRow="1" w:lastRow="0" w:firstColumn="0" w:lastColumn="0" w:oddVBand="0" w:evenVBand="0" w:oddHBand="0" w:evenHBand="0" w:firstRowFirstColumn="0" w:firstRowLastColumn="0" w:lastRowFirstColumn="0" w:lastRowLastColumn="0"/>
              <w:rPr>
                <w:b w:val="0"/>
                <w:bCs w:val="0"/>
              </w:rPr>
            </w:pPr>
            <w:r w:rsidRPr="000C4E0D">
              <w:rPr>
                <w:rFonts w:cs="Segoe UI"/>
                <w:b w:val="0"/>
                <w:bCs w:val="0"/>
              </w:rPr>
              <w:t>Mean Tension Increase</w:t>
            </w:r>
          </w:p>
        </w:tc>
        <w:tc>
          <w:tcPr>
            <w:tcW w:w="1043" w:type="dxa"/>
          </w:tcPr>
          <w:p w14:paraId="3443793C" w14:textId="77777777" w:rsidR="000C4E0D" w:rsidRPr="000C4E0D" w:rsidRDefault="000C4E0D" w:rsidP="000C4E0D">
            <w:pPr>
              <w:tabs>
                <w:tab w:val="left" w:pos="2552"/>
              </w:tabs>
              <w:spacing w:line="375" w:lineRule="atLeast"/>
              <w:cnfStyle w:val="100000000000" w:firstRow="1" w:lastRow="0" w:firstColumn="0" w:lastColumn="0" w:oddVBand="0" w:evenVBand="0" w:oddHBand="0" w:evenHBand="0" w:firstRowFirstColumn="0" w:firstRowLastColumn="0" w:lastRowFirstColumn="0" w:lastRowLastColumn="0"/>
              <w:rPr>
                <w:b w:val="0"/>
                <w:bCs w:val="0"/>
              </w:rPr>
            </w:pPr>
            <w:r w:rsidRPr="000C4E0D">
              <w:rPr>
                <w:rFonts w:cs="Segoe UI"/>
                <w:b w:val="0"/>
                <w:bCs w:val="0"/>
              </w:rPr>
              <w:t>Dynamic Tension Amplification</w:t>
            </w:r>
          </w:p>
        </w:tc>
        <w:tc>
          <w:tcPr>
            <w:tcW w:w="1433" w:type="dxa"/>
          </w:tcPr>
          <w:p w14:paraId="1B8EBE8D" w14:textId="77777777" w:rsidR="000C4E0D" w:rsidRPr="000C4E0D" w:rsidRDefault="000C4E0D" w:rsidP="000C4E0D">
            <w:pPr>
              <w:tabs>
                <w:tab w:val="left" w:pos="2552"/>
              </w:tabs>
              <w:spacing w:line="375" w:lineRule="atLeast"/>
              <w:cnfStyle w:val="100000000000" w:firstRow="1" w:lastRow="0" w:firstColumn="0" w:lastColumn="0" w:oddVBand="0" w:evenVBand="0" w:oddHBand="0" w:evenHBand="0" w:firstRowFirstColumn="0" w:firstRowLastColumn="0" w:lastRowFirstColumn="0" w:lastRowLastColumn="0"/>
              <w:rPr>
                <w:b w:val="0"/>
                <w:bCs w:val="0"/>
              </w:rPr>
            </w:pPr>
            <w:r w:rsidRPr="000C4E0D">
              <w:rPr>
                <w:rFonts w:cs="Segoe UI"/>
                <w:b w:val="0"/>
                <w:bCs w:val="0"/>
              </w:rPr>
              <w:t>Fatigue Load Impact</w:t>
            </w:r>
          </w:p>
        </w:tc>
        <w:tc>
          <w:tcPr>
            <w:tcW w:w="1311" w:type="dxa"/>
          </w:tcPr>
          <w:p w14:paraId="4E30F333" w14:textId="77777777" w:rsidR="000C4E0D" w:rsidRPr="000C4E0D" w:rsidRDefault="000C4E0D" w:rsidP="000C4E0D">
            <w:pPr>
              <w:tabs>
                <w:tab w:val="left" w:pos="2552"/>
              </w:tabs>
              <w:spacing w:line="375" w:lineRule="atLeast"/>
              <w:cnfStyle w:val="100000000000" w:firstRow="1" w:lastRow="0" w:firstColumn="0" w:lastColumn="0" w:oddVBand="0" w:evenVBand="0" w:oddHBand="0" w:evenHBand="0" w:firstRowFirstColumn="0" w:firstRowLastColumn="0" w:lastRowFirstColumn="0" w:lastRowLastColumn="0"/>
              <w:rPr>
                <w:b w:val="0"/>
                <w:bCs w:val="0"/>
              </w:rPr>
            </w:pPr>
            <w:r w:rsidRPr="000C4E0D">
              <w:rPr>
                <w:rFonts w:cs="Segoe UI"/>
                <w:b w:val="0"/>
                <w:bCs w:val="0"/>
              </w:rPr>
              <w:t>Station-Keeping Performance</w:t>
            </w:r>
          </w:p>
        </w:tc>
        <w:tc>
          <w:tcPr>
            <w:tcW w:w="1503" w:type="dxa"/>
          </w:tcPr>
          <w:p w14:paraId="46EECC69" w14:textId="77777777" w:rsidR="000C4E0D" w:rsidRPr="000C4E0D" w:rsidRDefault="000C4E0D" w:rsidP="000C4E0D">
            <w:pPr>
              <w:tabs>
                <w:tab w:val="left" w:pos="2552"/>
              </w:tabs>
              <w:spacing w:line="375" w:lineRule="atLeast"/>
              <w:cnfStyle w:val="100000000000" w:firstRow="1" w:lastRow="0" w:firstColumn="0" w:lastColumn="0" w:oddVBand="0" w:evenVBand="0" w:oddHBand="0" w:evenHBand="0" w:firstRowFirstColumn="0" w:firstRowLastColumn="0" w:lastRowFirstColumn="0" w:lastRowLastColumn="0"/>
              <w:rPr>
                <w:b w:val="0"/>
                <w:bCs w:val="0"/>
              </w:rPr>
            </w:pPr>
            <w:r w:rsidRPr="000C4E0D">
              <w:rPr>
                <w:rFonts w:cs="Segoe UI"/>
                <w:b w:val="0"/>
                <w:bCs w:val="0"/>
              </w:rPr>
              <w:t>Source</w:t>
            </w:r>
          </w:p>
        </w:tc>
      </w:tr>
      <w:tr w:rsidR="000C4E0D" w:rsidRPr="000C4E0D" w14:paraId="72897568" w14:textId="77777777" w:rsidTr="000C4E0D">
        <w:trPr>
          <w:cnfStyle w:val="000000100000" w:firstRow="0" w:lastRow="0" w:firstColumn="0" w:lastColumn="0" w:oddVBand="0" w:evenVBand="0" w:oddHBand="1"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1433" w:type="dxa"/>
            <w:hideMark/>
          </w:tcPr>
          <w:p w14:paraId="6400CB66" w14:textId="77777777" w:rsidR="000C4E0D" w:rsidRPr="000C4E0D" w:rsidRDefault="000C4E0D" w:rsidP="000C4E0D">
            <w:pPr>
              <w:tabs>
                <w:tab w:val="left" w:pos="2552"/>
              </w:tabs>
              <w:spacing w:line="375" w:lineRule="atLeast"/>
              <w:rPr>
                <w:b w:val="0"/>
                <w:bCs w:val="0"/>
              </w:rPr>
            </w:pPr>
            <w:r w:rsidRPr="000C4E0D">
              <w:rPr>
                <w:b w:val="0"/>
                <w:bCs w:val="0"/>
              </w:rPr>
              <w:t>Point absorber</w:t>
            </w:r>
          </w:p>
        </w:tc>
        <w:tc>
          <w:tcPr>
            <w:tcW w:w="911" w:type="dxa"/>
            <w:hideMark/>
          </w:tcPr>
          <w:p w14:paraId="0D87F980" w14:textId="77777777" w:rsidR="000C4E0D" w:rsidRPr="000C4E0D" w:rsidRDefault="000C4E0D" w:rsidP="000C4E0D">
            <w:pPr>
              <w:tabs>
                <w:tab w:val="left" w:pos="2552"/>
              </w:tabs>
              <w:spacing w:line="375" w:lineRule="atLeast"/>
              <w:cnfStyle w:val="000000100000" w:firstRow="0" w:lastRow="0" w:firstColumn="0" w:lastColumn="0" w:oddVBand="0" w:evenVBand="0" w:oddHBand="1" w:evenHBand="0" w:firstRowFirstColumn="0" w:firstRowLastColumn="0" w:lastRowFirstColumn="0" w:lastRowLastColumn="0"/>
            </w:pPr>
            <w:r w:rsidRPr="000C4E0D">
              <w:t>+5–10%</w:t>
            </w:r>
          </w:p>
        </w:tc>
        <w:tc>
          <w:tcPr>
            <w:tcW w:w="1043" w:type="dxa"/>
            <w:hideMark/>
          </w:tcPr>
          <w:p w14:paraId="347B5720" w14:textId="77777777" w:rsidR="000C4E0D" w:rsidRPr="000C4E0D" w:rsidRDefault="000C4E0D" w:rsidP="000C4E0D">
            <w:pPr>
              <w:tabs>
                <w:tab w:val="left" w:pos="2552"/>
              </w:tabs>
              <w:spacing w:line="375" w:lineRule="atLeast"/>
              <w:cnfStyle w:val="000000100000" w:firstRow="0" w:lastRow="0" w:firstColumn="0" w:lastColumn="0" w:oddVBand="0" w:evenVBand="0" w:oddHBand="1" w:evenHBand="0" w:firstRowFirstColumn="0" w:firstRowLastColumn="0" w:lastRowFirstColumn="0" w:lastRowLastColumn="0"/>
            </w:pPr>
            <w:r w:rsidRPr="000C4E0D">
              <w:t>+10–15%</w:t>
            </w:r>
          </w:p>
        </w:tc>
        <w:tc>
          <w:tcPr>
            <w:tcW w:w="1433" w:type="dxa"/>
            <w:hideMark/>
          </w:tcPr>
          <w:p w14:paraId="7ACA463B" w14:textId="77777777" w:rsidR="000C4E0D" w:rsidRPr="000C4E0D" w:rsidRDefault="000C4E0D" w:rsidP="000C4E0D">
            <w:pPr>
              <w:tabs>
                <w:tab w:val="left" w:pos="2552"/>
              </w:tabs>
              <w:spacing w:line="375" w:lineRule="atLeast"/>
              <w:cnfStyle w:val="000000100000" w:firstRow="0" w:lastRow="0" w:firstColumn="0" w:lastColumn="0" w:oddVBand="0" w:evenVBand="0" w:oddHBand="1" w:evenHBand="0" w:firstRowFirstColumn="0" w:firstRowLastColumn="0" w:lastRowFirstColumn="0" w:lastRowLastColumn="0"/>
            </w:pPr>
            <w:r w:rsidRPr="000C4E0D">
              <w:t>Moderate</w:t>
            </w:r>
          </w:p>
        </w:tc>
        <w:tc>
          <w:tcPr>
            <w:tcW w:w="1311" w:type="dxa"/>
            <w:hideMark/>
          </w:tcPr>
          <w:p w14:paraId="3CF53CF2" w14:textId="77777777" w:rsidR="000C4E0D" w:rsidRPr="000C4E0D" w:rsidRDefault="000C4E0D" w:rsidP="000C4E0D">
            <w:pPr>
              <w:tabs>
                <w:tab w:val="left" w:pos="2552"/>
              </w:tabs>
              <w:spacing w:line="375" w:lineRule="atLeast"/>
              <w:cnfStyle w:val="000000100000" w:firstRow="0" w:lastRow="0" w:firstColumn="0" w:lastColumn="0" w:oddVBand="0" w:evenVBand="0" w:oddHBand="1" w:evenHBand="0" w:firstRowFirstColumn="0" w:firstRowLastColumn="0" w:lastRowFirstColumn="0" w:lastRowLastColumn="0"/>
            </w:pPr>
            <w:r w:rsidRPr="000C4E0D">
              <w:t>Good</w:t>
            </w:r>
          </w:p>
        </w:tc>
        <w:tc>
          <w:tcPr>
            <w:tcW w:w="1503" w:type="dxa"/>
            <w:hideMark/>
          </w:tcPr>
          <w:p w14:paraId="272FDEF7" w14:textId="39BEBF0B" w:rsidR="000C4E0D" w:rsidRPr="000C4E0D" w:rsidRDefault="000C4E0D" w:rsidP="000C4E0D">
            <w:pPr>
              <w:tabs>
                <w:tab w:val="left" w:pos="2552"/>
              </w:tabs>
              <w:spacing w:line="375" w:lineRule="atLeast"/>
              <w:cnfStyle w:val="000000100000" w:firstRow="0" w:lastRow="0" w:firstColumn="0" w:lastColumn="0" w:oddVBand="0" w:evenVBand="0" w:oddHBand="1" w:evenHBand="0" w:firstRowFirstColumn="0" w:firstRowLastColumn="0" w:lastRowFirstColumn="0" w:lastRowLastColumn="0"/>
            </w:pPr>
            <w:r w:rsidRPr="000C4E0D">
              <w:t>Yang et al. [</w:t>
            </w:r>
            <w:r w:rsidR="00A64F2D">
              <w:t>105</w:t>
            </w:r>
            <w:r w:rsidRPr="000C4E0D">
              <w:t>]</w:t>
            </w:r>
          </w:p>
        </w:tc>
      </w:tr>
      <w:tr w:rsidR="000C4E0D" w:rsidRPr="000C4E0D" w14:paraId="37AB5EA4" w14:textId="77777777" w:rsidTr="000C4E0D">
        <w:trPr>
          <w:trHeight w:val="21"/>
        </w:trPr>
        <w:tc>
          <w:tcPr>
            <w:cnfStyle w:val="001000000000" w:firstRow="0" w:lastRow="0" w:firstColumn="1" w:lastColumn="0" w:oddVBand="0" w:evenVBand="0" w:oddHBand="0" w:evenHBand="0" w:firstRowFirstColumn="0" w:firstRowLastColumn="0" w:lastRowFirstColumn="0" w:lastRowLastColumn="0"/>
            <w:tcW w:w="1433" w:type="dxa"/>
            <w:hideMark/>
          </w:tcPr>
          <w:p w14:paraId="1E6A0228" w14:textId="77777777" w:rsidR="000C4E0D" w:rsidRPr="00AD6CB0" w:rsidRDefault="000C4E0D" w:rsidP="000C4E0D">
            <w:pPr>
              <w:tabs>
                <w:tab w:val="left" w:pos="2552"/>
              </w:tabs>
              <w:spacing w:line="375" w:lineRule="atLeast"/>
              <w:rPr>
                <w:b w:val="0"/>
                <w:bCs w:val="0"/>
                <w:color w:val="000000" w:themeColor="text1"/>
              </w:rPr>
            </w:pPr>
            <w:r w:rsidRPr="00AD6CB0">
              <w:rPr>
                <w:b w:val="0"/>
                <w:bCs w:val="0"/>
                <w:color w:val="000000" w:themeColor="text1"/>
              </w:rPr>
              <w:t>OWC</w:t>
            </w:r>
          </w:p>
        </w:tc>
        <w:tc>
          <w:tcPr>
            <w:tcW w:w="911" w:type="dxa"/>
            <w:hideMark/>
          </w:tcPr>
          <w:p w14:paraId="63E1773F" w14:textId="77777777" w:rsidR="000C4E0D" w:rsidRPr="00AD6CB0" w:rsidRDefault="000C4E0D" w:rsidP="000C4E0D">
            <w:pPr>
              <w:tabs>
                <w:tab w:val="left" w:pos="2552"/>
              </w:tabs>
              <w:spacing w:line="375" w:lineRule="atLeast"/>
              <w:cnfStyle w:val="000000000000" w:firstRow="0" w:lastRow="0" w:firstColumn="0" w:lastColumn="0" w:oddVBand="0" w:evenVBand="0" w:oddHBand="0" w:evenHBand="0" w:firstRowFirstColumn="0" w:firstRowLastColumn="0" w:lastRowFirstColumn="0" w:lastRowLastColumn="0"/>
              <w:rPr>
                <w:color w:val="000000" w:themeColor="text1"/>
              </w:rPr>
            </w:pPr>
            <w:r w:rsidRPr="00AD6CB0">
              <w:rPr>
                <w:color w:val="000000" w:themeColor="text1"/>
              </w:rPr>
              <w:t>+10–15%</w:t>
            </w:r>
          </w:p>
        </w:tc>
        <w:tc>
          <w:tcPr>
            <w:tcW w:w="1043" w:type="dxa"/>
            <w:hideMark/>
          </w:tcPr>
          <w:p w14:paraId="5BA88700" w14:textId="77777777" w:rsidR="000C4E0D" w:rsidRPr="00AD6CB0" w:rsidRDefault="000C4E0D" w:rsidP="000C4E0D">
            <w:pPr>
              <w:tabs>
                <w:tab w:val="left" w:pos="2552"/>
              </w:tabs>
              <w:spacing w:line="375" w:lineRule="atLeast"/>
              <w:cnfStyle w:val="000000000000" w:firstRow="0" w:lastRow="0" w:firstColumn="0" w:lastColumn="0" w:oddVBand="0" w:evenVBand="0" w:oddHBand="0" w:evenHBand="0" w:firstRowFirstColumn="0" w:firstRowLastColumn="0" w:lastRowFirstColumn="0" w:lastRowLastColumn="0"/>
              <w:rPr>
                <w:color w:val="000000" w:themeColor="text1"/>
              </w:rPr>
            </w:pPr>
            <w:r w:rsidRPr="00AD6CB0">
              <w:rPr>
                <w:color w:val="000000" w:themeColor="text1"/>
              </w:rPr>
              <w:t>+5–10%</w:t>
            </w:r>
          </w:p>
        </w:tc>
        <w:tc>
          <w:tcPr>
            <w:tcW w:w="1433" w:type="dxa"/>
            <w:hideMark/>
          </w:tcPr>
          <w:p w14:paraId="6B4FE00B" w14:textId="77777777" w:rsidR="000C4E0D" w:rsidRPr="00AD6CB0" w:rsidRDefault="000C4E0D" w:rsidP="000C4E0D">
            <w:pPr>
              <w:tabs>
                <w:tab w:val="left" w:pos="2552"/>
              </w:tabs>
              <w:spacing w:line="375" w:lineRule="atLeast"/>
              <w:cnfStyle w:val="000000000000" w:firstRow="0" w:lastRow="0" w:firstColumn="0" w:lastColumn="0" w:oddVBand="0" w:evenVBand="0" w:oddHBand="0" w:evenHBand="0" w:firstRowFirstColumn="0" w:firstRowLastColumn="0" w:lastRowFirstColumn="0" w:lastRowLastColumn="0"/>
              <w:rPr>
                <w:color w:val="000000" w:themeColor="text1"/>
              </w:rPr>
            </w:pPr>
            <w:r w:rsidRPr="00AD6CB0">
              <w:rPr>
                <w:color w:val="000000" w:themeColor="text1"/>
              </w:rPr>
              <w:t>Low-Moderate</w:t>
            </w:r>
          </w:p>
        </w:tc>
        <w:tc>
          <w:tcPr>
            <w:tcW w:w="1311" w:type="dxa"/>
            <w:hideMark/>
          </w:tcPr>
          <w:p w14:paraId="7252E60D" w14:textId="77777777" w:rsidR="000C4E0D" w:rsidRPr="00AD6CB0" w:rsidRDefault="000C4E0D" w:rsidP="000C4E0D">
            <w:pPr>
              <w:tabs>
                <w:tab w:val="left" w:pos="2552"/>
              </w:tabs>
              <w:spacing w:line="375" w:lineRule="atLeast"/>
              <w:cnfStyle w:val="000000000000" w:firstRow="0" w:lastRow="0" w:firstColumn="0" w:lastColumn="0" w:oddVBand="0" w:evenVBand="0" w:oddHBand="0" w:evenHBand="0" w:firstRowFirstColumn="0" w:firstRowLastColumn="0" w:lastRowFirstColumn="0" w:lastRowLastColumn="0"/>
              <w:rPr>
                <w:color w:val="000000" w:themeColor="text1"/>
              </w:rPr>
            </w:pPr>
            <w:r w:rsidRPr="00AD6CB0">
              <w:rPr>
                <w:color w:val="000000" w:themeColor="text1"/>
              </w:rPr>
              <w:t>Very Good</w:t>
            </w:r>
          </w:p>
        </w:tc>
        <w:tc>
          <w:tcPr>
            <w:tcW w:w="1503" w:type="dxa"/>
            <w:hideMark/>
          </w:tcPr>
          <w:p w14:paraId="71507BD4" w14:textId="742483CE" w:rsidR="000C4E0D" w:rsidRPr="00AD6CB0" w:rsidRDefault="0054212D" w:rsidP="0054212D">
            <w:pPr>
              <w:tabs>
                <w:tab w:val="left" w:pos="2552"/>
              </w:tabs>
              <w:spacing w:line="375" w:lineRule="atLeast"/>
              <w:cnfStyle w:val="000000000000" w:firstRow="0" w:lastRow="0" w:firstColumn="0" w:lastColumn="0" w:oddVBand="0" w:evenVBand="0" w:oddHBand="0" w:evenHBand="0" w:firstRowFirstColumn="0" w:firstRowLastColumn="0" w:lastRowFirstColumn="0" w:lastRowLastColumn="0"/>
              <w:rPr>
                <w:color w:val="000000" w:themeColor="text1"/>
                <w:rtl/>
              </w:rPr>
            </w:pPr>
            <w:r w:rsidRPr="00AD6CB0">
              <w:rPr>
                <w:color w:val="000000" w:themeColor="text1"/>
              </w:rPr>
              <w:t xml:space="preserve">Thomsen et al. [107]; </w:t>
            </w:r>
            <w:r w:rsidR="003D5EAA">
              <w:rPr>
                <w:color w:val="000000" w:themeColor="text1"/>
              </w:rPr>
              <w:t xml:space="preserve">Pols </w:t>
            </w:r>
            <w:r w:rsidRPr="00AD6CB0">
              <w:rPr>
                <w:color w:val="000000" w:themeColor="text1"/>
              </w:rPr>
              <w:t>et al. [49]</w:t>
            </w:r>
          </w:p>
        </w:tc>
      </w:tr>
      <w:tr w:rsidR="000C4E0D" w:rsidRPr="000C4E0D" w14:paraId="74C2731B" w14:textId="77777777" w:rsidTr="000C4E0D">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433" w:type="dxa"/>
            <w:hideMark/>
          </w:tcPr>
          <w:p w14:paraId="445A7F56" w14:textId="77777777" w:rsidR="000C4E0D" w:rsidRPr="000C4E0D" w:rsidRDefault="000C4E0D" w:rsidP="000C4E0D">
            <w:pPr>
              <w:tabs>
                <w:tab w:val="left" w:pos="2552"/>
              </w:tabs>
              <w:spacing w:line="375" w:lineRule="atLeast"/>
              <w:rPr>
                <w:b w:val="0"/>
                <w:bCs w:val="0"/>
              </w:rPr>
            </w:pPr>
            <w:r w:rsidRPr="000C4E0D">
              <w:rPr>
                <w:b w:val="0"/>
                <w:bCs w:val="0"/>
              </w:rPr>
              <w:t>Flap-type</w:t>
            </w:r>
          </w:p>
        </w:tc>
        <w:tc>
          <w:tcPr>
            <w:tcW w:w="911" w:type="dxa"/>
            <w:hideMark/>
          </w:tcPr>
          <w:p w14:paraId="5ED3E433" w14:textId="77777777" w:rsidR="000C4E0D" w:rsidRPr="000C4E0D" w:rsidRDefault="000C4E0D" w:rsidP="000C4E0D">
            <w:pPr>
              <w:tabs>
                <w:tab w:val="left" w:pos="2552"/>
              </w:tabs>
              <w:spacing w:line="375" w:lineRule="atLeast"/>
              <w:cnfStyle w:val="000000100000" w:firstRow="0" w:lastRow="0" w:firstColumn="0" w:lastColumn="0" w:oddVBand="0" w:evenVBand="0" w:oddHBand="1" w:evenHBand="0" w:firstRowFirstColumn="0" w:firstRowLastColumn="0" w:lastRowFirstColumn="0" w:lastRowLastColumn="0"/>
            </w:pPr>
            <w:r w:rsidRPr="000C4E0D">
              <w:t>+15–25%</w:t>
            </w:r>
          </w:p>
        </w:tc>
        <w:tc>
          <w:tcPr>
            <w:tcW w:w="1043" w:type="dxa"/>
            <w:hideMark/>
          </w:tcPr>
          <w:p w14:paraId="01E67031" w14:textId="77777777" w:rsidR="000C4E0D" w:rsidRPr="000C4E0D" w:rsidRDefault="000C4E0D" w:rsidP="000C4E0D">
            <w:pPr>
              <w:tabs>
                <w:tab w:val="left" w:pos="2552"/>
              </w:tabs>
              <w:spacing w:line="375" w:lineRule="atLeast"/>
              <w:cnfStyle w:val="000000100000" w:firstRow="0" w:lastRow="0" w:firstColumn="0" w:lastColumn="0" w:oddVBand="0" w:evenVBand="0" w:oddHBand="1" w:evenHBand="0" w:firstRowFirstColumn="0" w:firstRowLastColumn="0" w:lastRowFirstColumn="0" w:lastRowLastColumn="0"/>
            </w:pPr>
            <w:r w:rsidRPr="000C4E0D">
              <w:t>+25–40%</w:t>
            </w:r>
          </w:p>
        </w:tc>
        <w:tc>
          <w:tcPr>
            <w:tcW w:w="1433" w:type="dxa"/>
            <w:hideMark/>
          </w:tcPr>
          <w:p w14:paraId="006ABE5A" w14:textId="77777777" w:rsidR="000C4E0D" w:rsidRPr="000C4E0D" w:rsidRDefault="000C4E0D" w:rsidP="000C4E0D">
            <w:pPr>
              <w:tabs>
                <w:tab w:val="left" w:pos="2552"/>
              </w:tabs>
              <w:spacing w:line="375" w:lineRule="atLeast"/>
              <w:cnfStyle w:val="000000100000" w:firstRow="0" w:lastRow="0" w:firstColumn="0" w:lastColumn="0" w:oddVBand="0" w:evenVBand="0" w:oddHBand="1" w:evenHBand="0" w:firstRowFirstColumn="0" w:firstRowLastColumn="0" w:lastRowFirstColumn="0" w:lastRowLastColumn="0"/>
            </w:pPr>
            <w:r w:rsidRPr="000C4E0D">
              <w:t>High</w:t>
            </w:r>
          </w:p>
        </w:tc>
        <w:tc>
          <w:tcPr>
            <w:tcW w:w="1311" w:type="dxa"/>
            <w:hideMark/>
          </w:tcPr>
          <w:p w14:paraId="1A153F2B" w14:textId="77777777" w:rsidR="000C4E0D" w:rsidRPr="000C4E0D" w:rsidRDefault="000C4E0D" w:rsidP="000C4E0D">
            <w:pPr>
              <w:tabs>
                <w:tab w:val="left" w:pos="2552"/>
              </w:tabs>
              <w:spacing w:line="375" w:lineRule="atLeast"/>
              <w:cnfStyle w:val="000000100000" w:firstRow="0" w:lastRow="0" w:firstColumn="0" w:lastColumn="0" w:oddVBand="0" w:evenVBand="0" w:oddHBand="1" w:evenHBand="0" w:firstRowFirstColumn="0" w:firstRowLastColumn="0" w:lastRowFirstColumn="0" w:lastRowLastColumn="0"/>
            </w:pPr>
            <w:r w:rsidRPr="000C4E0D">
              <w:t>Excellent</w:t>
            </w:r>
          </w:p>
        </w:tc>
        <w:tc>
          <w:tcPr>
            <w:tcW w:w="1503" w:type="dxa"/>
            <w:hideMark/>
          </w:tcPr>
          <w:p w14:paraId="3C250F23" w14:textId="530ED6BE" w:rsidR="000C4E0D" w:rsidRPr="000C4E0D" w:rsidRDefault="00506B7F" w:rsidP="00506B7F">
            <w:pPr>
              <w:tabs>
                <w:tab w:val="left" w:pos="2552"/>
              </w:tabs>
              <w:spacing w:line="375" w:lineRule="atLeast"/>
              <w:cnfStyle w:val="000000100000" w:firstRow="0" w:lastRow="0" w:firstColumn="0" w:lastColumn="0" w:oddVBand="0" w:evenVBand="0" w:oddHBand="1" w:evenHBand="0" w:firstRowFirstColumn="0" w:firstRowLastColumn="0" w:lastRowFirstColumn="0" w:lastRowLastColumn="0"/>
            </w:pPr>
            <w:r>
              <w:t xml:space="preserve">Johanning et al. [84]; </w:t>
            </w:r>
            <w:proofErr w:type="spellStart"/>
            <w:r>
              <w:t>Michailides</w:t>
            </w:r>
            <w:proofErr w:type="spellEnd"/>
            <w:r>
              <w:t xml:space="preserve"> et al. [96]</w:t>
            </w:r>
          </w:p>
        </w:tc>
      </w:tr>
      <w:tr w:rsidR="000C4E0D" w:rsidRPr="000C4E0D" w14:paraId="5A67C4E9" w14:textId="77777777" w:rsidTr="000C4E0D">
        <w:trPr>
          <w:trHeight w:val="21"/>
        </w:trPr>
        <w:tc>
          <w:tcPr>
            <w:cnfStyle w:val="001000000000" w:firstRow="0" w:lastRow="0" w:firstColumn="1" w:lastColumn="0" w:oddVBand="0" w:evenVBand="0" w:oddHBand="0" w:evenHBand="0" w:firstRowFirstColumn="0" w:firstRowLastColumn="0" w:lastRowFirstColumn="0" w:lastRowLastColumn="0"/>
            <w:tcW w:w="1433" w:type="dxa"/>
          </w:tcPr>
          <w:p w14:paraId="62C6CA78" w14:textId="77777777" w:rsidR="000C4E0D" w:rsidRPr="000C4E0D" w:rsidRDefault="000C4E0D" w:rsidP="000C4E0D">
            <w:pPr>
              <w:tabs>
                <w:tab w:val="left" w:pos="2552"/>
              </w:tabs>
              <w:spacing w:line="375" w:lineRule="atLeast"/>
              <w:rPr>
                <w:b w:val="0"/>
                <w:bCs w:val="0"/>
              </w:rPr>
            </w:pPr>
            <w:r w:rsidRPr="000C4E0D">
              <w:rPr>
                <w:b w:val="0"/>
                <w:bCs w:val="0"/>
              </w:rPr>
              <w:t>Heaving torus (spar)</w:t>
            </w:r>
          </w:p>
        </w:tc>
        <w:tc>
          <w:tcPr>
            <w:tcW w:w="911" w:type="dxa"/>
          </w:tcPr>
          <w:p w14:paraId="7F523A94" w14:textId="77777777" w:rsidR="000C4E0D" w:rsidRPr="000C4E0D" w:rsidRDefault="000C4E0D" w:rsidP="000C4E0D">
            <w:pPr>
              <w:tabs>
                <w:tab w:val="left" w:pos="2552"/>
              </w:tabs>
              <w:spacing w:line="375" w:lineRule="atLeast"/>
              <w:cnfStyle w:val="000000000000" w:firstRow="0" w:lastRow="0" w:firstColumn="0" w:lastColumn="0" w:oddVBand="0" w:evenVBand="0" w:oddHBand="0" w:evenHBand="0" w:firstRowFirstColumn="0" w:firstRowLastColumn="0" w:lastRowFirstColumn="0" w:lastRowLastColumn="0"/>
            </w:pPr>
            <w:r w:rsidRPr="000C4E0D">
              <w:t>+5–8%</w:t>
            </w:r>
          </w:p>
        </w:tc>
        <w:tc>
          <w:tcPr>
            <w:tcW w:w="1043" w:type="dxa"/>
          </w:tcPr>
          <w:p w14:paraId="109E2991" w14:textId="77777777" w:rsidR="000C4E0D" w:rsidRPr="000C4E0D" w:rsidRDefault="000C4E0D" w:rsidP="000C4E0D">
            <w:pPr>
              <w:tabs>
                <w:tab w:val="left" w:pos="2552"/>
              </w:tabs>
              <w:spacing w:line="375" w:lineRule="atLeast"/>
              <w:cnfStyle w:val="000000000000" w:firstRow="0" w:lastRow="0" w:firstColumn="0" w:lastColumn="0" w:oddVBand="0" w:evenVBand="0" w:oddHBand="0" w:evenHBand="0" w:firstRowFirstColumn="0" w:firstRowLastColumn="0" w:lastRowFirstColumn="0" w:lastRowLastColumn="0"/>
            </w:pPr>
            <w:r w:rsidRPr="000C4E0D">
              <w:t>+8–12%</w:t>
            </w:r>
          </w:p>
        </w:tc>
        <w:tc>
          <w:tcPr>
            <w:tcW w:w="1433" w:type="dxa"/>
          </w:tcPr>
          <w:p w14:paraId="1EAD6570" w14:textId="77777777" w:rsidR="000C4E0D" w:rsidRPr="000C4E0D" w:rsidRDefault="000C4E0D" w:rsidP="000C4E0D">
            <w:pPr>
              <w:tabs>
                <w:tab w:val="left" w:pos="2552"/>
              </w:tabs>
              <w:spacing w:line="375" w:lineRule="atLeast"/>
              <w:cnfStyle w:val="000000000000" w:firstRow="0" w:lastRow="0" w:firstColumn="0" w:lastColumn="0" w:oddVBand="0" w:evenVBand="0" w:oddHBand="0" w:evenHBand="0" w:firstRowFirstColumn="0" w:firstRowLastColumn="0" w:lastRowFirstColumn="0" w:lastRowLastColumn="0"/>
            </w:pPr>
            <w:r w:rsidRPr="000C4E0D">
              <w:t>Low</w:t>
            </w:r>
          </w:p>
        </w:tc>
        <w:tc>
          <w:tcPr>
            <w:tcW w:w="1311" w:type="dxa"/>
          </w:tcPr>
          <w:p w14:paraId="7D193148" w14:textId="77777777" w:rsidR="000C4E0D" w:rsidRPr="000C4E0D" w:rsidRDefault="000C4E0D" w:rsidP="000C4E0D">
            <w:pPr>
              <w:tabs>
                <w:tab w:val="left" w:pos="2552"/>
              </w:tabs>
              <w:spacing w:line="375" w:lineRule="atLeast"/>
              <w:cnfStyle w:val="000000000000" w:firstRow="0" w:lastRow="0" w:firstColumn="0" w:lastColumn="0" w:oddVBand="0" w:evenVBand="0" w:oddHBand="0" w:evenHBand="0" w:firstRowFirstColumn="0" w:firstRowLastColumn="0" w:lastRowFirstColumn="0" w:lastRowLastColumn="0"/>
            </w:pPr>
            <w:r w:rsidRPr="000C4E0D">
              <w:t>Good</w:t>
            </w:r>
          </w:p>
        </w:tc>
        <w:tc>
          <w:tcPr>
            <w:tcW w:w="1503" w:type="dxa"/>
          </w:tcPr>
          <w:p w14:paraId="4A848ED1" w14:textId="06E240C8" w:rsidR="000C4E0D" w:rsidRPr="00AD6CB0" w:rsidRDefault="000C4E0D" w:rsidP="000C4E0D">
            <w:pPr>
              <w:tabs>
                <w:tab w:val="left" w:pos="2552"/>
              </w:tabs>
              <w:spacing w:line="375" w:lineRule="atLeast"/>
              <w:cnfStyle w:val="000000000000" w:firstRow="0" w:lastRow="0" w:firstColumn="0" w:lastColumn="0" w:oddVBand="0" w:evenVBand="0" w:oddHBand="0" w:evenHBand="0" w:firstRowFirstColumn="0" w:firstRowLastColumn="0" w:lastRowFirstColumn="0" w:lastRowLastColumn="0"/>
              <w:rPr>
                <w:color w:val="000000" w:themeColor="text1"/>
              </w:rPr>
            </w:pPr>
            <w:proofErr w:type="spellStart"/>
            <w:r w:rsidRPr="00AD6CB0">
              <w:rPr>
                <w:color w:val="000000" w:themeColor="text1"/>
              </w:rPr>
              <w:t>Mul</w:t>
            </w:r>
            <w:r w:rsidR="00B77DBF" w:rsidRPr="00AD6CB0">
              <w:rPr>
                <w:color w:val="000000" w:themeColor="text1"/>
              </w:rPr>
              <w:t>i</w:t>
            </w:r>
            <w:r w:rsidRPr="00AD6CB0">
              <w:rPr>
                <w:color w:val="000000" w:themeColor="text1"/>
              </w:rPr>
              <w:t>awan</w:t>
            </w:r>
            <w:proofErr w:type="spellEnd"/>
            <w:r w:rsidRPr="00AD6CB0">
              <w:rPr>
                <w:color w:val="000000" w:themeColor="text1"/>
              </w:rPr>
              <w:t xml:space="preserve"> et al. [</w:t>
            </w:r>
            <w:r w:rsidR="005C4A1B" w:rsidRPr="00AD6CB0">
              <w:rPr>
                <w:color w:val="000000" w:themeColor="text1"/>
              </w:rPr>
              <w:t>27,</w:t>
            </w:r>
            <w:r w:rsidR="005350FB" w:rsidRPr="00AD6CB0">
              <w:rPr>
                <w:color w:val="000000" w:themeColor="text1"/>
              </w:rPr>
              <w:t>41,43</w:t>
            </w:r>
            <w:r w:rsidRPr="00AD6CB0">
              <w:rPr>
                <w:color w:val="000000" w:themeColor="text1"/>
              </w:rPr>
              <w:t>]</w:t>
            </w:r>
          </w:p>
        </w:tc>
      </w:tr>
    </w:tbl>
    <w:p w14:paraId="50249997" w14:textId="3B30BF6C" w:rsidR="001B49D0" w:rsidRPr="000C4E0D" w:rsidRDefault="001B49D0" w:rsidP="000C4E0D">
      <w:pPr>
        <w:tabs>
          <w:tab w:val="left" w:pos="2552"/>
        </w:tabs>
        <w:spacing w:before="100" w:beforeAutospacing="1" w:after="100" w:afterAutospacing="1" w:line="240" w:lineRule="auto"/>
        <w:ind w:left="2552"/>
        <w:rPr>
          <w:rStyle w:val="Strong"/>
          <w:rFonts w:eastAsia="Times New Roman"/>
          <w:b w:val="0"/>
          <w:bCs w:val="0"/>
          <w:lang w:val="en-GB" w:eastAsia="en-GB"/>
        </w:rPr>
      </w:pPr>
      <w:r w:rsidRPr="004B2EBA">
        <w:rPr>
          <w:rStyle w:val="Strong"/>
          <w:color w:val="0F1115"/>
        </w:rPr>
        <w:t>Table</w:t>
      </w:r>
      <w:r w:rsidRPr="000C4E0D">
        <w:rPr>
          <w:rStyle w:val="Strong"/>
          <w:b w:val="0"/>
          <w:bCs w:val="0"/>
          <w:color w:val="0F1115"/>
        </w:rPr>
        <w:t xml:space="preserve"> 5: Comparative Mooring System Implication.</w:t>
      </w:r>
    </w:p>
    <w:p w14:paraId="765F0FA6" w14:textId="59E68BB7" w:rsidR="006C6BA2" w:rsidRPr="000C4E0D" w:rsidRDefault="0014141B" w:rsidP="000C4E0D">
      <w:pPr>
        <w:pStyle w:val="ds-markdown-paragraph"/>
        <w:shd w:val="clear" w:color="auto" w:fill="FFFFFF"/>
        <w:tabs>
          <w:tab w:val="left" w:pos="2552"/>
        </w:tabs>
        <w:spacing w:before="240" w:beforeAutospacing="0" w:after="240" w:afterAutospacing="0"/>
        <w:jc w:val="both"/>
        <w:rPr>
          <w:rFonts w:ascii="Palatino Linotype" w:hAnsi="Palatino Linotype"/>
          <w:color w:val="0F1115"/>
          <w:sz w:val="20"/>
          <w:szCs w:val="20"/>
        </w:rPr>
      </w:pPr>
      <w:r w:rsidRPr="000C4E0D">
        <w:rPr>
          <w:rStyle w:val="Strong"/>
          <w:rFonts w:ascii="Palatino Linotype" w:hAnsi="Palatino Linotype"/>
          <w:b w:val="0"/>
          <w:bCs w:val="0"/>
          <w:color w:val="0F1115"/>
          <w:sz w:val="20"/>
          <w:szCs w:val="20"/>
        </w:rPr>
        <w:t xml:space="preserve">                         </w:t>
      </w:r>
    </w:p>
    <w:p w14:paraId="3C15AC4B" w14:textId="77777777" w:rsidR="001B49D0" w:rsidRPr="000C4E0D" w:rsidRDefault="001B49D0" w:rsidP="000C4E0D">
      <w:pPr>
        <w:tabs>
          <w:tab w:val="left" w:pos="2552"/>
        </w:tabs>
        <w:spacing w:before="100" w:beforeAutospacing="1" w:after="100" w:afterAutospacing="1" w:line="240" w:lineRule="auto"/>
        <w:ind w:left="2552"/>
        <w:rPr>
          <w:rFonts w:eastAsia="Times New Roman"/>
          <w:lang w:val="en-GB" w:eastAsia="en-GB"/>
        </w:rPr>
      </w:pPr>
    </w:p>
    <w:p w14:paraId="441ADB21" w14:textId="38915FD1" w:rsidR="00B70F48" w:rsidRPr="000C4E0D" w:rsidRDefault="00B70F48" w:rsidP="000C4E0D">
      <w:pPr>
        <w:tabs>
          <w:tab w:val="left" w:pos="2552"/>
        </w:tabs>
        <w:spacing w:before="100" w:beforeAutospacing="1" w:after="100" w:afterAutospacing="1" w:line="240" w:lineRule="auto"/>
        <w:ind w:left="2552"/>
        <w:rPr>
          <w:rFonts w:eastAsia="Times New Roman"/>
          <w:b/>
          <w:bCs/>
          <w:sz w:val="24"/>
          <w:szCs w:val="24"/>
          <w:lang w:val="en-GB" w:eastAsia="en-GB"/>
        </w:rPr>
      </w:pPr>
      <w:r w:rsidRPr="000C4E0D">
        <w:rPr>
          <w:rFonts w:eastAsia="Times New Roman"/>
          <w:b/>
          <w:bCs/>
          <w:sz w:val="24"/>
          <w:szCs w:val="24"/>
          <w:lang w:val="en-GB" w:eastAsia="en-GB"/>
        </w:rPr>
        <w:t>5.5 Optimi</w:t>
      </w:r>
      <w:r w:rsidR="002C3D9F" w:rsidRPr="000C4E0D">
        <w:rPr>
          <w:rFonts w:eastAsia="Times New Roman"/>
          <w:b/>
          <w:bCs/>
          <w:sz w:val="24"/>
          <w:szCs w:val="24"/>
          <w:lang w:val="en-GB" w:eastAsia="en-GB"/>
        </w:rPr>
        <w:t>z</w:t>
      </w:r>
      <w:r w:rsidRPr="000C4E0D">
        <w:rPr>
          <w:rFonts w:eastAsia="Times New Roman"/>
          <w:b/>
          <w:bCs/>
          <w:sz w:val="24"/>
          <w:szCs w:val="24"/>
          <w:lang w:val="en-GB" w:eastAsia="en-GB"/>
        </w:rPr>
        <w:t>ation Methods Applied to Hybrid Wave–Wind Systems</w:t>
      </w:r>
    </w:p>
    <w:p w14:paraId="0D373A0C" w14:textId="46EC3F1B" w:rsidR="008B754B" w:rsidRPr="000C4E0D" w:rsidRDefault="00B70F48" w:rsidP="004B2EBA">
      <w:pPr>
        <w:tabs>
          <w:tab w:val="left" w:pos="2552"/>
        </w:tabs>
        <w:spacing w:before="100" w:beforeAutospacing="1" w:after="100" w:afterAutospacing="1" w:line="240" w:lineRule="auto"/>
        <w:ind w:left="2552"/>
        <w:rPr>
          <w:rFonts w:eastAsia="Times New Roman"/>
          <w:lang w:val="en-GB" w:eastAsia="en-GB"/>
        </w:rPr>
      </w:pPr>
      <w:r w:rsidRPr="000C4E0D">
        <w:rPr>
          <w:rFonts w:eastAsia="Times New Roman"/>
          <w:lang w:val="en-GB" w:eastAsia="en-GB"/>
        </w:rPr>
        <w:t>This section constitutes the core analytical contribution of the review. Rather than simply noting that optimi</w:t>
      </w:r>
      <w:r w:rsidR="002C3D9F" w:rsidRPr="000C4E0D">
        <w:rPr>
          <w:rFonts w:eastAsia="Times New Roman"/>
          <w:lang w:val="en-GB" w:eastAsia="en-GB"/>
        </w:rPr>
        <w:t>z</w:t>
      </w:r>
      <w:r w:rsidRPr="000C4E0D">
        <w:rPr>
          <w:rFonts w:eastAsia="Times New Roman"/>
          <w:lang w:val="en-GB" w:eastAsia="en-GB"/>
        </w:rPr>
        <w:t>ation is needed for hybrid platform design, it examines which specific optimi</w:t>
      </w:r>
      <w:r w:rsidR="002C3D9F" w:rsidRPr="000C4E0D">
        <w:rPr>
          <w:rFonts w:eastAsia="Times New Roman"/>
          <w:lang w:val="en-GB" w:eastAsia="en-GB"/>
        </w:rPr>
        <w:t>z</w:t>
      </w:r>
      <w:r w:rsidRPr="000C4E0D">
        <w:rPr>
          <w:rFonts w:eastAsia="Times New Roman"/>
          <w:lang w:val="en-GB" w:eastAsia="en-GB"/>
        </w:rPr>
        <w:t>ation methods have been applied to combined wave–wind systems in the existing literature, what design variables and objective functions they addressed, and what conclusions can be drawn about the relative effectiveness of different algorithmic approaches across hybrid configuration types [</w:t>
      </w:r>
      <w:r w:rsidR="00A9390E">
        <w:rPr>
          <w:rFonts w:eastAsia="Times New Roman"/>
          <w:lang w:val="en-GB" w:eastAsia="en-GB"/>
        </w:rPr>
        <w:t>14,42,</w:t>
      </w:r>
      <w:r w:rsidRPr="000C4E0D">
        <w:rPr>
          <w:rFonts w:eastAsia="Times New Roman"/>
          <w:lang w:val="en-GB" w:eastAsia="en-GB"/>
        </w:rPr>
        <w:t>93]. The survey covers studies addressing device-level, platform-level, and system-level optimi</w:t>
      </w:r>
      <w:r w:rsidR="002C3D9F" w:rsidRPr="000C4E0D">
        <w:rPr>
          <w:rFonts w:eastAsia="Times New Roman"/>
          <w:lang w:val="en-GB" w:eastAsia="en-GB"/>
        </w:rPr>
        <w:t>z</w:t>
      </w:r>
      <w:r w:rsidRPr="000C4E0D">
        <w:rPr>
          <w:rFonts w:eastAsia="Times New Roman"/>
          <w:lang w:val="en-GB" w:eastAsia="en-GB"/>
        </w:rPr>
        <w:t>ation problems, and identifies the principal gaps that remain unaddressed in the current body of work [</w:t>
      </w:r>
      <w:r w:rsidR="00A9390E">
        <w:rPr>
          <w:rFonts w:eastAsia="Times New Roman"/>
          <w:lang w:val="en-GB" w:eastAsia="en-GB"/>
        </w:rPr>
        <w:t>19,</w:t>
      </w:r>
      <w:r w:rsidRPr="000C4E0D">
        <w:rPr>
          <w:rFonts w:eastAsia="Times New Roman"/>
          <w:lang w:val="en-GB" w:eastAsia="en-GB"/>
        </w:rPr>
        <w:t>21].</w:t>
      </w:r>
    </w:p>
    <w:p w14:paraId="73533E6B" w14:textId="537A12FC" w:rsidR="00B70F48" w:rsidRPr="004B2EBA" w:rsidRDefault="00B70F48" w:rsidP="000C4E0D">
      <w:pPr>
        <w:tabs>
          <w:tab w:val="left" w:pos="2552"/>
        </w:tabs>
        <w:spacing w:before="100" w:beforeAutospacing="1" w:after="100" w:afterAutospacing="1" w:line="240" w:lineRule="auto"/>
        <w:ind w:left="2552"/>
        <w:rPr>
          <w:rFonts w:eastAsia="Times New Roman"/>
          <w:b/>
          <w:bCs/>
          <w:sz w:val="24"/>
          <w:szCs w:val="24"/>
          <w:lang w:val="en-GB" w:eastAsia="en-GB"/>
        </w:rPr>
      </w:pPr>
      <w:r w:rsidRPr="004B2EBA">
        <w:rPr>
          <w:rFonts w:eastAsia="Times New Roman"/>
          <w:b/>
          <w:bCs/>
          <w:sz w:val="24"/>
          <w:szCs w:val="24"/>
          <w:lang w:val="en-GB" w:eastAsia="en-GB"/>
        </w:rPr>
        <w:t>5.5.1 Overview of Optimi</w:t>
      </w:r>
      <w:r w:rsidR="002C3D9F" w:rsidRPr="004B2EBA">
        <w:rPr>
          <w:rFonts w:eastAsia="Times New Roman"/>
          <w:b/>
          <w:bCs/>
          <w:sz w:val="24"/>
          <w:szCs w:val="24"/>
          <w:lang w:val="en-GB" w:eastAsia="en-GB"/>
        </w:rPr>
        <w:t>z</w:t>
      </w:r>
      <w:r w:rsidRPr="004B2EBA">
        <w:rPr>
          <w:rFonts w:eastAsia="Times New Roman"/>
          <w:b/>
          <w:bCs/>
          <w:sz w:val="24"/>
          <w:szCs w:val="24"/>
          <w:lang w:val="en-GB" w:eastAsia="en-GB"/>
        </w:rPr>
        <w:t>ation Methods Used</w:t>
      </w:r>
    </w:p>
    <w:p w14:paraId="5B8E7FB6" w14:textId="47968865" w:rsidR="00B70F48" w:rsidRPr="000C4E0D" w:rsidRDefault="00B70F48" w:rsidP="000C4E0D">
      <w:pPr>
        <w:tabs>
          <w:tab w:val="left" w:pos="2552"/>
        </w:tabs>
        <w:spacing w:before="100" w:beforeAutospacing="1" w:after="100" w:afterAutospacing="1" w:line="240" w:lineRule="auto"/>
        <w:ind w:left="2552"/>
        <w:rPr>
          <w:rFonts w:eastAsia="Times New Roman"/>
          <w:lang w:val="en-GB" w:eastAsia="en-GB"/>
        </w:rPr>
      </w:pPr>
      <w:r w:rsidRPr="000C4E0D">
        <w:rPr>
          <w:rFonts w:eastAsia="Times New Roman"/>
          <w:lang w:val="en-GB" w:eastAsia="en-GB"/>
        </w:rPr>
        <w:t>Across the reviewed literature, optimi</w:t>
      </w:r>
      <w:r w:rsidR="002C3D9F" w:rsidRPr="000C4E0D">
        <w:rPr>
          <w:rFonts w:eastAsia="Times New Roman"/>
          <w:lang w:val="en-GB" w:eastAsia="en-GB"/>
        </w:rPr>
        <w:t>z</w:t>
      </w:r>
      <w:r w:rsidRPr="000C4E0D">
        <w:rPr>
          <w:rFonts w:eastAsia="Times New Roman"/>
          <w:lang w:val="en-GB" w:eastAsia="en-GB"/>
        </w:rPr>
        <w:t>ation studies of hybrid wave–wind platforms have employed four principal classes of method, each with distinct strengths and limitations depending on the nature of the design problem addressed [</w:t>
      </w:r>
      <w:r w:rsidR="00A9390E">
        <w:rPr>
          <w:rFonts w:eastAsia="Times New Roman"/>
          <w:lang w:val="en-GB" w:eastAsia="en-GB"/>
        </w:rPr>
        <w:t>19,</w:t>
      </w:r>
      <w:r w:rsidR="000D1316" w:rsidRPr="000C4E0D">
        <w:rPr>
          <w:rFonts w:eastAsia="Times New Roman"/>
          <w:lang w:val="en-GB" w:eastAsia="en-GB"/>
        </w:rPr>
        <w:t>42</w:t>
      </w:r>
      <w:r w:rsidRPr="000C4E0D">
        <w:rPr>
          <w:rFonts w:eastAsia="Times New Roman"/>
          <w:lang w:val="en-GB" w:eastAsia="en-GB"/>
        </w:rPr>
        <w:t>].</w:t>
      </w:r>
    </w:p>
    <w:p w14:paraId="04C6583D" w14:textId="13438679" w:rsidR="00B70F48" w:rsidRPr="000C4E0D" w:rsidRDefault="00B70F48" w:rsidP="000C4E0D">
      <w:pPr>
        <w:tabs>
          <w:tab w:val="left" w:pos="2552"/>
        </w:tabs>
        <w:spacing w:before="100" w:beforeAutospacing="1" w:after="100" w:afterAutospacing="1" w:line="240" w:lineRule="auto"/>
        <w:ind w:left="2552"/>
        <w:rPr>
          <w:rFonts w:eastAsia="Times New Roman"/>
          <w:lang w:val="en-GB" w:eastAsia="en-GB"/>
        </w:rPr>
      </w:pPr>
      <w:r w:rsidRPr="000C4E0D">
        <w:rPr>
          <w:rFonts w:eastAsia="Times New Roman"/>
          <w:lang w:val="en-GB" w:eastAsia="en-GB"/>
        </w:rPr>
        <w:lastRenderedPageBreak/>
        <w:t>Gradient-based methods have been applied primarily to single-objective PTO tuning problems where the objective function is smooth and differentiable, such as the maximisation of wave power absorption subject to a fixed platform geometry [</w:t>
      </w:r>
      <w:r w:rsidR="005350FB">
        <w:rPr>
          <w:rFonts w:eastAsia="Times New Roman"/>
          <w:lang w:val="en-GB" w:eastAsia="en-GB"/>
        </w:rPr>
        <w:t>88,89</w:t>
      </w:r>
      <w:r w:rsidRPr="000C4E0D">
        <w:rPr>
          <w:rFonts w:eastAsia="Times New Roman"/>
          <w:lang w:val="en-GB" w:eastAsia="en-GB"/>
        </w:rPr>
        <w:t>]. These methods offer computational efficiency and are well suited to problems with a limited number of continuous design variables, but their reliance on local search makes them poorly suited to the non-convex, multimodal design spaces characteristic of full hybrid platform optimi</w:t>
      </w:r>
      <w:r w:rsidR="002C3D9F" w:rsidRPr="000C4E0D">
        <w:rPr>
          <w:rFonts w:eastAsia="Times New Roman"/>
          <w:lang w:val="en-GB" w:eastAsia="en-GB"/>
        </w:rPr>
        <w:t>z</w:t>
      </w:r>
      <w:r w:rsidRPr="000C4E0D">
        <w:rPr>
          <w:rFonts w:eastAsia="Times New Roman"/>
          <w:lang w:val="en-GB" w:eastAsia="en-GB"/>
        </w:rPr>
        <w:t>ation [</w:t>
      </w:r>
      <w:r w:rsidR="000D1316" w:rsidRPr="000C4E0D">
        <w:rPr>
          <w:rFonts w:eastAsia="Times New Roman"/>
          <w:lang w:val="en-GB" w:eastAsia="en-GB"/>
        </w:rPr>
        <w:t>42</w:t>
      </w:r>
      <w:r w:rsidRPr="000C4E0D">
        <w:rPr>
          <w:rFonts w:eastAsia="Times New Roman"/>
          <w:lang w:val="en-GB" w:eastAsia="en-GB"/>
        </w:rPr>
        <w:t>,</w:t>
      </w:r>
      <w:r w:rsidR="00653745" w:rsidRPr="000C4E0D">
        <w:rPr>
          <w:rFonts w:eastAsia="Times New Roman"/>
          <w:lang w:val="en-GB" w:eastAsia="en-GB"/>
        </w:rPr>
        <w:t>73</w:t>
      </w:r>
      <w:r w:rsidRPr="000C4E0D">
        <w:rPr>
          <w:rFonts w:eastAsia="Times New Roman"/>
          <w:lang w:val="en-GB" w:eastAsia="en-GB"/>
        </w:rPr>
        <w:t>]. Studies by Ringwood et al. represent the most systematic application of gradient-based control optimi</w:t>
      </w:r>
      <w:r w:rsidR="002C3D9F" w:rsidRPr="000C4E0D">
        <w:rPr>
          <w:rFonts w:eastAsia="Times New Roman"/>
          <w:lang w:val="en-GB" w:eastAsia="en-GB"/>
        </w:rPr>
        <w:t>z</w:t>
      </w:r>
      <w:r w:rsidRPr="000C4E0D">
        <w:rPr>
          <w:rFonts w:eastAsia="Times New Roman"/>
          <w:lang w:val="en-GB" w:eastAsia="en-GB"/>
        </w:rPr>
        <w:t>ation to WEC systems, demonstrating that optimal PTO control can increase wave energy capture by 50–100% relative to passive damping configurations [</w:t>
      </w:r>
      <w:r w:rsidR="005350FB">
        <w:rPr>
          <w:rFonts w:eastAsia="Times New Roman"/>
          <w:lang w:val="en-GB" w:eastAsia="en-GB"/>
        </w:rPr>
        <w:t>88,89</w:t>
      </w:r>
      <w:r w:rsidRPr="000C4E0D">
        <w:rPr>
          <w:rFonts w:eastAsia="Times New Roman"/>
          <w:lang w:val="en-GB" w:eastAsia="en-GB"/>
        </w:rPr>
        <w:t>].</w:t>
      </w:r>
    </w:p>
    <w:p w14:paraId="4833DDF2" w14:textId="19E51520" w:rsidR="00B70F48" w:rsidRPr="00AF09A8" w:rsidRDefault="00B70F48" w:rsidP="000C4E0D">
      <w:pPr>
        <w:tabs>
          <w:tab w:val="left" w:pos="2552"/>
        </w:tabs>
        <w:spacing w:before="100" w:beforeAutospacing="1" w:after="100" w:afterAutospacing="1" w:line="240" w:lineRule="auto"/>
        <w:ind w:left="2552"/>
        <w:rPr>
          <w:rFonts w:eastAsia="Times New Roman"/>
          <w:color w:val="000000" w:themeColor="text1"/>
          <w:lang w:val="en-GB" w:eastAsia="en-GB"/>
        </w:rPr>
      </w:pPr>
      <w:r w:rsidRPr="000C4E0D">
        <w:rPr>
          <w:rFonts w:eastAsia="Times New Roman"/>
          <w:lang w:val="en-GB" w:eastAsia="en-GB"/>
        </w:rPr>
        <w:t>Genetic algorithms and evolutionary strategies have been applied more broadly to multi-objective layout and geometry optimi</w:t>
      </w:r>
      <w:r w:rsidR="002C3D9F" w:rsidRPr="000C4E0D">
        <w:rPr>
          <w:rFonts w:eastAsia="Times New Roman"/>
          <w:lang w:val="en-GB" w:eastAsia="en-GB"/>
        </w:rPr>
        <w:t>z</w:t>
      </w:r>
      <w:r w:rsidRPr="000C4E0D">
        <w:rPr>
          <w:rFonts w:eastAsia="Times New Roman"/>
          <w:lang w:val="en-GB" w:eastAsia="en-GB"/>
        </w:rPr>
        <w:t>ation problems where the design space is non-convex and objective functions are computationally expensive to evaluate [</w:t>
      </w:r>
      <w:r w:rsidR="00A9390E">
        <w:rPr>
          <w:rFonts w:eastAsia="Times New Roman"/>
          <w:lang w:val="en-GB" w:eastAsia="en-GB"/>
        </w:rPr>
        <w:t>14,</w:t>
      </w:r>
      <w:r w:rsidR="000D1316" w:rsidRPr="000C4E0D">
        <w:rPr>
          <w:rFonts w:eastAsia="Times New Roman"/>
          <w:lang w:val="en-GB" w:eastAsia="en-GB"/>
        </w:rPr>
        <w:t>42</w:t>
      </w:r>
      <w:r w:rsidRPr="000C4E0D">
        <w:rPr>
          <w:rFonts w:eastAsia="Times New Roman"/>
          <w:lang w:val="en-GB" w:eastAsia="en-GB"/>
        </w:rPr>
        <w:t xml:space="preserve">]. These population-based methods are well suited to exploring high-dimensional design spaces and handling competing objectives simultaneously, making them the </w:t>
      </w:r>
      <w:proofErr w:type="gramStart"/>
      <w:r w:rsidRPr="000C4E0D">
        <w:rPr>
          <w:rFonts w:eastAsia="Times New Roman"/>
          <w:lang w:val="en-GB" w:eastAsia="en-GB"/>
        </w:rPr>
        <w:t>most commonly employed</w:t>
      </w:r>
      <w:proofErr w:type="gramEnd"/>
      <w:r w:rsidRPr="000C4E0D">
        <w:rPr>
          <w:rFonts w:eastAsia="Times New Roman"/>
          <w:lang w:val="en-GB" w:eastAsia="en-GB"/>
        </w:rPr>
        <w:t xml:space="preserve"> optimi</w:t>
      </w:r>
      <w:r w:rsidR="00E76503" w:rsidRPr="000C4E0D">
        <w:rPr>
          <w:rFonts w:eastAsia="Times New Roman"/>
          <w:lang w:val="en-GB" w:eastAsia="en-GB"/>
        </w:rPr>
        <w:t>z</w:t>
      </w:r>
      <w:r w:rsidRPr="000C4E0D">
        <w:rPr>
          <w:rFonts w:eastAsia="Times New Roman"/>
          <w:lang w:val="en-GB" w:eastAsia="en-GB"/>
        </w:rPr>
        <w:t>ation class in the hybrid systems literature to date [</w:t>
      </w:r>
      <w:r w:rsidR="004E324E" w:rsidRPr="000C4E0D">
        <w:rPr>
          <w:rFonts w:eastAsia="Times New Roman"/>
          <w:lang w:val="en-GB" w:eastAsia="en-GB"/>
        </w:rPr>
        <w:t>19</w:t>
      </w:r>
      <w:r w:rsidRPr="000C4E0D">
        <w:rPr>
          <w:rFonts w:eastAsia="Times New Roman"/>
          <w:lang w:val="en-GB" w:eastAsia="en-GB"/>
        </w:rPr>
        <w:t>]. Studies by Sarmiento et al. have applied evolutionary optimi</w:t>
      </w:r>
      <w:r w:rsidR="002C3D9F" w:rsidRPr="000C4E0D">
        <w:rPr>
          <w:rFonts w:eastAsia="Times New Roman"/>
          <w:lang w:val="en-GB" w:eastAsia="en-GB"/>
        </w:rPr>
        <w:t>z</w:t>
      </w:r>
      <w:r w:rsidRPr="000C4E0D">
        <w:rPr>
          <w:rFonts w:eastAsia="Times New Roman"/>
          <w:lang w:val="en-GB" w:eastAsia="en-GB"/>
        </w:rPr>
        <w:t>ation to multi-use floating platform design, identifying PTO damping coefficient and WEC natural frequency as the most critical design variables for point absorber hybrids [</w:t>
      </w:r>
      <w:r w:rsidR="00A8433D">
        <w:rPr>
          <w:rFonts w:eastAsia="Times New Roman"/>
          <w:lang w:val="en-GB" w:eastAsia="en-GB"/>
        </w:rPr>
        <w:t>113</w:t>
      </w:r>
      <w:r w:rsidRPr="000C4E0D">
        <w:rPr>
          <w:rFonts w:eastAsia="Times New Roman"/>
          <w:lang w:val="en-GB" w:eastAsia="en-GB"/>
        </w:rPr>
        <w:t xml:space="preserve">]. </w:t>
      </w:r>
      <w:r w:rsidR="00D85276" w:rsidRPr="00AF09A8">
        <w:rPr>
          <w:rFonts w:eastAsia="Times New Roman"/>
          <w:color w:val="000000" w:themeColor="text1"/>
          <w:lang w:val="en-GB" w:eastAsia="en-GB"/>
        </w:rPr>
        <w:t>Cao et al. reviewed combined wind and wave energy harvesting devices and related coupling simulation techniques, highlighting the need for optimization approaches capable of accounting for coupled hydrodynamic response, structural loading, and energy performance [21]</w:t>
      </w:r>
      <w:r w:rsidRPr="00AF09A8">
        <w:rPr>
          <w:rFonts w:eastAsia="Times New Roman"/>
          <w:color w:val="000000" w:themeColor="text1"/>
          <w:lang w:val="en-GB" w:eastAsia="en-GB"/>
        </w:rPr>
        <w:t>.</w:t>
      </w:r>
    </w:p>
    <w:p w14:paraId="08D67930" w14:textId="2ED393BA" w:rsidR="00B70F48" w:rsidRPr="00AD6CB0" w:rsidRDefault="00B70F48" w:rsidP="000C4E0D">
      <w:pPr>
        <w:tabs>
          <w:tab w:val="left" w:pos="2552"/>
        </w:tabs>
        <w:spacing w:before="100" w:beforeAutospacing="1" w:after="100" w:afterAutospacing="1" w:line="240" w:lineRule="auto"/>
        <w:ind w:left="2552"/>
        <w:rPr>
          <w:rFonts w:eastAsia="Times New Roman"/>
          <w:color w:val="000000" w:themeColor="text1"/>
          <w:lang w:val="en-GB" w:eastAsia="en-GB"/>
        </w:rPr>
      </w:pPr>
      <w:r w:rsidRPr="00AD6CB0">
        <w:rPr>
          <w:rFonts w:eastAsia="Times New Roman"/>
          <w:color w:val="000000" w:themeColor="text1"/>
          <w:lang w:val="en-GB" w:eastAsia="en-GB"/>
        </w:rPr>
        <w:t>Surrogate-based optimi</w:t>
      </w:r>
      <w:r w:rsidR="002C3D9F" w:rsidRPr="00AD6CB0">
        <w:rPr>
          <w:rFonts w:eastAsia="Times New Roman"/>
          <w:color w:val="000000" w:themeColor="text1"/>
          <w:lang w:val="en-GB" w:eastAsia="en-GB"/>
        </w:rPr>
        <w:t>z</w:t>
      </w:r>
      <w:r w:rsidRPr="00AD6CB0">
        <w:rPr>
          <w:rFonts w:eastAsia="Times New Roman"/>
          <w:color w:val="000000" w:themeColor="text1"/>
          <w:lang w:val="en-GB" w:eastAsia="en-GB"/>
        </w:rPr>
        <w:t>ation using polynomial response surfaces or Gaussian process regression has been employed in studies where the computational cost of high-fidelity coupled hydrodynamic simulations makes direct optimi</w:t>
      </w:r>
      <w:r w:rsidR="002C3D9F" w:rsidRPr="00AD6CB0">
        <w:rPr>
          <w:rFonts w:eastAsia="Times New Roman"/>
          <w:color w:val="000000" w:themeColor="text1"/>
          <w:lang w:val="en-GB" w:eastAsia="en-GB"/>
        </w:rPr>
        <w:t>z</w:t>
      </w:r>
      <w:r w:rsidRPr="00AD6CB0">
        <w:rPr>
          <w:rFonts w:eastAsia="Times New Roman"/>
          <w:color w:val="000000" w:themeColor="text1"/>
          <w:lang w:val="en-GB" w:eastAsia="en-GB"/>
        </w:rPr>
        <w:t>ation impractical [</w:t>
      </w:r>
      <w:r w:rsidR="00A9390E" w:rsidRPr="00AD6CB0">
        <w:rPr>
          <w:rFonts w:eastAsia="Times New Roman"/>
          <w:color w:val="000000" w:themeColor="text1"/>
          <w:lang w:val="en-GB" w:eastAsia="en-GB"/>
        </w:rPr>
        <w:t>19,</w:t>
      </w:r>
      <w:r w:rsidR="000D1316" w:rsidRPr="00AD6CB0">
        <w:rPr>
          <w:rFonts w:eastAsia="Times New Roman"/>
          <w:color w:val="000000" w:themeColor="text1"/>
          <w:lang w:val="en-GB" w:eastAsia="en-GB"/>
        </w:rPr>
        <w:t>42</w:t>
      </w:r>
      <w:r w:rsidRPr="00AD6CB0">
        <w:rPr>
          <w:rFonts w:eastAsia="Times New Roman"/>
          <w:color w:val="000000" w:themeColor="text1"/>
          <w:lang w:val="en-GB" w:eastAsia="en-GB"/>
        </w:rPr>
        <w:t xml:space="preserve">]. </w:t>
      </w:r>
      <w:r w:rsidR="00C97380" w:rsidRPr="00AD6CB0">
        <w:rPr>
          <w:rFonts w:eastAsia="Times New Roman"/>
          <w:color w:val="000000" w:themeColor="text1"/>
          <w:lang w:val="en-GB" w:eastAsia="en-GB"/>
        </w:rPr>
        <w:t>By constructing a fast-to-evaluate surrogate model from a limited number of simulation runs, these methods enable more comprehensive exploration of the design space than would be feasible with direct simulation alone, particularly when simplified coupled-analysis methods are used to reduce computational cost in early-stage floating-platform studies [14,71,84].</w:t>
      </w:r>
      <w:r w:rsidRPr="00AD6CB0">
        <w:rPr>
          <w:rFonts w:eastAsia="Times New Roman"/>
          <w:color w:val="000000" w:themeColor="text1"/>
          <w:lang w:val="en-GB" w:eastAsia="en-GB"/>
        </w:rPr>
        <w:t xml:space="preserve"> </w:t>
      </w:r>
      <w:r w:rsidR="007F423B" w:rsidRPr="00AD6CB0">
        <w:rPr>
          <w:rFonts w:eastAsia="Times New Roman"/>
          <w:color w:val="000000" w:themeColor="text1"/>
          <w:lang w:val="en-GB" w:eastAsia="en-GB"/>
        </w:rPr>
        <w:t>Gomes et al. have developed optimization approaches for OWC wave-energy conversion, including hydrodynamic chamber optimization and aerodynamic turbine optimization, demonstrating that both chamber geometry and turbine design influence overall energy conversion performance [90,109].</w:t>
      </w:r>
      <w:r w:rsidRPr="00AD6CB0">
        <w:rPr>
          <w:rFonts w:eastAsia="Times New Roman"/>
          <w:color w:val="000000" w:themeColor="text1"/>
          <w:lang w:val="en-GB" w:eastAsia="en-GB"/>
        </w:rPr>
        <w:t xml:space="preserve"> </w:t>
      </w:r>
      <w:r w:rsidR="00BC3A80" w:rsidRPr="00AD6CB0">
        <w:rPr>
          <w:rFonts w:eastAsia="Times New Roman"/>
          <w:color w:val="000000" w:themeColor="text1"/>
          <w:lang w:val="en-GB" w:eastAsia="en-GB"/>
        </w:rPr>
        <w:t>Ansari et al. provide a broader review of optimization techniques applied to hybrid renewable energy systems, confirming their growing importance for hybrid platform design problems [91].</w:t>
      </w:r>
    </w:p>
    <w:p w14:paraId="26F3EBF9" w14:textId="2FA0B692" w:rsidR="00B70F48" w:rsidRPr="000C4E0D" w:rsidRDefault="00B70F48" w:rsidP="000C4E0D">
      <w:pPr>
        <w:tabs>
          <w:tab w:val="left" w:pos="2552"/>
        </w:tabs>
        <w:spacing w:before="100" w:beforeAutospacing="1" w:after="100" w:afterAutospacing="1" w:line="240" w:lineRule="auto"/>
        <w:ind w:left="2552"/>
        <w:rPr>
          <w:rFonts w:eastAsia="Times New Roman"/>
          <w:lang w:val="en-GB" w:eastAsia="en-GB"/>
        </w:rPr>
      </w:pPr>
      <w:r w:rsidRPr="000C4E0D">
        <w:rPr>
          <w:rFonts w:eastAsia="Times New Roman"/>
          <w:lang w:val="en-GB" w:eastAsia="en-GB"/>
        </w:rPr>
        <w:lastRenderedPageBreak/>
        <w:t>Reinforcement learning and data-driven optimi</w:t>
      </w:r>
      <w:r w:rsidR="002C3D9F" w:rsidRPr="000C4E0D">
        <w:rPr>
          <w:rFonts w:eastAsia="Times New Roman"/>
          <w:lang w:val="en-GB" w:eastAsia="en-GB"/>
        </w:rPr>
        <w:t>z</w:t>
      </w:r>
      <w:r w:rsidRPr="000C4E0D">
        <w:rPr>
          <w:rFonts w:eastAsia="Times New Roman"/>
          <w:lang w:val="en-GB" w:eastAsia="en-GB"/>
        </w:rPr>
        <w:t xml:space="preserve">ation represent the most recent class of method to be applied to hybrid system </w:t>
      </w:r>
      <w:r w:rsidR="00973CE2" w:rsidRPr="000C4E0D">
        <w:rPr>
          <w:rFonts w:eastAsia="Times New Roman"/>
          <w:lang w:val="en-GB" w:eastAsia="en-GB"/>
        </w:rPr>
        <w:t>design and</w:t>
      </w:r>
      <w:r w:rsidRPr="000C4E0D">
        <w:rPr>
          <w:rFonts w:eastAsia="Times New Roman"/>
          <w:lang w:val="en-GB" w:eastAsia="en-GB"/>
        </w:rPr>
        <w:t xml:space="preserve"> currently remain</w:t>
      </w:r>
      <w:r w:rsidR="00973CE2" w:rsidRPr="000C4E0D">
        <w:rPr>
          <w:rFonts w:eastAsia="Times New Roman"/>
          <w:lang w:val="en-GB" w:eastAsia="en-GB"/>
        </w:rPr>
        <w:t>s</w:t>
      </w:r>
      <w:r w:rsidRPr="000C4E0D">
        <w:rPr>
          <w:rFonts w:eastAsia="Times New Roman"/>
          <w:lang w:val="en-GB" w:eastAsia="en-GB"/>
        </w:rPr>
        <w:t xml:space="preserve"> primarily at the device level rather than the platform level [</w:t>
      </w:r>
      <w:r w:rsidR="00A9390E">
        <w:rPr>
          <w:rFonts w:eastAsia="Times New Roman"/>
          <w:lang w:val="en-GB" w:eastAsia="en-GB"/>
        </w:rPr>
        <w:t>14,</w:t>
      </w:r>
      <w:r w:rsidRPr="000C4E0D">
        <w:rPr>
          <w:rFonts w:eastAsia="Times New Roman"/>
          <w:lang w:val="en-GB" w:eastAsia="en-GB"/>
        </w:rPr>
        <w:t>93]. These approaches are particularly promising for real-time control optimi</w:t>
      </w:r>
      <w:r w:rsidR="002C3D9F" w:rsidRPr="000C4E0D">
        <w:rPr>
          <w:rFonts w:eastAsia="Times New Roman"/>
          <w:lang w:val="en-GB" w:eastAsia="en-GB"/>
        </w:rPr>
        <w:t>z</w:t>
      </w:r>
      <w:r w:rsidRPr="000C4E0D">
        <w:rPr>
          <w:rFonts w:eastAsia="Times New Roman"/>
          <w:lang w:val="en-GB" w:eastAsia="en-GB"/>
        </w:rPr>
        <w:t>ation under variable sea state conditions, where the ability to adapt PTO parameters continuously offers substantial performance gains over fixed passive damping strategies [</w:t>
      </w:r>
      <w:r w:rsidR="005350FB">
        <w:rPr>
          <w:rFonts w:eastAsia="Times New Roman"/>
          <w:lang w:val="en-GB" w:eastAsia="en-GB"/>
        </w:rPr>
        <w:t>88,89</w:t>
      </w:r>
      <w:r w:rsidRPr="000C4E0D">
        <w:rPr>
          <w:rFonts w:eastAsia="Times New Roman"/>
          <w:lang w:val="en-GB" w:eastAsia="en-GB"/>
        </w:rPr>
        <w:t xml:space="preserve">]. Wang et al. have demonstrated the applicability of data-driven control frameworks to floating offshore wind systems [18], and their extension to hybrid wave–wind platforms </w:t>
      </w:r>
      <w:r w:rsidR="00973CE2" w:rsidRPr="000C4E0D">
        <w:rPr>
          <w:rFonts w:eastAsia="Times New Roman"/>
          <w:lang w:val="en-GB" w:eastAsia="en-GB"/>
        </w:rPr>
        <w:t>represent</w:t>
      </w:r>
      <w:r w:rsidRPr="000C4E0D">
        <w:rPr>
          <w:rFonts w:eastAsia="Times New Roman"/>
          <w:lang w:val="en-GB" w:eastAsia="en-GB"/>
        </w:rPr>
        <w:t xml:space="preserve"> an active frontier in the field [</w:t>
      </w:r>
      <w:r w:rsidR="003D066A" w:rsidRPr="000C4E0D">
        <w:rPr>
          <w:rFonts w:eastAsia="Times New Roman"/>
          <w:lang w:val="en-GB" w:eastAsia="en-GB"/>
        </w:rPr>
        <w:t>14</w:t>
      </w:r>
      <w:r w:rsidRPr="000C4E0D">
        <w:rPr>
          <w:rFonts w:eastAsia="Times New Roman"/>
          <w:lang w:val="en-GB" w:eastAsia="en-GB"/>
        </w:rPr>
        <w:t>,</w:t>
      </w:r>
      <w:r w:rsidR="006D053D">
        <w:rPr>
          <w:rFonts w:eastAsia="Times New Roman"/>
          <w:lang w:val="en-GB" w:eastAsia="en-GB"/>
        </w:rPr>
        <w:t>84</w:t>
      </w:r>
      <w:r w:rsidRPr="000C4E0D">
        <w:rPr>
          <w:rFonts w:eastAsia="Times New Roman"/>
          <w:lang w:val="en-GB" w:eastAsia="en-GB"/>
        </w:rPr>
        <w:t>].</w:t>
      </w:r>
    </w:p>
    <w:p w14:paraId="76B07882" w14:textId="55BCE8DE" w:rsidR="00B70F48" w:rsidRPr="00C77D74" w:rsidRDefault="00C77D74" w:rsidP="000C4E0D">
      <w:pPr>
        <w:tabs>
          <w:tab w:val="left" w:pos="2552"/>
        </w:tabs>
        <w:spacing w:before="100" w:beforeAutospacing="1" w:after="100" w:afterAutospacing="1" w:line="240" w:lineRule="auto"/>
        <w:ind w:left="2552"/>
        <w:rPr>
          <w:rFonts w:eastAsia="Times New Roman"/>
          <w:sz w:val="16"/>
          <w:szCs w:val="16"/>
          <w:lang w:val="en-GB" w:eastAsia="en-GB"/>
        </w:rPr>
      </w:pPr>
      <w:r w:rsidRPr="00C77D74">
        <w:rPr>
          <w:rFonts w:eastAsia="Times New Roman"/>
          <w:b/>
          <w:bCs/>
          <w:lang w:val="en-GB" w:eastAsia="en-GB"/>
        </w:rPr>
        <w:t>Table 6.</w:t>
      </w:r>
      <w:r w:rsidRPr="00C77D74">
        <w:rPr>
          <w:rFonts w:eastAsia="Times New Roman"/>
          <w:lang w:val="en-GB" w:eastAsia="en-GB"/>
        </w:rPr>
        <w:t xml:space="preserve"> Mapping of optimization methods to hybrid wave–wind system types, design variables, objective functions, and key references.</w:t>
      </w:r>
    </w:p>
    <w:tbl>
      <w:tblPr>
        <w:tblW w:w="8255" w:type="dxa"/>
        <w:tblInd w:w="1390" w:type="dxa"/>
        <w:tblBorders>
          <w:top w:val="single" w:sz="4" w:space="0" w:color="999999"/>
          <w:left w:val="single" w:sz="4" w:space="0" w:color="999999"/>
          <w:bottom w:val="single" w:sz="4" w:space="0" w:color="999999"/>
          <w:right w:val="single" w:sz="4" w:space="0" w:color="999999"/>
          <w:insideH w:val="single" w:sz="4" w:space="0" w:color="CCCCCC"/>
          <w:insideV w:val="single" w:sz="4" w:space="0" w:color="CCCCCC"/>
        </w:tblBorders>
        <w:tblCellMar>
          <w:top w:w="60" w:type="dxa"/>
          <w:left w:w="100" w:type="dxa"/>
          <w:bottom w:w="60" w:type="dxa"/>
          <w:right w:w="100" w:type="dxa"/>
        </w:tblCellMar>
        <w:tblLook w:val="04A0" w:firstRow="1" w:lastRow="0" w:firstColumn="1" w:lastColumn="0" w:noHBand="0" w:noVBand="1"/>
      </w:tblPr>
      <w:tblGrid>
        <w:gridCol w:w="1229"/>
        <w:gridCol w:w="1323"/>
        <w:gridCol w:w="1662"/>
        <w:gridCol w:w="1662"/>
        <w:gridCol w:w="1067"/>
        <w:gridCol w:w="1312"/>
      </w:tblGrid>
      <w:tr w:rsidR="00B70F48" w:rsidRPr="000C4E0D" w14:paraId="016247B5" w14:textId="77777777" w:rsidTr="00AD6CB0">
        <w:trPr>
          <w:trHeight w:val="644"/>
        </w:trPr>
        <w:tc>
          <w:tcPr>
            <w:tcW w:w="1229" w:type="dxa"/>
            <w:shd w:val="clear" w:color="auto" w:fill="AEAAAA" w:themeFill="background2" w:themeFillShade="BF"/>
            <w:tcMar>
              <w:top w:w="60" w:type="dxa"/>
              <w:left w:w="100" w:type="dxa"/>
              <w:bottom w:w="60" w:type="dxa"/>
              <w:right w:w="100" w:type="dxa"/>
            </w:tcMar>
          </w:tcPr>
          <w:p w14:paraId="24716FD7" w14:textId="77777777" w:rsidR="00B70F48" w:rsidRPr="00AD6CB0" w:rsidRDefault="00B70F48" w:rsidP="000C4E0D">
            <w:pPr>
              <w:tabs>
                <w:tab w:val="left" w:pos="2552"/>
              </w:tabs>
              <w:spacing w:line="240" w:lineRule="auto"/>
              <w:rPr>
                <w:b/>
                <w:bCs/>
                <w:sz w:val="16"/>
                <w:szCs w:val="16"/>
                <w:lang w:val="en-GB"/>
              </w:rPr>
            </w:pPr>
            <w:r w:rsidRPr="00AD6CB0">
              <w:rPr>
                <w:b/>
                <w:bCs/>
                <w:sz w:val="16"/>
                <w:szCs w:val="16"/>
                <w:lang w:val="en-GB"/>
              </w:rPr>
              <w:t>Hybrid Concept Type</w:t>
            </w:r>
          </w:p>
        </w:tc>
        <w:tc>
          <w:tcPr>
            <w:tcW w:w="1323" w:type="dxa"/>
            <w:shd w:val="clear" w:color="auto" w:fill="AEAAAA" w:themeFill="background2" w:themeFillShade="BF"/>
            <w:tcMar>
              <w:top w:w="60" w:type="dxa"/>
              <w:left w:w="100" w:type="dxa"/>
              <w:bottom w:w="60" w:type="dxa"/>
              <w:right w:w="100" w:type="dxa"/>
            </w:tcMar>
          </w:tcPr>
          <w:p w14:paraId="2EDC4D32" w14:textId="7849B0F9" w:rsidR="00B70F48" w:rsidRPr="00AD6CB0" w:rsidRDefault="00B70F48" w:rsidP="000C4E0D">
            <w:pPr>
              <w:tabs>
                <w:tab w:val="left" w:pos="2552"/>
              </w:tabs>
              <w:spacing w:line="240" w:lineRule="auto"/>
              <w:rPr>
                <w:b/>
                <w:bCs/>
                <w:sz w:val="16"/>
                <w:szCs w:val="16"/>
                <w:lang w:val="en-GB"/>
              </w:rPr>
            </w:pPr>
            <w:r w:rsidRPr="00AD6CB0">
              <w:rPr>
                <w:b/>
                <w:bCs/>
                <w:sz w:val="16"/>
                <w:szCs w:val="16"/>
                <w:lang w:val="en-GB"/>
              </w:rPr>
              <w:t>Optimi</w:t>
            </w:r>
            <w:r w:rsidR="002C3D9F" w:rsidRPr="00AD6CB0">
              <w:rPr>
                <w:b/>
                <w:bCs/>
                <w:sz w:val="16"/>
                <w:szCs w:val="16"/>
                <w:lang w:val="en-GB"/>
              </w:rPr>
              <w:t>z</w:t>
            </w:r>
            <w:r w:rsidRPr="00AD6CB0">
              <w:rPr>
                <w:b/>
                <w:bCs/>
                <w:sz w:val="16"/>
                <w:szCs w:val="16"/>
                <w:lang w:val="en-GB"/>
              </w:rPr>
              <w:t>ation Method</w:t>
            </w:r>
          </w:p>
        </w:tc>
        <w:tc>
          <w:tcPr>
            <w:tcW w:w="1662" w:type="dxa"/>
            <w:shd w:val="clear" w:color="auto" w:fill="AEAAAA" w:themeFill="background2" w:themeFillShade="BF"/>
            <w:tcMar>
              <w:top w:w="60" w:type="dxa"/>
              <w:left w:w="100" w:type="dxa"/>
              <w:bottom w:w="60" w:type="dxa"/>
              <w:right w:w="100" w:type="dxa"/>
            </w:tcMar>
          </w:tcPr>
          <w:p w14:paraId="548A3295" w14:textId="77777777" w:rsidR="00B70F48" w:rsidRPr="00AD6CB0" w:rsidRDefault="00B70F48" w:rsidP="000C4E0D">
            <w:pPr>
              <w:tabs>
                <w:tab w:val="left" w:pos="2552"/>
              </w:tabs>
              <w:spacing w:line="240" w:lineRule="auto"/>
              <w:rPr>
                <w:b/>
                <w:bCs/>
                <w:sz w:val="16"/>
                <w:szCs w:val="16"/>
                <w:lang w:val="en-GB"/>
              </w:rPr>
            </w:pPr>
            <w:r w:rsidRPr="00AD6CB0">
              <w:rPr>
                <w:b/>
                <w:bCs/>
                <w:sz w:val="16"/>
                <w:szCs w:val="16"/>
                <w:lang w:val="en-GB"/>
              </w:rPr>
              <w:t>Design Variables</w:t>
            </w:r>
          </w:p>
        </w:tc>
        <w:tc>
          <w:tcPr>
            <w:tcW w:w="1662" w:type="dxa"/>
            <w:shd w:val="clear" w:color="auto" w:fill="AEAAAA" w:themeFill="background2" w:themeFillShade="BF"/>
            <w:tcMar>
              <w:top w:w="60" w:type="dxa"/>
              <w:left w:w="100" w:type="dxa"/>
              <w:bottom w:w="60" w:type="dxa"/>
              <w:right w:w="100" w:type="dxa"/>
            </w:tcMar>
          </w:tcPr>
          <w:p w14:paraId="54C3598A" w14:textId="77777777" w:rsidR="00B70F48" w:rsidRPr="00AD6CB0" w:rsidRDefault="00B70F48" w:rsidP="000C4E0D">
            <w:pPr>
              <w:tabs>
                <w:tab w:val="left" w:pos="2552"/>
              </w:tabs>
              <w:spacing w:line="240" w:lineRule="auto"/>
              <w:rPr>
                <w:b/>
                <w:bCs/>
                <w:sz w:val="16"/>
                <w:szCs w:val="16"/>
                <w:lang w:val="en-GB"/>
              </w:rPr>
            </w:pPr>
            <w:r w:rsidRPr="00AD6CB0">
              <w:rPr>
                <w:b/>
                <w:bCs/>
                <w:sz w:val="16"/>
                <w:szCs w:val="16"/>
                <w:lang w:val="en-GB"/>
              </w:rPr>
              <w:t>Objective Function</w:t>
            </w:r>
          </w:p>
        </w:tc>
        <w:tc>
          <w:tcPr>
            <w:tcW w:w="1067" w:type="dxa"/>
            <w:shd w:val="clear" w:color="auto" w:fill="AEAAAA" w:themeFill="background2" w:themeFillShade="BF"/>
            <w:tcMar>
              <w:top w:w="60" w:type="dxa"/>
              <w:left w:w="100" w:type="dxa"/>
              <w:bottom w:w="60" w:type="dxa"/>
              <w:right w:w="100" w:type="dxa"/>
            </w:tcMar>
          </w:tcPr>
          <w:p w14:paraId="654EF40C" w14:textId="77777777" w:rsidR="00B70F48" w:rsidRPr="00AD6CB0" w:rsidRDefault="00B70F48" w:rsidP="000C4E0D">
            <w:pPr>
              <w:tabs>
                <w:tab w:val="left" w:pos="2552"/>
              </w:tabs>
              <w:spacing w:line="240" w:lineRule="auto"/>
              <w:rPr>
                <w:b/>
                <w:bCs/>
                <w:sz w:val="16"/>
                <w:szCs w:val="16"/>
                <w:lang w:val="en-GB"/>
              </w:rPr>
            </w:pPr>
            <w:r w:rsidRPr="00AD6CB0">
              <w:rPr>
                <w:b/>
                <w:bCs/>
                <w:sz w:val="16"/>
                <w:szCs w:val="16"/>
                <w:lang w:val="en-GB"/>
              </w:rPr>
              <w:t>Key Refs</w:t>
            </w:r>
          </w:p>
        </w:tc>
        <w:tc>
          <w:tcPr>
            <w:tcW w:w="1312" w:type="dxa"/>
            <w:shd w:val="clear" w:color="auto" w:fill="AEAAAA" w:themeFill="background2" w:themeFillShade="BF"/>
            <w:tcMar>
              <w:top w:w="60" w:type="dxa"/>
              <w:left w:w="100" w:type="dxa"/>
              <w:bottom w:w="60" w:type="dxa"/>
              <w:right w:w="100" w:type="dxa"/>
            </w:tcMar>
          </w:tcPr>
          <w:p w14:paraId="20F5664C" w14:textId="77777777" w:rsidR="00B70F48" w:rsidRPr="00AD6CB0" w:rsidRDefault="00B70F48" w:rsidP="000C4E0D">
            <w:pPr>
              <w:tabs>
                <w:tab w:val="left" w:pos="2552"/>
              </w:tabs>
              <w:spacing w:line="240" w:lineRule="auto"/>
              <w:rPr>
                <w:b/>
                <w:bCs/>
                <w:sz w:val="16"/>
                <w:szCs w:val="16"/>
                <w:lang w:val="en-GB"/>
              </w:rPr>
            </w:pPr>
            <w:r w:rsidRPr="00AD6CB0">
              <w:rPr>
                <w:b/>
                <w:bCs/>
                <w:sz w:val="16"/>
                <w:szCs w:val="16"/>
                <w:lang w:val="en-GB"/>
              </w:rPr>
              <w:t>Gap / Status</w:t>
            </w:r>
          </w:p>
        </w:tc>
      </w:tr>
      <w:tr w:rsidR="00B70F48" w:rsidRPr="000C4E0D" w14:paraId="02D05FEE" w14:textId="77777777" w:rsidTr="003A03D4">
        <w:trPr>
          <w:trHeight w:val="665"/>
        </w:trPr>
        <w:tc>
          <w:tcPr>
            <w:tcW w:w="1229" w:type="dxa"/>
            <w:tcMar>
              <w:top w:w="60" w:type="dxa"/>
              <w:left w:w="100" w:type="dxa"/>
              <w:bottom w:w="60" w:type="dxa"/>
              <w:right w:w="100" w:type="dxa"/>
            </w:tcMar>
          </w:tcPr>
          <w:p w14:paraId="326592EB" w14:textId="77777777" w:rsidR="00B70F48" w:rsidRPr="000C4E0D" w:rsidRDefault="00B70F48" w:rsidP="000C4E0D">
            <w:pPr>
              <w:tabs>
                <w:tab w:val="left" w:pos="2552"/>
              </w:tabs>
              <w:spacing w:line="240" w:lineRule="auto"/>
              <w:rPr>
                <w:sz w:val="16"/>
                <w:szCs w:val="16"/>
                <w:lang w:val="en-GB"/>
              </w:rPr>
            </w:pPr>
            <w:r w:rsidRPr="000C4E0D">
              <w:rPr>
                <w:sz w:val="16"/>
                <w:szCs w:val="16"/>
                <w:lang w:val="en-GB"/>
              </w:rPr>
              <w:t>Point absorber hybrid</w:t>
            </w:r>
          </w:p>
        </w:tc>
        <w:tc>
          <w:tcPr>
            <w:tcW w:w="1323" w:type="dxa"/>
            <w:tcMar>
              <w:top w:w="60" w:type="dxa"/>
              <w:left w:w="100" w:type="dxa"/>
              <w:bottom w:w="60" w:type="dxa"/>
              <w:right w:w="100" w:type="dxa"/>
            </w:tcMar>
          </w:tcPr>
          <w:p w14:paraId="7DC202A2" w14:textId="77777777" w:rsidR="00B70F48" w:rsidRPr="000C4E0D" w:rsidRDefault="00B70F48" w:rsidP="000C4E0D">
            <w:pPr>
              <w:tabs>
                <w:tab w:val="left" w:pos="2552"/>
              </w:tabs>
              <w:spacing w:line="240" w:lineRule="auto"/>
              <w:rPr>
                <w:sz w:val="16"/>
                <w:szCs w:val="16"/>
                <w:lang w:val="en-GB"/>
              </w:rPr>
            </w:pPr>
            <w:r w:rsidRPr="000C4E0D">
              <w:rPr>
                <w:sz w:val="16"/>
                <w:szCs w:val="16"/>
                <w:lang w:val="en-GB"/>
              </w:rPr>
              <w:t>Gradient-based</w:t>
            </w:r>
          </w:p>
        </w:tc>
        <w:tc>
          <w:tcPr>
            <w:tcW w:w="1662" w:type="dxa"/>
            <w:tcMar>
              <w:top w:w="60" w:type="dxa"/>
              <w:left w:w="100" w:type="dxa"/>
              <w:bottom w:w="60" w:type="dxa"/>
              <w:right w:w="100" w:type="dxa"/>
            </w:tcMar>
          </w:tcPr>
          <w:p w14:paraId="16EBEE36" w14:textId="77777777" w:rsidR="00B70F48" w:rsidRPr="000C4E0D" w:rsidRDefault="00B70F48" w:rsidP="000C4E0D">
            <w:pPr>
              <w:tabs>
                <w:tab w:val="left" w:pos="2552"/>
              </w:tabs>
              <w:spacing w:line="240" w:lineRule="auto"/>
              <w:rPr>
                <w:sz w:val="16"/>
                <w:szCs w:val="16"/>
                <w:lang w:val="en-GB"/>
              </w:rPr>
            </w:pPr>
            <w:r w:rsidRPr="000C4E0D">
              <w:rPr>
                <w:sz w:val="16"/>
                <w:szCs w:val="16"/>
                <w:lang w:val="en-GB"/>
              </w:rPr>
              <w:t>PTO damping coefficient</w:t>
            </w:r>
          </w:p>
        </w:tc>
        <w:tc>
          <w:tcPr>
            <w:tcW w:w="1662" w:type="dxa"/>
            <w:tcMar>
              <w:top w:w="60" w:type="dxa"/>
              <w:left w:w="100" w:type="dxa"/>
              <w:bottom w:w="60" w:type="dxa"/>
              <w:right w:w="100" w:type="dxa"/>
            </w:tcMar>
          </w:tcPr>
          <w:p w14:paraId="741E5851" w14:textId="77777777" w:rsidR="00B70F48" w:rsidRPr="000C4E0D" w:rsidRDefault="00B70F48" w:rsidP="000C4E0D">
            <w:pPr>
              <w:tabs>
                <w:tab w:val="left" w:pos="2552"/>
              </w:tabs>
              <w:spacing w:line="240" w:lineRule="auto"/>
              <w:rPr>
                <w:sz w:val="16"/>
                <w:szCs w:val="16"/>
                <w:lang w:val="en-GB"/>
              </w:rPr>
            </w:pPr>
            <w:r w:rsidRPr="000C4E0D">
              <w:rPr>
                <w:sz w:val="16"/>
                <w:szCs w:val="16"/>
                <w:lang w:val="en-GB"/>
              </w:rPr>
              <w:t>Maximise wave power absorption</w:t>
            </w:r>
          </w:p>
        </w:tc>
        <w:tc>
          <w:tcPr>
            <w:tcW w:w="1067" w:type="dxa"/>
            <w:tcMar>
              <w:top w:w="60" w:type="dxa"/>
              <w:left w:w="100" w:type="dxa"/>
              <w:bottom w:w="60" w:type="dxa"/>
              <w:right w:w="100" w:type="dxa"/>
            </w:tcMar>
          </w:tcPr>
          <w:p w14:paraId="4B2F1F4D" w14:textId="2F64DDB3" w:rsidR="00B70F48" w:rsidRPr="000C4E0D" w:rsidRDefault="00B70F48" w:rsidP="000C4E0D">
            <w:pPr>
              <w:tabs>
                <w:tab w:val="left" w:pos="2552"/>
              </w:tabs>
              <w:spacing w:line="240" w:lineRule="auto"/>
              <w:rPr>
                <w:sz w:val="16"/>
                <w:szCs w:val="16"/>
                <w:lang w:val="en-GB"/>
              </w:rPr>
            </w:pPr>
            <w:r w:rsidRPr="000C4E0D">
              <w:rPr>
                <w:sz w:val="16"/>
                <w:szCs w:val="16"/>
                <w:lang w:val="en-GB"/>
              </w:rPr>
              <w:t>[</w:t>
            </w:r>
            <w:r w:rsidR="00A9390E">
              <w:rPr>
                <w:sz w:val="16"/>
                <w:szCs w:val="16"/>
                <w:lang w:val="en-GB"/>
              </w:rPr>
              <w:t>72,</w:t>
            </w:r>
            <w:r w:rsidRPr="000C4E0D">
              <w:rPr>
                <w:sz w:val="16"/>
                <w:szCs w:val="16"/>
                <w:lang w:val="en-GB"/>
              </w:rPr>
              <w:t>93]</w:t>
            </w:r>
          </w:p>
        </w:tc>
        <w:tc>
          <w:tcPr>
            <w:tcW w:w="1312" w:type="dxa"/>
            <w:tcMar>
              <w:top w:w="60" w:type="dxa"/>
              <w:left w:w="100" w:type="dxa"/>
              <w:bottom w:w="60" w:type="dxa"/>
              <w:right w:w="100" w:type="dxa"/>
            </w:tcMar>
          </w:tcPr>
          <w:p w14:paraId="69D09AD2" w14:textId="77777777" w:rsidR="00B70F48" w:rsidRPr="000C4E0D" w:rsidRDefault="00B70F48" w:rsidP="000C4E0D">
            <w:pPr>
              <w:tabs>
                <w:tab w:val="left" w:pos="2552"/>
              </w:tabs>
              <w:spacing w:line="240" w:lineRule="auto"/>
              <w:rPr>
                <w:sz w:val="16"/>
                <w:szCs w:val="16"/>
                <w:lang w:val="en-GB"/>
              </w:rPr>
            </w:pPr>
            <w:r w:rsidRPr="000C4E0D">
              <w:rPr>
                <w:sz w:val="16"/>
                <w:szCs w:val="16"/>
                <w:lang w:val="en-GB"/>
              </w:rPr>
              <w:t>—</w:t>
            </w:r>
          </w:p>
        </w:tc>
      </w:tr>
      <w:tr w:rsidR="00B70F48" w:rsidRPr="000C4E0D" w14:paraId="6E25EADE" w14:textId="77777777" w:rsidTr="003A03D4">
        <w:trPr>
          <w:trHeight w:val="977"/>
        </w:trPr>
        <w:tc>
          <w:tcPr>
            <w:tcW w:w="1229" w:type="dxa"/>
            <w:tcMar>
              <w:top w:w="60" w:type="dxa"/>
              <w:left w:w="100" w:type="dxa"/>
              <w:bottom w:w="60" w:type="dxa"/>
              <w:right w:w="100" w:type="dxa"/>
            </w:tcMar>
          </w:tcPr>
          <w:p w14:paraId="0EFCE7AF" w14:textId="77777777" w:rsidR="00B70F48" w:rsidRPr="000C4E0D" w:rsidRDefault="00B70F48" w:rsidP="000C4E0D">
            <w:pPr>
              <w:tabs>
                <w:tab w:val="left" w:pos="2552"/>
              </w:tabs>
              <w:spacing w:line="240" w:lineRule="auto"/>
              <w:rPr>
                <w:sz w:val="16"/>
                <w:szCs w:val="16"/>
                <w:lang w:val="en-GB"/>
              </w:rPr>
            </w:pPr>
            <w:r w:rsidRPr="000C4E0D">
              <w:rPr>
                <w:sz w:val="16"/>
                <w:szCs w:val="16"/>
                <w:lang w:val="en-GB"/>
              </w:rPr>
              <w:t>Point absorber hybrid</w:t>
            </w:r>
          </w:p>
        </w:tc>
        <w:tc>
          <w:tcPr>
            <w:tcW w:w="1323" w:type="dxa"/>
            <w:tcMar>
              <w:top w:w="60" w:type="dxa"/>
              <w:left w:w="100" w:type="dxa"/>
              <w:bottom w:w="60" w:type="dxa"/>
              <w:right w:w="100" w:type="dxa"/>
            </w:tcMar>
          </w:tcPr>
          <w:p w14:paraId="1750DD3A" w14:textId="39C0AA41" w:rsidR="00B70F48" w:rsidRPr="000C4E0D" w:rsidRDefault="00B70F48" w:rsidP="000C4E0D">
            <w:pPr>
              <w:tabs>
                <w:tab w:val="left" w:pos="2552"/>
              </w:tabs>
              <w:spacing w:line="240" w:lineRule="auto"/>
              <w:rPr>
                <w:sz w:val="16"/>
                <w:szCs w:val="16"/>
                <w:lang w:val="en-GB"/>
              </w:rPr>
            </w:pPr>
            <w:r w:rsidRPr="000C4E0D">
              <w:rPr>
                <w:sz w:val="16"/>
                <w:szCs w:val="16"/>
                <w:lang w:val="en-GB"/>
              </w:rPr>
              <w:t>Genetic algorithm / evolutionary</w:t>
            </w:r>
            <w:r w:rsidR="00166A45">
              <w:rPr>
                <w:sz w:val="16"/>
                <w:szCs w:val="16"/>
                <w:lang w:val="en-GB"/>
              </w:rPr>
              <w:t xml:space="preserve"> / layout optimization</w:t>
            </w:r>
          </w:p>
        </w:tc>
        <w:tc>
          <w:tcPr>
            <w:tcW w:w="1662" w:type="dxa"/>
            <w:tcMar>
              <w:top w:w="60" w:type="dxa"/>
              <w:left w:w="100" w:type="dxa"/>
              <w:bottom w:w="60" w:type="dxa"/>
              <w:right w:w="100" w:type="dxa"/>
            </w:tcMar>
          </w:tcPr>
          <w:p w14:paraId="1443AA7A" w14:textId="77777777" w:rsidR="00B70F48" w:rsidRPr="000C4E0D" w:rsidRDefault="00B70F48" w:rsidP="000C4E0D">
            <w:pPr>
              <w:tabs>
                <w:tab w:val="left" w:pos="2552"/>
              </w:tabs>
              <w:spacing w:line="240" w:lineRule="auto"/>
              <w:rPr>
                <w:sz w:val="16"/>
                <w:szCs w:val="16"/>
                <w:lang w:val="en-GB"/>
              </w:rPr>
            </w:pPr>
            <w:r w:rsidRPr="000C4E0D">
              <w:rPr>
                <w:sz w:val="16"/>
                <w:szCs w:val="16"/>
                <w:lang w:val="en-GB"/>
              </w:rPr>
              <w:t>PTO damping, WEC natural frequency, spatial placement</w:t>
            </w:r>
          </w:p>
        </w:tc>
        <w:tc>
          <w:tcPr>
            <w:tcW w:w="1662" w:type="dxa"/>
            <w:tcMar>
              <w:top w:w="60" w:type="dxa"/>
              <w:left w:w="100" w:type="dxa"/>
              <w:bottom w:w="60" w:type="dxa"/>
              <w:right w:w="100" w:type="dxa"/>
            </w:tcMar>
          </w:tcPr>
          <w:p w14:paraId="02EFCAD6" w14:textId="77777777" w:rsidR="00B70F48" w:rsidRPr="000C4E0D" w:rsidRDefault="00B70F48" w:rsidP="000C4E0D">
            <w:pPr>
              <w:tabs>
                <w:tab w:val="left" w:pos="2552"/>
              </w:tabs>
              <w:spacing w:line="240" w:lineRule="auto"/>
              <w:rPr>
                <w:sz w:val="16"/>
                <w:szCs w:val="16"/>
                <w:lang w:val="en-GB"/>
              </w:rPr>
            </w:pPr>
            <w:r w:rsidRPr="000C4E0D">
              <w:rPr>
                <w:sz w:val="16"/>
                <w:szCs w:val="16"/>
                <w:lang w:val="en-GB"/>
              </w:rPr>
              <w:t>Maximise energy + minimise platform pitch</w:t>
            </w:r>
          </w:p>
        </w:tc>
        <w:tc>
          <w:tcPr>
            <w:tcW w:w="1067" w:type="dxa"/>
            <w:tcMar>
              <w:top w:w="60" w:type="dxa"/>
              <w:left w:w="100" w:type="dxa"/>
              <w:bottom w:w="60" w:type="dxa"/>
              <w:right w:w="100" w:type="dxa"/>
            </w:tcMar>
          </w:tcPr>
          <w:p w14:paraId="44453647" w14:textId="3F0668B8" w:rsidR="00B70F48" w:rsidRPr="00AD6CB0" w:rsidRDefault="00B70F48" w:rsidP="000C4E0D">
            <w:pPr>
              <w:tabs>
                <w:tab w:val="left" w:pos="2552"/>
              </w:tabs>
              <w:spacing w:line="240" w:lineRule="auto"/>
              <w:rPr>
                <w:color w:val="000000" w:themeColor="text1"/>
                <w:sz w:val="16"/>
                <w:szCs w:val="16"/>
                <w:lang w:val="en-GB"/>
              </w:rPr>
            </w:pPr>
            <w:r w:rsidRPr="00AD6CB0">
              <w:rPr>
                <w:color w:val="000000" w:themeColor="text1"/>
                <w:sz w:val="16"/>
                <w:szCs w:val="16"/>
                <w:lang w:val="en-GB"/>
              </w:rPr>
              <w:t>[</w:t>
            </w:r>
            <w:r w:rsidR="00A9390E" w:rsidRPr="00AD6CB0">
              <w:rPr>
                <w:color w:val="000000" w:themeColor="text1"/>
                <w:sz w:val="16"/>
                <w:szCs w:val="16"/>
                <w:lang w:val="en-GB"/>
              </w:rPr>
              <w:t>6</w:t>
            </w:r>
            <w:r w:rsidR="007D108A" w:rsidRPr="00AD6CB0">
              <w:rPr>
                <w:color w:val="000000" w:themeColor="text1"/>
                <w:sz w:val="16"/>
                <w:szCs w:val="16"/>
                <w:lang w:val="en-GB"/>
              </w:rPr>
              <w:t>2</w:t>
            </w:r>
            <w:r w:rsidR="00A9390E" w:rsidRPr="00AD6CB0">
              <w:rPr>
                <w:color w:val="000000" w:themeColor="text1"/>
                <w:sz w:val="16"/>
                <w:szCs w:val="16"/>
                <w:lang w:val="en-GB"/>
              </w:rPr>
              <w:t>,</w:t>
            </w:r>
            <w:r w:rsidR="00895E9B" w:rsidRPr="00AD6CB0">
              <w:rPr>
                <w:color w:val="000000" w:themeColor="text1"/>
                <w:sz w:val="16"/>
                <w:szCs w:val="16"/>
                <w:lang w:val="en-GB"/>
              </w:rPr>
              <w:t>6</w:t>
            </w:r>
            <w:r w:rsidR="007D108A" w:rsidRPr="00AD6CB0">
              <w:rPr>
                <w:color w:val="000000" w:themeColor="text1"/>
                <w:sz w:val="16"/>
                <w:szCs w:val="16"/>
                <w:lang w:val="en-GB"/>
              </w:rPr>
              <w:t>3</w:t>
            </w:r>
            <w:r w:rsidRPr="00AD6CB0">
              <w:rPr>
                <w:color w:val="000000" w:themeColor="text1"/>
                <w:sz w:val="16"/>
                <w:szCs w:val="16"/>
                <w:lang w:val="en-GB"/>
              </w:rPr>
              <w:t>,</w:t>
            </w:r>
            <w:r w:rsidR="00166A45" w:rsidRPr="00AD6CB0">
              <w:rPr>
                <w:color w:val="000000" w:themeColor="text1"/>
                <w:sz w:val="16"/>
                <w:szCs w:val="16"/>
                <w:lang w:val="en-GB"/>
              </w:rPr>
              <w:t>106</w:t>
            </w:r>
            <w:r w:rsidRPr="00AD6CB0">
              <w:rPr>
                <w:color w:val="000000" w:themeColor="text1"/>
                <w:sz w:val="16"/>
                <w:szCs w:val="16"/>
                <w:lang w:val="en-GB"/>
              </w:rPr>
              <w:t>]</w:t>
            </w:r>
          </w:p>
        </w:tc>
        <w:tc>
          <w:tcPr>
            <w:tcW w:w="1312" w:type="dxa"/>
            <w:tcMar>
              <w:top w:w="60" w:type="dxa"/>
              <w:left w:w="100" w:type="dxa"/>
              <w:bottom w:w="60" w:type="dxa"/>
              <w:right w:w="100" w:type="dxa"/>
            </w:tcMar>
          </w:tcPr>
          <w:p w14:paraId="2E402706" w14:textId="77777777" w:rsidR="00B70F48" w:rsidRPr="000C4E0D" w:rsidRDefault="00B70F48" w:rsidP="000C4E0D">
            <w:pPr>
              <w:tabs>
                <w:tab w:val="left" w:pos="2552"/>
              </w:tabs>
              <w:spacing w:line="240" w:lineRule="auto"/>
              <w:rPr>
                <w:sz w:val="16"/>
                <w:szCs w:val="16"/>
                <w:lang w:val="en-GB"/>
              </w:rPr>
            </w:pPr>
            <w:r w:rsidRPr="000C4E0D">
              <w:rPr>
                <w:sz w:val="16"/>
                <w:szCs w:val="16"/>
                <w:lang w:val="en-GB"/>
              </w:rPr>
              <w:t>—</w:t>
            </w:r>
          </w:p>
        </w:tc>
      </w:tr>
      <w:tr w:rsidR="00B70F48" w:rsidRPr="000C4E0D" w14:paraId="4FF3A5F8" w14:textId="77777777" w:rsidTr="003A03D4">
        <w:trPr>
          <w:trHeight w:val="977"/>
        </w:trPr>
        <w:tc>
          <w:tcPr>
            <w:tcW w:w="1229" w:type="dxa"/>
            <w:tcMar>
              <w:top w:w="60" w:type="dxa"/>
              <w:left w:w="100" w:type="dxa"/>
              <w:bottom w:w="60" w:type="dxa"/>
              <w:right w:w="100" w:type="dxa"/>
            </w:tcMar>
          </w:tcPr>
          <w:p w14:paraId="3FB030BF" w14:textId="77777777" w:rsidR="00B70F48" w:rsidRPr="000C4E0D" w:rsidRDefault="00B70F48" w:rsidP="000C4E0D">
            <w:pPr>
              <w:tabs>
                <w:tab w:val="left" w:pos="2552"/>
              </w:tabs>
              <w:spacing w:line="240" w:lineRule="auto"/>
              <w:rPr>
                <w:sz w:val="16"/>
                <w:szCs w:val="16"/>
                <w:lang w:val="en-GB"/>
              </w:rPr>
            </w:pPr>
            <w:r w:rsidRPr="000C4E0D">
              <w:rPr>
                <w:sz w:val="16"/>
                <w:szCs w:val="16"/>
                <w:lang w:val="en-GB"/>
              </w:rPr>
              <w:t>Point absorber hybrid</w:t>
            </w:r>
          </w:p>
        </w:tc>
        <w:tc>
          <w:tcPr>
            <w:tcW w:w="1323" w:type="dxa"/>
            <w:tcMar>
              <w:top w:w="60" w:type="dxa"/>
              <w:left w:w="100" w:type="dxa"/>
              <w:bottom w:w="60" w:type="dxa"/>
              <w:right w:w="100" w:type="dxa"/>
            </w:tcMar>
          </w:tcPr>
          <w:p w14:paraId="721E372D" w14:textId="3C2A0511" w:rsidR="001420DF" w:rsidRPr="000C4E0D" w:rsidRDefault="001420DF" w:rsidP="000C4E0D">
            <w:pPr>
              <w:pStyle w:val="NormalWeb"/>
              <w:rPr>
                <w:rFonts w:cstheme="majorBidi"/>
                <w:color w:val="auto"/>
                <w:sz w:val="16"/>
                <w:szCs w:val="21"/>
              </w:rPr>
            </w:pPr>
            <w:r w:rsidRPr="000C4E0D">
              <w:rPr>
                <w:rFonts w:cstheme="majorBidi"/>
                <w:sz w:val="16"/>
                <w:szCs w:val="21"/>
              </w:rPr>
              <w:t xml:space="preserve">Parametric sensitivity </w:t>
            </w:r>
            <w:r w:rsidR="00A85655" w:rsidRPr="000C4E0D">
              <w:rPr>
                <w:rFonts w:cstheme="majorBidi"/>
                <w:sz w:val="16"/>
                <w:szCs w:val="21"/>
              </w:rPr>
              <w:t>analysis (</w:t>
            </w:r>
            <w:r w:rsidR="00663DBE" w:rsidRPr="000C4E0D">
              <w:rPr>
                <w:rFonts w:cstheme="majorBidi"/>
                <w:sz w:val="16"/>
                <w:szCs w:val="16"/>
              </w:rPr>
              <w:t>sensitivity/exploration technique; not a formal optimization method)</w:t>
            </w:r>
          </w:p>
          <w:p w14:paraId="654AF104" w14:textId="0BAFCB7D" w:rsidR="00B70F48" w:rsidRPr="000C4E0D" w:rsidRDefault="00B70F48" w:rsidP="000C4E0D">
            <w:pPr>
              <w:tabs>
                <w:tab w:val="left" w:pos="2552"/>
              </w:tabs>
              <w:spacing w:line="240" w:lineRule="auto"/>
              <w:rPr>
                <w:sz w:val="16"/>
                <w:szCs w:val="16"/>
                <w:lang w:val="en-GB"/>
              </w:rPr>
            </w:pPr>
          </w:p>
        </w:tc>
        <w:tc>
          <w:tcPr>
            <w:tcW w:w="1662" w:type="dxa"/>
            <w:tcMar>
              <w:top w:w="60" w:type="dxa"/>
              <w:left w:w="100" w:type="dxa"/>
              <w:bottom w:w="60" w:type="dxa"/>
              <w:right w:w="100" w:type="dxa"/>
            </w:tcMar>
          </w:tcPr>
          <w:p w14:paraId="070D1A4C" w14:textId="77777777" w:rsidR="00B70F48" w:rsidRPr="000C4E0D" w:rsidRDefault="00B70F48" w:rsidP="000C4E0D">
            <w:pPr>
              <w:tabs>
                <w:tab w:val="left" w:pos="2552"/>
              </w:tabs>
              <w:spacing w:line="240" w:lineRule="auto"/>
              <w:rPr>
                <w:sz w:val="16"/>
                <w:szCs w:val="16"/>
                <w:lang w:val="en-GB"/>
              </w:rPr>
            </w:pPr>
            <w:r w:rsidRPr="000C4E0D">
              <w:rPr>
                <w:sz w:val="16"/>
                <w:szCs w:val="16"/>
                <w:lang w:val="en-GB"/>
              </w:rPr>
              <w:t>PTO damping, WEC spacing</w:t>
            </w:r>
          </w:p>
        </w:tc>
        <w:tc>
          <w:tcPr>
            <w:tcW w:w="1662" w:type="dxa"/>
            <w:tcMar>
              <w:top w:w="60" w:type="dxa"/>
              <w:left w:w="100" w:type="dxa"/>
              <w:bottom w:w="60" w:type="dxa"/>
              <w:right w:w="100" w:type="dxa"/>
            </w:tcMar>
          </w:tcPr>
          <w:p w14:paraId="1CB6820B" w14:textId="77777777" w:rsidR="00B70F48" w:rsidRPr="000C4E0D" w:rsidRDefault="00B70F48" w:rsidP="000C4E0D">
            <w:pPr>
              <w:tabs>
                <w:tab w:val="left" w:pos="2552"/>
              </w:tabs>
              <w:spacing w:line="240" w:lineRule="auto"/>
              <w:rPr>
                <w:sz w:val="16"/>
                <w:szCs w:val="16"/>
                <w:lang w:val="en-GB"/>
              </w:rPr>
            </w:pPr>
            <w:r w:rsidRPr="000C4E0D">
              <w:rPr>
                <w:sz w:val="16"/>
                <w:szCs w:val="16"/>
                <w:lang w:val="en-GB"/>
              </w:rPr>
              <w:t>Maximise energy capture and motion damping</w:t>
            </w:r>
          </w:p>
        </w:tc>
        <w:tc>
          <w:tcPr>
            <w:tcW w:w="1067" w:type="dxa"/>
            <w:tcMar>
              <w:top w:w="60" w:type="dxa"/>
              <w:left w:w="100" w:type="dxa"/>
              <w:bottom w:w="60" w:type="dxa"/>
              <w:right w:w="100" w:type="dxa"/>
            </w:tcMar>
          </w:tcPr>
          <w:p w14:paraId="20A7AED3" w14:textId="5D046C62" w:rsidR="00B70F48" w:rsidRPr="00AD6CB0" w:rsidRDefault="00B70F48" w:rsidP="000C4E0D">
            <w:pPr>
              <w:tabs>
                <w:tab w:val="left" w:pos="2552"/>
              </w:tabs>
              <w:spacing w:line="240" w:lineRule="auto"/>
              <w:rPr>
                <w:color w:val="000000" w:themeColor="text1"/>
                <w:sz w:val="16"/>
                <w:szCs w:val="16"/>
                <w:lang w:val="en-GB"/>
              </w:rPr>
            </w:pPr>
            <w:r w:rsidRPr="00AD6CB0">
              <w:rPr>
                <w:color w:val="000000" w:themeColor="text1"/>
                <w:sz w:val="16"/>
                <w:szCs w:val="16"/>
                <w:lang w:val="en-GB"/>
              </w:rPr>
              <w:t>[6</w:t>
            </w:r>
            <w:r w:rsidR="007D108A" w:rsidRPr="00AD6CB0">
              <w:rPr>
                <w:color w:val="000000" w:themeColor="text1"/>
                <w:sz w:val="16"/>
                <w:szCs w:val="16"/>
                <w:lang w:val="en-GB"/>
              </w:rPr>
              <w:t>2</w:t>
            </w:r>
            <w:r w:rsidRPr="00AD6CB0">
              <w:rPr>
                <w:color w:val="000000" w:themeColor="text1"/>
                <w:sz w:val="16"/>
                <w:szCs w:val="16"/>
                <w:lang w:val="en-GB"/>
              </w:rPr>
              <w:t>,6</w:t>
            </w:r>
            <w:r w:rsidR="007D108A" w:rsidRPr="00AD6CB0">
              <w:rPr>
                <w:color w:val="000000" w:themeColor="text1"/>
                <w:sz w:val="16"/>
                <w:szCs w:val="16"/>
                <w:lang w:val="en-GB"/>
              </w:rPr>
              <w:t>4</w:t>
            </w:r>
            <w:r w:rsidR="00A9390E" w:rsidRPr="00AD6CB0">
              <w:rPr>
                <w:color w:val="000000" w:themeColor="text1"/>
                <w:sz w:val="16"/>
                <w:szCs w:val="16"/>
                <w:lang w:val="en-GB"/>
              </w:rPr>
              <w:t>,96</w:t>
            </w:r>
            <w:r w:rsidRPr="00AD6CB0">
              <w:rPr>
                <w:color w:val="000000" w:themeColor="text1"/>
                <w:sz w:val="16"/>
                <w:szCs w:val="16"/>
                <w:lang w:val="en-GB"/>
              </w:rPr>
              <w:t>]</w:t>
            </w:r>
          </w:p>
        </w:tc>
        <w:tc>
          <w:tcPr>
            <w:tcW w:w="1312" w:type="dxa"/>
            <w:tcMar>
              <w:top w:w="60" w:type="dxa"/>
              <w:left w:w="100" w:type="dxa"/>
              <w:bottom w:w="60" w:type="dxa"/>
              <w:right w:w="100" w:type="dxa"/>
            </w:tcMar>
          </w:tcPr>
          <w:p w14:paraId="5BEA8B6C" w14:textId="77777777" w:rsidR="00B70F48" w:rsidRPr="000C4E0D" w:rsidRDefault="00B70F48" w:rsidP="000C4E0D">
            <w:pPr>
              <w:tabs>
                <w:tab w:val="left" w:pos="2552"/>
              </w:tabs>
              <w:spacing w:line="240" w:lineRule="auto"/>
              <w:rPr>
                <w:sz w:val="16"/>
                <w:szCs w:val="16"/>
                <w:lang w:val="en-GB"/>
              </w:rPr>
            </w:pPr>
            <w:r w:rsidRPr="000C4E0D">
              <w:rPr>
                <w:sz w:val="16"/>
                <w:szCs w:val="16"/>
                <w:lang w:val="en-GB"/>
              </w:rPr>
              <w:t>—</w:t>
            </w:r>
          </w:p>
        </w:tc>
      </w:tr>
      <w:tr w:rsidR="00B70F48" w:rsidRPr="000C4E0D" w14:paraId="21D6B849" w14:textId="77777777" w:rsidTr="003A03D4">
        <w:trPr>
          <w:trHeight w:val="977"/>
        </w:trPr>
        <w:tc>
          <w:tcPr>
            <w:tcW w:w="1229" w:type="dxa"/>
            <w:tcMar>
              <w:top w:w="60" w:type="dxa"/>
              <w:left w:w="100" w:type="dxa"/>
              <w:bottom w:w="60" w:type="dxa"/>
              <w:right w:w="100" w:type="dxa"/>
            </w:tcMar>
          </w:tcPr>
          <w:p w14:paraId="5132FEF9" w14:textId="77777777" w:rsidR="00B70F48" w:rsidRPr="000C4E0D" w:rsidRDefault="00B70F48" w:rsidP="000C4E0D">
            <w:pPr>
              <w:tabs>
                <w:tab w:val="left" w:pos="2552"/>
              </w:tabs>
              <w:spacing w:line="240" w:lineRule="auto"/>
              <w:rPr>
                <w:sz w:val="16"/>
                <w:szCs w:val="16"/>
                <w:lang w:val="en-GB"/>
              </w:rPr>
            </w:pPr>
            <w:r w:rsidRPr="000C4E0D">
              <w:rPr>
                <w:sz w:val="16"/>
                <w:szCs w:val="16"/>
                <w:lang w:val="en-GB"/>
              </w:rPr>
              <w:t>Point absorber hybrid</w:t>
            </w:r>
          </w:p>
        </w:tc>
        <w:tc>
          <w:tcPr>
            <w:tcW w:w="1323" w:type="dxa"/>
            <w:tcMar>
              <w:top w:w="60" w:type="dxa"/>
              <w:left w:w="100" w:type="dxa"/>
              <w:bottom w:w="60" w:type="dxa"/>
              <w:right w:w="100" w:type="dxa"/>
            </w:tcMar>
          </w:tcPr>
          <w:p w14:paraId="2C6C752B" w14:textId="77777777" w:rsidR="00B70F48" w:rsidRPr="000C4E0D" w:rsidRDefault="00B70F48" w:rsidP="000C4E0D">
            <w:pPr>
              <w:tabs>
                <w:tab w:val="left" w:pos="2552"/>
              </w:tabs>
              <w:spacing w:line="240" w:lineRule="auto"/>
              <w:rPr>
                <w:sz w:val="16"/>
                <w:szCs w:val="16"/>
                <w:lang w:val="en-GB"/>
              </w:rPr>
            </w:pPr>
            <w:r w:rsidRPr="000C4E0D">
              <w:rPr>
                <w:sz w:val="16"/>
                <w:szCs w:val="16"/>
                <w:lang w:val="en-GB"/>
              </w:rPr>
              <w:t>Reinforcement learning / data-driven</w:t>
            </w:r>
          </w:p>
        </w:tc>
        <w:tc>
          <w:tcPr>
            <w:tcW w:w="1662" w:type="dxa"/>
            <w:tcMar>
              <w:top w:w="60" w:type="dxa"/>
              <w:left w:w="100" w:type="dxa"/>
              <w:bottom w:w="60" w:type="dxa"/>
              <w:right w:w="100" w:type="dxa"/>
            </w:tcMar>
          </w:tcPr>
          <w:p w14:paraId="57D7BCE0" w14:textId="77777777" w:rsidR="00B70F48" w:rsidRPr="000C4E0D" w:rsidRDefault="00B70F48" w:rsidP="000C4E0D">
            <w:pPr>
              <w:tabs>
                <w:tab w:val="left" w:pos="2552"/>
              </w:tabs>
              <w:spacing w:line="240" w:lineRule="auto"/>
              <w:rPr>
                <w:sz w:val="16"/>
                <w:szCs w:val="16"/>
                <w:lang w:val="en-GB"/>
              </w:rPr>
            </w:pPr>
            <w:r w:rsidRPr="000C4E0D">
              <w:rPr>
                <w:sz w:val="16"/>
                <w:szCs w:val="16"/>
                <w:lang w:val="en-GB"/>
              </w:rPr>
              <w:t>Real-time PTO adaptation</w:t>
            </w:r>
          </w:p>
        </w:tc>
        <w:tc>
          <w:tcPr>
            <w:tcW w:w="1662" w:type="dxa"/>
            <w:tcMar>
              <w:top w:w="60" w:type="dxa"/>
              <w:left w:w="100" w:type="dxa"/>
              <w:bottom w:w="60" w:type="dxa"/>
              <w:right w:w="100" w:type="dxa"/>
            </w:tcMar>
          </w:tcPr>
          <w:p w14:paraId="0A75B771" w14:textId="77777777" w:rsidR="00B70F48" w:rsidRPr="000C4E0D" w:rsidRDefault="00B70F48" w:rsidP="000C4E0D">
            <w:pPr>
              <w:tabs>
                <w:tab w:val="left" w:pos="2552"/>
              </w:tabs>
              <w:spacing w:line="240" w:lineRule="auto"/>
              <w:rPr>
                <w:sz w:val="16"/>
                <w:szCs w:val="16"/>
                <w:lang w:val="en-GB"/>
              </w:rPr>
            </w:pPr>
            <w:r w:rsidRPr="000C4E0D">
              <w:rPr>
                <w:sz w:val="16"/>
                <w:szCs w:val="16"/>
                <w:lang w:val="en-GB"/>
              </w:rPr>
              <w:t>Maximise energy under variable sea states</w:t>
            </w:r>
          </w:p>
        </w:tc>
        <w:tc>
          <w:tcPr>
            <w:tcW w:w="1067" w:type="dxa"/>
            <w:tcMar>
              <w:top w:w="60" w:type="dxa"/>
              <w:left w:w="100" w:type="dxa"/>
              <w:bottom w:w="60" w:type="dxa"/>
              <w:right w:w="100" w:type="dxa"/>
            </w:tcMar>
          </w:tcPr>
          <w:p w14:paraId="610B2A43" w14:textId="30D40733" w:rsidR="00B70F48" w:rsidRPr="000C4E0D" w:rsidRDefault="00B70F48" w:rsidP="000C4E0D">
            <w:pPr>
              <w:tabs>
                <w:tab w:val="left" w:pos="2552"/>
              </w:tabs>
              <w:spacing w:line="240" w:lineRule="auto"/>
              <w:rPr>
                <w:sz w:val="16"/>
                <w:szCs w:val="16"/>
                <w:lang w:val="en-GB"/>
              </w:rPr>
            </w:pPr>
            <w:r w:rsidRPr="000C4E0D">
              <w:rPr>
                <w:sz w:val="16"/>
                <w:szCs w:val="16"/>
                <w:lang w:val="en-GB"/>
              </w:rPr>
              <w:t>[</w:t>
            </w:r>
            <w:r w:rsidR="00A9390E">
              <w:rPr>
                <w:sz w:val="16"/>
                <w:szCs w:val="16"/>
                <w:lang w:val="en-GB"/>
              </w:rPr>
              <w:t>14,</w:t>
            </w:r>
            <w:r w:rsidRPr="000C4E0D">
              <w:rPr>
                <w:sz w:val="16"/>
                <w:szCs w:val="16"/>
                <w:lang w:val="en-GB"/>
              </w:rPr>
              <w:t>93]</w:t>
            </w:r>
          </w:p>
        </w:tc>
        <w:tc>
          <w:tcPr>
            <w:tcW w:w="1312" w:type="dxa"/>
            <w:tcMar>
              <w:top w:w="60" w:type="dxa"/>
              <w:left w:w="100" w:type="dxa"/>
              <w:bottom w:w="60" w:type="dxa"/>
              <w:right w:w="100" w:type="dxa"/>
            </w:tcMar>
          </w:tcPr>
          <w:p w14:paraId="04613FBC" w14:textId="77777777" w:rsidR="00B70F48" w:rsidRPr="000C4E0D" w:rsidRDefault="00B70F48" w:rsidP="000C4E0D">
            <w:pPr>
              <w:tabs>
                <w:tab w:val="left" w:pos="2552"/>
              </w:tabs>
              <w:spacing w:line="240" w:lineRule="auto"/>
              <w:rPr>
                <w:sz w:val="16"/>
                <w:szCs w:val="16"/>
                <w:lang w:val="en-GB"/>
              </w:rPr>
            </w:pPr>
            <w:r w:rsidRPr="000C4E0D">
              <w:rPr>
                <w:sz w:val="16"/>
                <w:szCs w:val="16"/>
                <w:lang w:val="en-GB"/>
              </w:rPr>
              <w:t>Device level only — not yet at platform level</w:t>
            </w:r>
          </w:p>
        </w:tc>
      </w:tr>
      <w:tr w:rsidR="00B70F48" w:rsidRPr="000C4E0D" w14:paraId="7316B07C" w14:textId="77777777" w:rsidTr="003A03D4">
        <w:trPr>
          <w:trHeight w:val="977"/>
        </w:trPr>
        <w:tc>
          <w:tcPr>
            <w:tcW w:w="1229" w:type="dxa"/>
            <w:tcMar>
              <w:top w:w="60" w:type="dxa"/>
              <w:left w:w="100" w:type="dxa"/>
              <w:bottom w:w="60" w:type="dxa"/>
              <w:right w:w="100" w:type="dxa"/>
            </w:tcMar>
          </w:tcPr>
          <w:p w14:paraId="456889B5" w14:textId="77777777" w:rsidR="00B70F48" w:rsidRPr="00AD6CB0" w:rsidRDefault="00B70F48" w:rsidP="000C4E0D">
            <w:pPr>
              <w:tabs>
                <w:tab w:val="left" w:pos="2552"/>
              </w:tabs>
              <w:spacing w:line="240" w:lineRule="auto"/>
              <w:rPr>
                <w:color w:val="000000" w:themeColor="text1"/>
                <w:sz w:val="16"/>
                <w:szCs w:val="16"/>
                <w:lang w:val="en-GB"/>
              </w:rPr>
            </w:pPr>
            <w:r w:rsidRPr="00AD6CB0">
              <w:rPr>
                <w:color w:val="000000" w:themeColor="text1"/>
                <w:sz w:val="16"/>
                <w:szCs w:val="16"/>
                <w:lang w:val="en-GB"/>
              </w:rPr>
              <w:t>OWC hybrid</w:t>
            </w:r>
          </w:p>
        </w:tc>
        <w:tc>
          <w:tcPr>
            <w:tcW w:w="1323" w:type="dxa"/>
            <w:tcMar>
              <w:top w:w="60" w:type="dxa"/>
              <w:left w:w="100" w:type="dxa"/>
              <w:bottom w:w="60" w:type="dxa"/>
              <w:right w:w="100" w:type="dxa"/>
            </w:tcMar>
          </w:tcPr>
          <w:p w14:paraId="5677BFA4" w14:textId="6AA284C5" w:rsidR="00B70F48" w:rsidRPr="00AD6CB0" w:rsidRDefault="00E653CB" w:rsidP="00E653CB">
            <w:pPr>
              <w:tabs>
                <w:tab w:val="left" w:pos="2552"/>
              </w:tabs>
              <w:spacing w:line="240" w:lineRule="auto"/>
              <w:rPr>
                <w:color w:val="000000" w:themeColor="text1"/>
                <w:sz w:val="16"/>
                <w:szCs w:val="16"/>
                <w:lang w:val="en-GB"/>
              </w:rPr>
            </w:pPr>
            <w:r w:rsidRPr="00AD6CB0">
              <w:rPr>
                <w:color w:val="000000" w:themeColor="text1"/>
                <w:sz w:val="16"/>
                <w:szCs w:val="16"/>
                <w:lang w:val="en-GB"/>
              </w:rPr>
              <w:t>Geometry / aerodynamic optimization </w:t>
            </w:r>
          </w:p>
        </w:tc>
        <w:tc>
          <w:tcPr>
            <w:tcW w:w="1662" w:type="dxa"/>
            <w:tcMar>
              <w:top w:w="60" w:type="dxa"/>
              <w:left w:w="100" w:type="dxa"/>
              <w:bottom w:w="60" w:type="dxa"/>
              <w:right w:w="100" w:type="dxa"/>
            </w:tcMar>
          </w:tcPr>
          <w:p w14:paraId="4AFFDD14" w14:textId="590440C1" w:rsidR="00B70F48" w:rsidRPr="00AD6CB0" w:rsidRDefault="00A72D4D" w:rsidP="00A72D4D">
            <w:pPr>
              <w:tabs>
                <w:tab w:val="left" w:pos="2552"/>
              </w:tabs>
              <w:spacing w:line="240" w:lineRule="auto"/>
              <w:rPr>
                <w:color w:val="000000" w:themeColor="text1"/>
                <w:sz w:val="16"/>
                <w:szCs w:val="16"/>
                <w:lang w:val="en-GB"/>
              </w:rPr>
            </w:pPr>
            <w:r w:rsidRPr="00AD6CB0">
              <w:rPr>
                <w:color w:val="000000" w:themeColor="text1"/>
                <w:sz w:val="16"/>
                <w:szCs w:val="16"/>
                <w:lang w:val="en-GB"/>
              </w:rPr>
              <w:t>Chamber geometry, turbine blade geometry, PTO characteristics</w:t>
            </w:r>
          </w:p>
        </w:tc>
        <w:tc>
          <w:tcPr>
            <w:tcW w:w="1662" w:type="dxa"/>
            <w:tcMar>
              <w:top w:w="60" w:type="dxa"/>
              <w:left w:w="100" w:type="dxa"/>
              <w:bottom w:w="60" w:type="dxa"/>
              <w:right w:w="100" w:type="dxa"/>
            </w:tcMar>
          </w:tcPr>
          <w:p w14:paraId="711A7A02" w14:textId="77777777" w:rsidR="006E39B5" w:rsidRPr="00AD6CB0" w:rsidRDefault="006E39B5" w:rsidP="006E39B5">
            <w:pPr>
              <w:tabs>
                <w:tab w:val="left" w:pos="2552"/>
              </w:tabs>
              <w:spacing w:line="240" w:lineRule="auto"/>
              <w:rPr>
                <w:color w:val="000000" w:themeColor="text1"/>
                <w:sz w:val="16"/>
                <w:szCs w:val="16"/>
                <w:lang w:val="en-GB"/>
              </w:rPr>
            </w:pPr>
            <w:r w:rsidRPr="00AD6CB0">
              <w:rPr>
                <w:color w:val="000000" w:themeColor="text1"/>
                <w:sz w:val="16"/>
                <w:szCs w:val="16"/>
                <w:lang w:val="en-GB"/>
              </w:rPr>
              <w:t>Maximise wave-to-wire energy conversion</w:t>
            </w:r>
          </w:p>
          <w:p w14:paraId="54D134B0" w14:textId="331CC0BA" w:rsidR="00B70F48" w:rsidRPr="00AD6CB0" w:rsidRDefault="00B70F48" w:rsidP="000C4E0D">
            <w:pPr>
              <w:tabs>
                <w:tab w:val="left" w:pos="2552"/>
              </w:tabs>
              <w:spacing w:line="240" w:lineRule="auto"/>
              <w:rPr>
                <w:color w:val="000000" w:themeColor="text1"/>
                <w:sz w:val="16"/>
                <w:szCs w:val="16"/>
              </w:rPr>
            </w:pPr>
          </w:p>
        </w:tc>
        <w:tc>
          <w:tcPr>
            <w:tcW w:w="1067" w:type="dxa"/>
            <w:tcMar>
              <w:top w:w="60" w:type="dxa"/>
              <w:left w:w="100" w:type="dxa"/>
              <w:bottom w:w="60" w:type="dxa"/>
              <w:right w:w="100" w:type="dxa"/>
            </w:tcMar>
          </w:tcPr>
          <w:p w14:paraId="78DF1768" w14:textId="10786646" w:rsidR="00B70F48" w:rsidRPr="00AD6CB0" w:rsidRDefault="00B70F48" w:rsidP="000C4E0D">
            <w:pPr>
              <w:tabs>
                <w:tab w:val="left" w:pos="2552"/>
              </w:tabs>
              <w:spacing w:line="240" w:lineRule="auto"/>
              <w:rPr>
                <w:color w:val="000000" w:themeColor="text1"/>
                <w:sz w:val="16"/>
                <w:szCs w:val="16"/>
                <w:lang w:val="en-GB"/>
              </w:rPr>
            </w:pPr>
            <w:r w:rsidRPr="00AD6CB0">
              <w:rPr>
                <w:color w:val="000000" w:themeColor="text1"/>
                <w:sz w:val="16"/>
                <w:szCs w:val="16"/>
                <w:lang w:val="en-GB"/>
              </w:rPr>
              <w:t>[</w:t>
            </w:r>
            <w:r w:rsidR="006E39B5" w:rsidRPr="00AD6CB0">
              <w:rPr>
                <w:color w:val="000000" w:themeColor="text1"/>
                <w:sz w:val="16"/>
                <w:szCs w:val="16"/>
                <w:lang w:val="en-GB"/>
              </w:rPr>
              <w:t>66</w:t>
            </w:r>
            <w:r w:rsidR="00EE1028" w:rsidRPr="00AD6CB0">
              <w:rPr>
                <w:color w:val="000000" w:themeColor="text1"/>
                <w:sz w:val="16"/>
                <w:szCs w:val="16"/>
                <w:lang w:val="en-GB"/>
              </w:rPr>
              <w:t>,</w:t>
            </w:r>
            <w:r w:rsidR="006E39B5" w:rsidRPr="00AD6CB0">
              <w:rPr>
                <w:color w:val="000000" w:themeColor="text1"/>
                <w:sz w:val="16"/>
                <w:szCs w:val="16"/>
                <w:lang w:val="en-GB"/>
              </w:rPr>
              <w:t>90,</w:t>
            </w:r>
            <w:r w:rsidR="006D053D" w:rsidRPr="00AD6CB0">
              <w:rPr>
                <w:color w:val="000000" w:themeColor="text1"/>
                <w:sz w:val="16"/>
                <w:szCs w:val="16"/>
                <w:lang w:val="en-GB"/>
              </w:rPr>
              <w:t>109</w:t>
            </w:r>
            <w:r w:rsidRPr="00AD6CB0">
              <w:rPr>
                <w:color w:val="000000" w:themeColor="text1"/>
                <w:sz w:val="16"/>
                <w:szCs w:val="16"/>
                <w:lang w:val="en-GB"/>
              </w:rPr>
              <w:t>]</w:t>
            </w:r>
          </w:p>
        </w:tc>
        <w:tc>
          <w:tcPr>
            <w:tcW w:w="1312" w:type="dxa"/>
            <w:tcMar>
              <w:top w:w="60" w:type="dxa"/>
              <w:left w:w="100" w:type="dxa"/>
              <w:bottom w:w="60" w:type="dxa"/>
              <w:right w:w="100" w:type="dxa"/>
            </w:tcMar>
          </w:tcPr>
          <w:p w14:paraId="2191D7F6" w14:textId="77777777" w:rsidR="00B70F48" w:rsidRPr="000C4E0D" w:rsidRDefault="00B70F48" w:rsidP="000C4E0D">
            <w:pPr>
              <w:tabs>
                <w:tab w:val="left" w:pos="2552"/>
              </w:tabs>
              <w:spacing w:line="240" w:lineRule="auto"/>
              <w:rPr>
                <w:sz w:val="16"/>
                <w:szCs w:val="16"/>
                <w:lang w:val="en-GB"/>
              </w:rPr>
            </w:pPr>
            <w:r w:rsidRPr="000C4E0D">
              <w:rPr>
                <w:sz w:val="16"/>
                <w:szCs w:val="16"/>
                <w:lang w:val="en-GB"/>
              </w:rPr>
              <w:t>—</w:t>
            </w:r>
          </w:p>
        </w:tc>
      </w:tr>
      <w:tr w:rsidR="00B70F48" w:rsidRPr="000C4E0D" w14:paraId="7B9FCF5B" w14:textId="77777777" w:rsidTr="003A03D4">
        <w:trPr>
          <w:trHeight w:val="665"/>
        </w:trPr>
        <w:tc>
          <w:tcPr>
            <w:tcW w:w="1229" w:type="dxa"/>
            <w:tcMar>
              <w:top w:w="60" w:type="dxa"/>
              <w:left w:w="100" w:type="dxa"/>
              <w:bottom w:w="60" w:type="dxa"/>
              <w:right w:w="100" w:type="dxa"/>
            </w:tcMar>
          </w:tcPr>
          <w:p w14:paraId="487D871F" w14:textId="77777777" w:rsidR="00B70F48" w:rsidRPr="000C4E0D" w:rsidRDefault="00B70F48" w:rsidP="000C4E0D">
            <w:pPr>
              <w:tabs>
                <w:tab w:val="left" w:pos="2552"/>
              </w:tabs>
              <w:spacing w:line="240" w:lineRule="auto"/>
              <w:rPr>
                <w:sz w:val="16"/>
                <w:szCs w:val="16"/>
                <w:lang w:val="en-GB"/>
              </w:rPr>
            </w:pPr>
            <w:r w:rsidRPr="000C4E0D">
              <w:rPr>
                <w:sz w:val="16"/>
                <w:szCs w:val="16"/>
                <w:lang w:val="en-GB"/>
              </w:rPr>
              <w:lastRenderedPageBreak/>
              <w:t>OWC hybrid</w:t>
            </w:r>
          </w:p>
        </w:tc>
        <w:tc>
          <w:tcPr>
            <w:tcW w:w="1323" w:type="dxa"/>
            <w:tcMar>
              <w:top w:w="60" w:type="dxa"/>
              <w:left w:w="100" w:type="dxa"/>
              <w:bottom w:w="60" w:type="dxa"/>
              <w:right w:w="100" w:type="dxa"/>
            </w:tcMar>
          </w:tcPr>
          <w:p w14:paraId="12B596B1" w14:textId="77777777" w:rsidR="00B70F48" w:rsidRPr="000C4E0D" w:rsidRDefault="00B70F48" w:rsidP="000C4E0D">
            <w:pPr>
              <w:tabs>
                <w:tab w:val="left" w:pos="2552"/>
              </w:tabs>
              <w:spacing w:line="240" w:lineRule="auto"/>
              <w:rPr>
                <w:sz w:val="16"/>
                <w:szCs w:val="16"/>
                <w:lang w:val="en-GB"/>
              </w:rPr>
            </w:pPr>
            <w:r w:rsidRPr="000C4E0D">
              <w:rPr>
                <w:sz w:val="16"/>
                <w:szCs w:val="16"/>
                <w:lang w:val="en-GB"/>
              </w:rPr>
              <w:t>Gradient-based</w:t>
            </w:r>
          </w:p>
        </w:tc>
        <w:tc>
          <w:tcPr>
            <w:tcW w:w="1662" w:type="dxa"/>
            <w:tcMar>
              <w:top w:w="60" w:type="dxa"/>
              <w:left w:w="100" w:type="dxa"/>
              <w:bottom w:w="60" w:type="dxa"/>
              <w:right w:w="100" w:type="dxa"/>
            </w:tcMar>
          </w:tcPr>
          <w:p w14:paraId="5B62C364" w14:textId="77777777" w:rsidR="00B70F48" w:rsidRPr="000C4E0D" w:rsidRDefault="00B70F48" w:rsidP="000C4E0D">
            <w:pPr>
              <w:tabs>
                <w:tab w:val="left" w:pos="2552"/>
              </w:tabs>
              <w:spacing w:line="240" w:lineRule="auto"/>
              <w:rPr>
                <w:sz w:val="16"/>
                <w:szCs w:val="16"/>
                <w:lang w:val="en-GB"/>
              </w:rPr>
            </w:pPr>
            <w:r w:rsidRPr="000C4E0D">
              <w:rPr>
                <w:sz w:val="16"/>
                <w:szCs w:val="16"/>
                <w:lang w:val="en-GB"/>
              </w:rPr>
              <w:t>Chamber resonant frequency tuning</w:t>
            </w:r>
          </w:p>
        </w:tc>
        <w:tc>
          <w:tcPr>
            <w:tcW w:w="1662" w:type="dxa"/>
            <w:tcMar>
              <w:top w:w="60" w:type="dxa"/>
              <w:left w:w="100" w:type="dxa"/>
              <w:bottom w:w="60" w:type="dxa"/>
              <w:right w:w="100" w:type="dxa"/>
            </w:tcMar>
          </w:tcPr>
          <w:p w14:paraId="76EEAAEB" w14:textId="77777777" w:rsidR="00B70F48" w:rsidRPr="000C4E0D" w:rsidRDefault="00B70F48" w:rsidP="000C4E0D">
            <w:pPr>
              <w:tabs>
                <w:tab w:val="left" w:pos="2552"/>
              </w:tabs>
              <w:spacing w:line="240" w:lineRule="auto"/>
              <w:rPr>
                <w:sz w:val="16"/>
                <w:szCs w:val="16"/>
                <w:lang w:val="en-GB"/>
              </w:rPr>
            </w:pPr>
            <w:r w:rsidRPr="000C4E0D">
              <w:rPr>
                <w:sz w:val="16"/>
                <w:szCs w:val="16"/>
                <w:lang w:val="en-GB"/>
              </w:rPr>
              <w:t>Maximise power capture at target wave period</w:t>
            </w:r>
          </w:p>
        </w:tc>
        <w:tc>
          <w:tcPr>
            <w:tcW w:w="1067" w:type="dxa"/>
            <w:tcMar>
              <w:top w:w="60" w:type="dxa"/>
              <w:left w:w="100" w:type="dxa"/>
              <w:bottom w:w="60" w:type="dxa"/>
              <w:right w:w="100" w:type="dxa"/>
            </w:tcMar>
          </w:tcPr>
          <w:p w14:paraId="3D1FE02C" w14:textId="0F7716EF" w:rsidR="00B70F48" w:rsidRPr="000C4E0D" w:rsidRDefault="00B70F48" w:rsidP="000C4E0D">
            <w:pPr>
              <w:tabs>
                <w:tab w:val="left" w:pos="2552"/>
              </w:tabs>
              <w:spacing w:line="240" w:lineRule="auto"/>
              <w:rPr>
                <w:sz w:val="16"/>
                <w:szCs w:val="16"/>
                <w:lang w:val="en-GB"/>
              </w:rPr>
            </w:pPr>
            <w:r w:rsidRPr="000C4E0D">
              <w:rPr>
                <w:sz w:val="16"/>
                <w:szCs w:val="16"/>
                <w:lang w:val="en-GB"/>
              </w:rPr>
              <w:t>[</w:t>
            </w:r>
            <w:r w:rsidR="00A9390E">
              <w:rPr>
                <w:sz w:val="16"/>
                <w:szCs w:val="16"/>
                <w:lang w:val="en-GB"/>
              </w:rPr>
              <w:t>18,</w:t>
            </w:r>
            <w:r w:rsidRPr="000C4E0D">
              <w:rPr>
                <w:sz w:val="16"/>
                <w:szCs w:val="16"/>
                <w:lang w:val="en-GB"/>
              </w:rPr>
              <w:t>48,</w:t>
            </w:r>
            <w:r w:rsidR="00EE1028">
              <w:rPr>
                <w:sz w:val="16"/>
                <w:szCs w:val="16"/>
                <w:lang w:val="en-GB"/>
              </w:rPr>
              <w:t>86</w:t>
            </w:r>
            <w:r w:rsidRPr="000C4E0D">
              <w:rPr>
                <w:sz w:val="16"/>
                <w:szCs w:val="16"/>
                <w:lang w:val="en-GB"/>
              </w:rPr>
              <w:t>]</w:t>
            </w:r>
          </w:p>
        </w:tc>
        <w:tc>
          <w:tcPr>
            <w:tcW w:w="1312" w:type="dxa"/>
            <w:tcMar>
              <w:top w:w="60" w:type="dxa"/>
              <w:left w:w="100" w:type="dxa"/>
              <w:bottom w:w="60" w:type="dxa"/>
              <w:right w:w="100" w:type="dxa"/>
            </w:tcMar>
          </w:tcPr>
          <w:p w14:paraId="0AE7D9EB" w14:textId="77777777" w:rsidR="00B70F48" w:rsidRPr="000C4E0D" w:rsidRDefault="00B70F48" w:rsidP="000C4E0D">
            <w:pPr>
              <w:tabs>
                <w:tab w:val="left" w:pos="2552"/>
              </w:tabs>
              <w:spacing w:line="240" w:lineRule="auto"/>
              <w:rPr>
                <w:sz w:val="16"/>
                <w:szCs w:val="16"/>
                <w:lang w:val="en-GB"/>
              </w:rPr>
            </w:pPr>
            <w:r w:rsidRPr="000C4E0D">
              <w:rPr>
                <w:sz w:val="16"/>
                <w:szCs w:val="16"/>
                <w:lang w:val="en-GB"/>
              </w:rPr>
              <w:t>—</w:t>
            </w:r>
          </w:p>
        </w:tc>
      </w:tr>
      <w:tr w:rsidR="00B70F48" w:rsidRPr="000C4E0D" w14:paraId="71D1F731" w14:textId="77777777" w:rsidTr="003A03D4">
        <w:trPr>
          <w:trHeight w:val="644"/>
        </w:trPr>
        <w:tc>
          <w:tcPr>
            <w:tcW w:w="1229" w:type="dxa"/>
            <w:tcMar>
              <w:top w:w="60" w:type="dxa"/>
              <w:left w:w="100" w:type="dxa"/>
              <w:bottom w:w="60" w:type="dxa"/>
              <w:right w:w="100" w:type="dxa"/>
            </w:tcMar>
          </w:tcPr>
          <w:p w14:paraId="3CE2BEBC" w14:textId="77777777" w:rsidR="00B70F48" w:rsidRPr="000C4E0D" w:rsidRDefault="00B70F48" w:rsidP="000C4E0D">
            <w:pPr>
              <w:tabs>
                <w:tab w:val="left" w:pos="2552"/>
              </w:tabs>
              <w:spacing w:line="240" w:lineRule="auto"/>
              <w:rPr>
                <w:sz w:val="16"/>
                <w:szCs w:val="16"/>
                <w:lang w:val="en-GB"/>
              </w:rPr>
            </w:pPr>
            <w:r w:rsidRPr="000C4E0D">
              <w:rPr>
                <w:sz w:val="16"/>
                <w:szCs w:val="16"/>
                <w:lang w:val="en-GB"/>
              </w:rPr>
              <w:t>OWC hybrid</w:t>
            </w:r>
          </w:p>
        </w:tc>
        <w:tc>
          <w:tcPr>
            <w:tcW w:w="1323" w:type="dxa"/>
            <w:tcMar>
              <w:top w:w="60" w:type="dxa"/>
              <w:left w:w="100" w:type="dxa"/>
              <w:bottom w:w="60" w:type="dxa"/>
              <w:right w:w="100" w:type="dxa"/>
            </w:tcMar>
          </w:tcPr>
          <w:p w14:paraId="61BC02B1" w14:textId="137F1477" w:rsidR="00B70F48" w:rsidRPr="000C4E0D" w:rsidRDefault="00B70F48" w:rsidP="000C4E0D">
            <w:pPr>
              <w:tabs>
                <w:tab w:val="left" w:pos="2552"/>
              </w:tabs>
              <w:spacing w:line="240" w:lineRule="auto"/>
              <w:rPr>
                <w:sz w:val="16"/>
                <w:szCs w:val="16"/>
                <w:lang w:val="en-GB"/>
              </w:rPr>
            </w:pPr>
            <w:r w:rsidRPr="000C4E0D">
              <w:rPr>
                <w:sz w:val="16"/>
                <w:szCs w:val="16"/>
                <w:lang w:val="en-GB"/>
              </w:rPr>
              <w:t>Active control optimi</w:t>
            </w:r>
            <w:r w:rsidR="00E76503" w:rsidRPr="000C4E0D">
              <w:rPr>
                <w:sz w:val="16"/>
                <w:szCs w:val="16"/>
                <w:lang w:val="en-GB"/>
              </w:rPr>
              <w:t>z</w:t>
            </w:r>
            <w:r w:rsidRPr="000C4E0D">
              <w:rPr>
                <w:sz w:val="16"/>
                <w:szCs w:val="16"/>
                <w:lang w:val="en-GB"/>
              </w:rPr>
              <w:t>ation</w:t>
            </w:r>
          </w:p>
        </w:tc>
        <w:tc>
          <w:tcPr>
            <w:tcW w:w="1662" w:type="dxa"/>
            <w:tcMar>
              <w:top w:w="60" w:type="dxa"/>
              <w:left w:w="100" w:type="dxa"/>
              <w:bottom w:w="60" w:type="dxa"/>
              <w:right w:w="100" w:type="dxa"/>
            </w:tcMar>
          </w:tcPr>
          <w:p w14:paraId="04C03CB0" w14:textId="77777777" w:rsidR="00B70F48" w:rsidRPr="000C4E0D" w:rsidRDefault="00B70F48" w:rsidP="000C4E0D">
            <w:pPr>
              <w:tabs>
                <w:tab w:val="left" w:pos="2552"/>
              </w:tabs>
              <w:spacing w:line="240" w:lineRule="auto"/>
              <w:rPr>
                <w:sz w:val="16"/>
                <w:szCs w:val="16"/>
                <w:lang w:val="en-GB"/>
              </w:rPr>
            </w:pPr>
            <w:r w:rsidRPr="000C4E0D">
              <w:rPr>
                <w:sz w:val="16"/>
                <w:szCs w:val="16"/>
                <w:lang w:val="en-GB"/>
              </w:rPr>
              <w:t>Air turbine control strategy</w:t>
            </w:r>
          </w:p>
        </w:tc>
        <w:tc>
          <w:tcPr>
            <w:tcW w:w="1662" w:type="dxa"/>
            <w:tcMar>
              <w:top w:w="60" w:type="dxa"/>
              <w:left w:w="100" w:type="dxa"/>
              <w:bottom w:w="60" w:type="dxa"/>
              <w:right w:w="100" w:type="dxa"/>
            </w:tcMar>
          </w:tcPr>
          <w:p w14:paraId="5DE4CD21" w14:textId="77777777" w:rsidR="00B70F48" w:rsidRPr="000C4E0D" w:rsidRDefault="00B70F48" w:rsidP="000C4E0D">
            <w:pPr>
              <w:tabs>
                <w:tab w:val="left" w:pos="2552"/>
              </w:tabs>
              <w:spacing w:line="240" w:lineRule="auto"/>
              <w:rPr>
                <w:sz w:val="16"/>
                <w:szCs w:val="16"/>
                <w:lang w:val="en-GB"/>
              </w:rPr>
            </w:pPr>
            <w:r w:rsidRPr="000C4E0D">
              <w:rPr>
                <w:sz w:val="16"/>
                <w:szCs w:val="16"/>
                <w:lang w:val="en-GB"/>
              </w:rPr>
              <w:t>Improve off-resonance performance</w:t>
            </w:r>
          </w:p>
        </w:tc>
        <w:tc>
          <w:tcPr>
            <w:tcW w:w="1067" w:type="dxa"/>
            <w:tcMar>
              <w:top w:w="60" w:type="dxa"/>
              <w:left w:w="100" w:type="dxa"/>
              <w:bottom w:w="60" w:type="dxa"/>
              <w:right w:w="100" w:type="dxa"/>
            </w:tcMar>
          </w:tcPr>
          <w:p w14:paraId="2D9E56BD" w14:textId="28596041" w:rsidR="00B70F48" w:rsidRPr="000C4E0D" w:rsidRDefault="00B70F48" w:rsidP="000C4E0D">
            <w:pPr>
              <w:tabs>
                <w:tab w:val="left" w:pos="2552"/>
              </w:tabs>
              <w:spacing w:line="240" w:lineRule="auto"/>
              <w:rPr>
                <w:sz w:val="16"/>
                <w:szCs w:val="16"/>
                <w:lang w:val="en-GB"/>
              </w:rPr>
            </w:pPr>
            <w:r w:rsidRPr="000C4E0D">
              <w:rPr>
                <w:sz w:val="16"/>
                <w:szCs w:val="16"/>
                <w:lang w:val="en-GB"/>
              </w:rPr>
              <w:t>[</w:t>
            </w:r>
            <w:r w:rsidR="0032566F">
              <w:rPr>
                <w:sz w:val="16"/>
                <w:szCs w:val="16"/>
                <w:lang w:val="en-GB"/>
              </w:rPr>
              <w:t>66,67,</w:t>
            </w:r>
            <w:r w:rsidR="007E2E5F">
              <w:rPr>
                <w:sz w:val="16"/>
                <w:szCs w:val="16"/>
                <w:lang w:val="en-GB"/>
              </w:rPr>
              <w:t>88</w:t>
            </w:r>
            <w:r w:rsidRPr="000C4E0D">
              <w:rPr>
                <w:sz w:val="16"/>
                <w:szCs w:val="16"/>
                <w:lang w:val="en-GB"/>
              </w:rPr>
              <w:t>]</w:t>
            </w:r>
          </w:p>
        </w:tc>
        <w:tc>
          <w:tcPr>
            <w:tcW w:w="1312" w:type="dxa"/>
            <w:tcMar>
              <w:top w:w="60" w:type="dxa"/>
              <w:left w:w="100" w:type="dxa"/>
              <w:bottom w:w="60" w:type="dxa"/>
              <w:right w:w="100" w:type="dxa"/>
            </w:tcMar>
          </w:tcPr>
          <w:p w14:paraId="2E724BC8" w14:textId="77777777" w:rsidR="00B70F48" w:rsidRPr="000C4E0D" w:rsidRDefault="00B70F48" w:rsidP="000C4E0D">
            <w:pPr>
              <w:tabs>
                <w:tab w:val="left" w:pos="2552"/>
              </w:tabs>
              <w:spacing w:line="240" w:lineRule="auto"/>
              <w:rPr>
                <w:sz w:val="16"/>
                <w:szCs w:val="16"/>
                <w:lang w:val="en-GB"/>
              </w:rPr>
            </w:pPr>
            <w:r w:rsidRPr="000C4E0D">
              <w:rPr>
                <w:sz w:val="16"/>
                <w:szCs w:val="16"/>
                <w:lang w:val="en-GB"/>
              </w:rPr>
              <w:t>—</w:t>
            </w:r>
          </w:p>
        </w:tc>
      </w:tr>
      <w:tr w:rsidR="00B70F48" w:rsidRPr="000C4E0D" w14:paraId="77F9F8B8" w14:textId="77777777" w:rsidTr="003A03D4">
        <w:trPr>
          <w:trHeight w:val="998"/>
        </w:trPr>
        <w:tc>
          <w:tcPr>
            <w:tcW w:w="1229" w:type="dxa"/>
            <w:tcMar>
              <w:top w:w="60" w:type="dxa"/>
              <w:left w:w="100" w:type="dxa"/>
              <w:bottom w:w="60" w:type="dxa"/>
              <w:right w:w="100" w:type="dxa"/>
            </w:tcMar>
          </w:tcPr>
          <w:p w14:paraId="1F051434" w14:textId="77777777" w:rsidR="00B70F48" w:rsidRPr="000C4E0D" w:rsidRDefault="00B70F48" w:rsidP="000C4E0D">
            <w:pPr>
              <w:tabs>
                <w:tab w:val="left" w:pos="2552"/>
              </w:tabs>
              <w:spacing w:line="240" w:lineRule="auto"/>
              <w:rPr>
                <w:sz w:val="16"/>
                <w:szCs w:val="16"/>
                <w:lang w:val="en-GB"/>
              </w:rPr>
            </w:pPr>
            <w:r w:rsidRPr="000C4E0D">
              <w:rPr>
                <w:sz w:val="16"/>
                <w:szCs w:val="16"/>
                <w:lang w:val="en-GB"/>
              </w:rPr>
              <w:t>OWC hybrid</w:t>
            </w:r>
          </w:p>
        </w:tc>
        <w:tc>
          <w:tcPr>
            <w:tcW w:w="1323" w:type="dxa"/>
            <w:tcMar>
              <w:top w:w="60" w:type="dxa"/>
              <w:left w:w="100" w:type="dxa"/>
              <w:bottom w:w="60" w:type="dxa"/>
              <w:right w:w="100" w:type="dxa"/>
            </w:tcMar>
          </w:tcPr>
          <w:p w14:paraId="20E4DD0B" w14:textId="77777777" w:rsidR="00B70F48" w:rsidRPr="000C4E0D" w:rsidRDefault="00B70F48" w:rsidP="000C4E0D">
            <w:pPr>
              <w:tabs>
                <w:tab w:val="left" w:pos="2552"/>
              </w:tabs>
              <w:spacing w:line="240" w:lineRule="auto"/>
              <w:rPr>
                <w:sz w:val="16"/>
                <w:szCs w:val="16"/>
                <w:lang w:val="en-GB"/>
              </w:rPr>
            </w:pPr>
            <w:r w:rsidRPr="000C4E0D">
              <w:rPr>
                <w:sz w:val="16"/>
                <w:szCs w:val="16"/>
                <w:lang w:val="en-GB"/>
              </w:rPr>
              <w:t>Surrogate-based / meta-heuristic</w:t>
            </w:r>
          </w:p>
        </w:tc>
        <w:tc>
          <w:tcPr>
            <w:tcW w:w="1662" w:type="dxa"/>
            <w:tcMar>
              <w:top w:w="60" w:type="dxa"/>
              <w:left w:w="100" w:type="dxa"/>
              <w:bottom w:w="60" w:type="dxa"/>
              <w:right w:w="100" w:type="dxa"/>
            </w:tcMar>
          </w:tcPr>
          <w:p w14:paraId="0700B3C9" w14:textId="77777777" w:rsidR="00B70F48" w:rsidRPr="000C4E0D" w:rsidRDefault="00B70F48" w:rsidP="000C4E0D">
            <w:pPr>
              <w:tabs>
                <w:tab w:val="left" w:pos="2552"/>
              </w:tabs>
              <w:spacing w:line="240" w:lineRule="auto"/>
              <w:rPr>
                <w:sz w:val="16"/>
                <w:szCs w:val="16"/>
                <w:lang w:val="en-GB"/>
              </w:rPr>
            </w:pPr>
            <w:r w:rsidRPr="000C4E0D">
              <w:rPr>
                <w:sz w:val="16"/>
                <w:szCs w:val="16"/>
                <w:lang w:val="en-GB"/>
              </w:rPr>
              <w:t>Platform geometry, chamber integration</w:t>
            </w:r>
          </w:p>
        </w:tc>
        <w:tc>
          <w:tcPr>
            <w:tcW w:w="1662" w:type="dxa"/>
            <w:tcMar>
              <w:top w:w="60" w:type="dxa"/>
              <w:left w:w="100" w:type="dxa"/>
              <w:bottom w:w="60" w:type="dxa"/>
              <w:right w:w="100" w:type="dxa"/>
            </w:tcMar>
          </w:tcPr>
          <w:p w14:paraId="40FDCFC1" w14:textId="77777777" w:rsidR="00B70F48" w:rsidRPr="000C4E0D" w:rsidRDefault="00B70F48" w:rsidP="000C4E0D">
            <w:pPr>
              <w:tabs>
                <w:tab w:val="left" w:pos="2552"/>
              </w:tabs>
              <w:spacing w:line="240" w:lineRule="auto"/>
              <w:rPr>
                <w:sz w:val="16"/>
                <w:szCs w:val="16"/>
                <w:lang w:val="en-GB"/>
              </w:rPr>
            </w:pPr>
            <w:r w:rsidRPr="000C4E0D">
              <w:rPr>
                <w:sz w:val="16"/>
                <w:szCs w:val="16"/>
                <w:lang w:val="en-GB"/>
              </w:rPr>
              <w:t>Minimise CAPEX + maximise energy</w:t>
            </w:r>
          </w:p>
        </w:tc>
        <w:tc>
          <w:tcPr>
            <w:tcW w:w="1067" w:type="dxa"/>
            <w:tcMar>
              <w:top w:w="60" w:type="dxa"/>
              <w:left w:w="100" w:type="dxa"/>
              <w:bottom w:w="60" w:type="dxa"/>
              <w:right w:w="100" w:type="dxa"/>
            </w:tcMar>
          </w:tcPr>
          <w:p w14:paraId="6417FF9E" w14:textId="27CC39EF" w:rsidR="00B70F48" w:rsidRPr="00AD6CB0" w:rsidRDefault="00B70F48" w:rsidP="000C4E0D">
            <w:pPr>
              <w:tabs>
                <w:tab w:val="left" w:pos="2552"/>
              </w:tabs>
              <w:spacing w:line="240" w:lineRule="auto"/>
              <w:rPr>
                <w:color w:val="000000" w:themeColor="text1"/>
                <w:sz w:val="16"/>
                <w:szCs w:val="16"/>
                <w:lang w:val="en-GB"/>
              </w:rPr>
            </w:pPr>
            <w:r w:rsidRPr="00AD6CB0">
              <w:rPr>
                <w:color w:val="000000" w:themeColor="text1"/>
                <w:sz w:val="16"/>
                <w:szCs w:val="16"/>
                <w:lang w:val="en-GB"/>
              </w:rPr>
              <w:t>[</w:t>
            </w:r>
            <w:r w:rsidR="00825193" w:rsidRPr="00AD6CB0">
              <w:rPr>
                <w:color w:val="000000" w:themeColor="text1"/>
                <w:sz w:val="16"/>
                <w:szCs w:val="16"/>
                <w:lang w:val="en-GB"/>
              </w:rPr>
              <w:t>90, 109</w:t>
            </w:r>
            <w:r w:rsidRPr="00AD6CB0">
              <w:rPr>
                <w:color w:val="000000" w:themeColor="text1"/>
                <w:sz w:val="16"/>
                <w:szCs w:val="16"/>
                <w:lang w:val="en-GB"/>
              </w:rPr>
              <w:t>]</w:t>
            </w:r>
          </w:p>
        </w:tc>
        <w:tc>
          <w:tcPr>
            <w:tcW w:w="1312" w:type="dxa"/>
            <w:tcMar>
              <w:top w:w="60" w:type="dxa"/>
              <w:left w:w="100" w:type="dxa"/>
              <w:bottom w:w="60" w:type="dxa"/>
              <w:right w:w="100" w:type="dxa"/>
            </w:tcMar>
          </w:tcPr>
          <w:p w14:paraId="07B64ECE" w14:textId="0ED41F3A" w:rsidR="00B70F48" w:rsidRPr="000C4E0D" w:rsidRDefault="00B70F48" w:rsidP="000C4E0D">
            <w:pPr>
              <w:tabs>
                <w:tab w:val="left" w:pos="2552"/>
              </w:tabs>
              <w:spacing w:line="240" w:lineRule="auto"/>
              <w:rPr>
                <w:sz w:val="16"/>
                <w:szCs w:val="16"/>
                <w:lang w:val="en-GB"/>
              </w:rPr>
            </w:pPr>
            <w:r w:rsidRPr="000C4E0D">
              <w:rPr>
                <w:sz w:val="16"/>
                <w:szCs w:val="16"/>
                <w:lang w:val="en-GB"/>
              </w:rPr>
              <w:t>Fully coupled aero-hydrodynamic optimi</w:t>
            </w:r>
            <w:r w:rsidR="002C3D9F" w:rsidRPr="000C4E0D">
              <w:rPr>
                <w:sz w:val="16"/>
                <w:szCs w:val="16"/>
                <w:lang w:val="en-GB"/>
              </w:rPr>
              <w:t>z</w:t>
            </w:r>
            <w:r w:rsidRPr="000C4E0D">
              <w:rPr>
                <w:sz w:val="16"/>
                <w:szCs w:val="16"/>
                <w:lang w:val="en-GB"/>
              </w:rPr>
              <w:t>ation absent</w:t>
            </w:r>
          </w:p>
        </w:tc>
      </w:tr>
      <w:tr w:rsidR="00B70F48" w:rsidRPr="000C4E0D" w14:paraId="353966CC" w14:textId="77777777" w:rsidTr="003A03D4">
        <w:trPr>
          <w:trHeight w:val="977"/>
        </w:trPr>
        <w:tc>
          <w:tcPr>
            <w:tcW w:w="1229" w:type="dxa"/>
            <w:tcMar>
              <w:top w:w="60" w:type="dxa"/>
              <w:left w:w="100" w:type="dxa"/>
              <w:bottom w:w="60" w:type="dxa"/>
              <w:right w:w="100" w:type="dxa"/>
            </w:tcMar>
          </w:tcPr>
          <w:p w14:paraId="4BC79A69" w14:textId="77777777" w:rsidR="00B70F48" w:rsidRPr="000C4E0D" w:rsidRDefault="00B70F48" w:rsidP="000C4E0D">
            <w:pPr>
              <w:tabs>
                <w:tab w:val="left" w:pos="2552"/>
              </w:tabs>
              <w:spacing w:line="240" w:lineRule="auto"/>
              <w:rPr>
                <w:sz w:val="16"/>
                <w:szCs w:val="16"/>
                <w:lang w:val="en-GB"/>
              </w:rPr>
            </w:pPr>
            <w:r w:rsidRPr="000C4E0D">
              <w:rPr>
                <w:sz w:val="16"/>
                <w:szCs w:val="16"/>
                <w:lang w:val="en-GB"/>
              </w:rPr>
              <w:t>Flap-type hybrid</w:t>
            </w:r>
          </w:p>
        </w:tc>
        <w:tc>
          <w:tcPr>
            <w:tcW w:w="1323" w:type="dxa"/>
            <w:tcMar>
              <w:top w:w="60" w:type="dxa"/>
              <w:left w:w="100" w:type="dxa"/>
              <w:bottom w:w="60" w:type="dxa"/>
              <w:right w:w="100" w:type="dxa"/>
            </w:tcMar>
          </w:tcPr>
          <w:p w14:paraId="437B99D1" w14:textId="03C0EEFB" w:rsidR="00B70F48" w:rsidRPr="00AF09A8" w:rsidRDefault="00516A77" w:rsidP="00516A77">
            <w:pPr>
              <w:tabs>
                <w:tab w:val="left" w:pos="2552"/>
              </w:tabs>
              <w:spacing w:line="240" w:lineRule="auto"/>
              <w:rPr>
                <w:color w:val="000000" w:themeColor="text1"/>
                <w:sz w:val="16"/>
                <w:szCs w:val="16"/>
                <w:lang w:val="en-GB"/>
              </w:rPr>
            </w:pPr>
            <w:r w:rsidRPr="00AF09A8">
              <w:rPr>
                <w:color w:val="000000" w:themeColor="text1"/>
                <w:sz w:val="16"/>
                <w:szCs w:val="16"/>
                <w:lang w:val="en-GB"/>
              </w:rPr>
              <w:t>Nonlinear modelling / model-informed optimization </w:t>
            </w:r>
          </w:p>
        </w:tc>
        <w:tc>
          <w:tcPr>
            <w:tcW w:w="1662" w:type="dxa"/>
            <w:tcMar>
              <w:top w:w="60" w:type="dxa"/>
              <w:left w:w="100" w:type="dxa"/>
              <w:bottom w:w="60" w:type="dxa"/>
              <w:right w:w="100" w:type="dxa"/>
            </w:tcMar>
          </w:tcPr>
          <w:p w14:paraId="3B689E80" w14:textId="77777777" w:rsidR="00516A77" w:rsidRPr="00AF09A8" w:rsidRDefault="00516A77" w:rsidP="00516A77">
            <w:pPr>
              <w:tabs>
                <w:tab w:val="left" w:pos="2552"/>
              </w:tabs>
              <w:spacing w:line="240" w:lineRule="auto"/>
              <w:rPr>
                <w:color w:val="000000" w:themeColor="text1"/>
                <w:sz w:val="16"/>
                <w:szCs w:val="16"/>
                <w:lang w:val="en-GB"/>
              </w:rPr>
            </w:pPr>
            <w:r w:rsidRPr="00AF09A8">
              <w:rPr>
                <w:color w:val="000000" w:themeColor="text1"/>
                <w:sz w:val="16"/>
                <w:szCs w:val="16"/>
                <w:lang w:val="en-GB"/>
              </w:rPr>
              <w:t>Flap geometry, PTO, hydrodynamic model fidelity</w:t>
            </w:r>
          </w:p>
          <w:p w14:paraId="77C8C170" w14:textId="0F29387C" w:rsidR="00B70F48" w:rsidRPr="00AF09A8" w:rsidRDefault="00B70F48" w:rsidP="000C4E0D">
            <w:pPr>
              <w:tabs>
                <w:tab w:val="left" w:pos="2552"/>
              </w:tabs>
              <w:spacing w:line="240" w:lineRule="auto"/>
              <w:rPr>
                <w:color w:val="000000" w:themeColor="text1"/>
                <w:sz w:val="16"/>
                <w:szCs w:val="16"/>
                <w:lang w:val="en-GB"/>
              </w:rPr>
            </w:pPr>
          </w:p>
        </w:tc>
        <w:tc>
          <w:tcPr>
            <w:tcW w:w="1662" w:type="dxa"/>
            <w:tcMar>
              <w:top w:w="60" w:type="dxa"/>
              <w:left w:w="100" w:type="dxa"/>
              <w:bottom w:w="60" w:type="dxa"/>
              <w:right w:w="100" w:type="dxa"/>
            </w:tcMar>
          </w:tcPr>
          <w:p w14:paraId="6BB1CFB5" w14:textId="0677B244" w:rsidR="00B70F48" w:rsidRPr="00AF09A8" w:rsidRDefault="00516A77" w:rsidP="00516A77">
            <w:pPr>
              <w:tabs>
                <w:tab w:val="left" w:pos="2552"/>
              </w:tabs>
              <w:spacing w:line="240" w:lineRule="auto"/>
              <w:rPr>
                <w:color w:val="000000" w:themeColor="text1"/>
                <w:sz w:val="16"/>
                <w:szCs w:val="16"/>
                <w:lang w:val="en-GB"/>
              </w:rPr>
            </w:pPr>
            <w:r w:rsidRPr="00AF09A8">
              <w:rPr>
                <w:color w:val="000000" w:themeColor="text1"/>
                <w:sz w:val="16"/>
                <w:szCs w:val="16"/>
                <w:lang w:val="en-GB"/>
              </w:rPr>
              <w:t>Account for nonlinear hydrodynamics and structural response</w:t>
            </w:r>
          </w:p>
        </w:tc>
        <w:tc>
          <w:tcPr>
            <w:tcW w:w="1067" w:type="dxa"/>
            <w:tcMar>
              <w:top w:w="60" w:type="dxa"/>
              <w:left w:w="100" w:type="dxa"/>
              <w:bottom w:w="60" w:type="dxa"/>
              <w:right w:w="100" w:type="dxa"/>
            </w:tcMar>
          </w:tcPr>
          <w:p w14:paraId="1F7A53DC" w14:textId="62219C49" w:rsidR="00B70F48" w:rsidRPr="00AF09A8" w:rsidRDefault="00B70F48" w:rsidP="000C4E0D">
            <w:pPr>
              <w:tabs>
                <w:tab w:val="left" w:pos="2552"/>
              </w:tabs>
              <w:spacing w:line="240" w:lineRule="auto"/>
              <w:rPr>
                <w:color w:val="000000" w:themeColor="text1"/>
                <w:sz w:val="16"/>
                <w:szCs w:val="16"/>
                <w:lang w:val="en-GB"/>
              </w:rPr>
            </w:pPr>
            <w:r w:rsidRPr="00AF09A8">
              <w:rPr>
                <w:color w:val="000000" w:themeColor="text1"/>
                <w:sz w:val="16"/>
                <w:szCs w:val="16"/>
                <w:lang w:val="en-GB"/>
              </w:rPr>
              <w:t>[</w:t>
            </w:r>
            <w:r w:rsidR="001B6728" w:rsidRPr="00AF09A8">
              <w:rPr>
                <w:color w:val="000000" w:themeColor="text1"/>
                <w:sz w:val="16"/>
                <w:szCs w:val="16"/>
                <w:lang w:val="en-GB"/>
              </w:rPr>
              <w:t>70</w:t>
            </w:r>
            <w:r w:rsidR="00516A77" w:rsidRPr="00AF09A8">
              <w:rPr>
                <w:color w:val="000000" w:themeColor="text1"/>
                <w:sz w:val="16"/>
                <w:szCs w:val="16"/>
                <w:lang w:val="en-GB"/>
              </w:rPr>
              <w:t>,74,96</w:t>
            </w:r>
            <w:r w:rsidRPr="00AF09A8">
              <w:rPr>
                <w:color w:val="000000" w:themeColor="text1"/>
                <w:sz w:val="16"/>
                <w:szCs w:val="16"/>
                <w:lang w:val="en-GB"/>
              </w:rPr>
              <w:t>]</w:t>
            </w:r>
          </w:p>
        </w:tc>
        <w:tc>
          <w:tcPr>
            <w:tcW w:w="1312" w:type="dxa"/>
            <w:tcMar>
              <w:top w:w="60" w:type="dxa"/>
              <w:left w:w="100" w:type="dxa"/>
              <w:bottom w:w="60" w:type="dxa"/>
              <w:right w:w="100" w:type="dxa"/>
            </w:tcMar>
          </w:tcPr>
          <w:p w14:paraId="32EFD133" w14:textId="77777777" w:rsidR="00B70F48" w:rsidRPr="000C4E0D" w:rsidRDefault="00B70F48" w:rsidP="000C4E0D">
            <w:pPr>
              <w:tabs>
                <w:tab w:val="left" w:pos="2552"/>
              </w:tabs>
              <w:spacing w:line="240" w:lineRule="auto"/>
              <w:rPr>
                <w:sz w:val="16"/>
                <w:szCs w:val="16"/>
                <w:lang w:val="en-GB"/>
              </w:rPr>
            </w:pPr>
            <w:r w:rsidRPr="000C4E0D">
              <w:rPr>
                <w:sz w:val="16"/>
                <w:szCs w:val="16"/>
                <w:lang w:val="en-GB"/>
              </w:rPr>
              <w:t>—</w:t>
            </w:r>
          </w:p>
        </w:tc>
      </w:tr>
      <w:tr w:rsidR="00B70F48" w:rsidRPr="000C4E0D" w14:paraId="4A0BC9CF" w14:textId="77777777" w:rsidTr="003A03D4">
        <w:trPr>
          <w:trHeight w:val="665"/>
        </w:trPr>
        <w:tc>
          <w:tcPr>
            <w:tcW w:w="1229" w:type="dxa"/>
            <w:tcMar>
              <w:top w:w="60" w:type="dxa"/>
              <w:left w:w="100" w:type="dxa"/>
              <w:bottom w:w="60" w:type="dxa"/>
              <w:right w:w="100" w:type="dxa"/>
            </w:tcMar>
          </w:tcPr>
          <w:p w14:paraId="76296EB5" w14:textId="77777777" w:rsidR="00B70F48" w:rsidRPr="000C4E0D" w:rsidRDefault="00B70F48" w:rsidP="000C4E0D">
            <w:pPr>
              <w:tabs>
                <w:tab w:val="left" w:pos="2552"/>
              </w:tabs>
              <w:spacing w:line="240" w:lineRule="auto"/>
              <w:rPr>
                <w:sz w:val="16"/>
                <w:szCs w:val="16"/>
                <w:lang w:val="en-GB"/>
              </w:rPr>
            </w:pPr>
            <w:r w:rsidRPr="000C4E0D">
              <w:rPr>
                <w:sz w:val="16"/>
                <w:szCs w:val="16"/>
                <w:lang w:val="en-GB"/>
              </w:rPr>
              <w:t>Flap-type hybrid</w:t>
            </w:r>
          </w:p>
        </w:tc>
        <w:tc>
          <w:tcPr>
            <w:tcW w:w="1323" w:type="dxa"/>
            <w:tcMar>
              <w:top w:w="60" w:type="dxa"/>
              <w:left w:w="100" w:type="dxa"/>
              <w:bottom w:w="60" w:type="dxa"/>
              <w:right w:w="100" w:type="dxa"/>
            </w:tcMar>
          </w:tcPr>
          <w:p w14:paraId="2E890459" w14:textId="77777777" w:rsidR="00B70F48" w:rsidRPr="000C4E0D" w:rsidRDefault="00B70F48" w:rsidP="000C4E0D">
            <w:pPr>
              <w:tabs>
                <w:tab w:val="left" w:pos="2552"/>
              </w:tabs>
              <w:spacing w:line="240" w:lineRule="auto"/>
              <w:rPr>
                <w:sz w:val="16"/>
                <w:szCs w:val="16"/>
                <w:lang w:val="en-GB"/>
              </w:rPr>
            </w:pPr>
            <w:r w:rsidRPr="000C4E0D">
              <w:rPr>
                <w:sz w:val="16"/>
                <w:szCs w:val="16"/>
                <w:lang w:val="en-GB"/>
              </w:rPr>
              <w:t>Genetic algorithm / evolutionary</w:t>
            </w:r>
          </w:p>
        </w:tc>
        <w:tc>
          <w:tcPr>
            <w:tcW w:w="1662" w:type="dxa"/>
            <w:tcMar>
              <w:top w:w="60" w:type="dxa"/>
              <w:left w:w="100" w:type="dxa"/>
              <w:bottom w:w="60" w:type="dxa"/>
              <w:right w:w="100" w:type="dxa"/>
            </w:tcMar>
          </w:tcPr>
          <w:p w14:paraId="5978A811" w14:textId="77777777" w:rsidR="00B70F48" w:rsidRPr="000C4E0D" w:rsidRDefault="00B70F48" w:rsidP="000C4E0D">
            <w:pPr>
              <w:tabs>
                <w:tab w:val="left" w:pos="2552"/>
              </w:tabs>
              <w:spacing w:line="240" w:lineRule="auto"/>
              <w:rPr>
                <w:sz w:val="16"/>
                <w:szCs w:val="16"/>
                <w:lang w:val="en-GB"/>
              </w:rPr>
            </w:pPr>
            <w:r w:rsidRPr="000C4E0D">
              <w:rPr>
                <w:sz w:val="16"/>
                <w:szCs w:val="16"/>
                <w:lang w:val="en-GB"/>
              </w:rPr>
              <w:t>Flap geometry, control strategy</w:t>
            </w:r>
          </w:p>
        </w:tc>
        <w:tc>
          <w:tcPr>
            <w:tcW w:w="1662" w:type="dxa"/>
            <w:tcMar>
              <w:top w:w="60" w:type="dxa"/>
              <w:left w:w="100" w:type="dxa"/>
              <w:bottom w:w="60" w:type="dxa"/>
              <w:right w:w="100" w:type="dxa"/>
            </w:tcMar>
          </w:tcPr>
          <w:p w14:paraId="04D476EF" w14:textId="77777777" w:rsidR="00B70F48" w:rsidRPr="000C4E0D" w:rsidRDefault="00B70F48" w:rsidP="000C4E0D">
            <w:pPr>
              <w:tabs>
                <w:tab w:val="left" w:pos="2552"/>
              </w:tabs>
              <w:spacing w:line="240" w:lineRule="auto"/>
              <w:rPr>
                <w:sz w:val="16"/>
                <w:szCs w:val="16"/>
                <w:lang w:val="en-GB"/>
              </w:rPr>
            </w:pPr>
            <w:r w:rsidRPr="000C4E0D">
              <w:rPr>
                <w:sz w:val="16"/>
                <w:szCs w:val="16"/>
                <w:lang w:val="en-GB"/>
              </w:rPr>
              <w:t>Balance energy capture vs structural loading</w:t>
            </w:r>
          </w:p>
        </w:tc>
        <w:tc>
          <w:tcPr>
            <w:tcW w:w="1067" w:type="dxa"/>
            <w:tcMar>
              <w:top w:w="60" w:type="dxa"/>
              <w:left w:w="100" w:type="dxa"/>
              <w:bottom w:w="60" w:type="dxa"/>
              <w:right w:w="100" w:type="dxa"/>
            </w:tcMar>
          </w:tcPr>
          <w:p w14:paraId="65E371BC" w14:textId="2FE36CA2" w:rsidR="00B70F48" w:rsidRPr="000C4E0D" w:rsidRDefault="00B70F48" w:rsidP="000C4E0D">
            <w:pPr>
              <w:tabs>
                <w:tab w:val="left" w:pos="2552"/>
              </w:tabs>
              <w:spacing w:line="240" w:lineRule="auto"/>
              <w:rPr>
                <w:sz w:val="16"/>
                <w:szCs w:val="16"/>
                <w:lang w:val="en-GB"/>
              </w:rPr>
            </w:pPr>
            <w:r w:rsidRPr="000C4E0D">
              <w:rPr>
                <w:sz w:val="16"/>
                <w:szCs w:val="16"/>
                <w:lang w:val="en-GB"/>
              </w:rPr>
              <w:t>[74,</w:t>
            </w:r>
            <w:r w:rsidR="000A6347" w:rsidRPr="000C4E0D">
              <w:rPr>
                <w:sz w:val="16"/>
                <w:szCs w:val="16"/>
                <w:lang w:val="en-GB"/>
              </w:rPr>
              <w:t>96</w:t>
            </w:r>
            <w:r w:rsidRPr="000C4E0D">
              <w:rPr>
                <w:sz w:val="16"/>
                <w:szCs w:val="16"/>
                <w:lang w:val="en-GB"/>
              </w:rPr>
              <w:t>]</w:t>
            </w:r>
          </w:p>
        </w:tc>
        <w:tc>
          <w:tcPr>
            <w:tcW w:w="1312" w:type="dxa"/>
            <w:tcMar>
              <w:top w:w="60" w:type="dxa"/>
              <w:left w:w="100" w:type="dxa"/>
              <w:bottom w:w="60" w:type="dxa"/>
              <w:right w:w="100" w:type="dxa"/>
            </w:tcMar>
          </w:tcPr>
          <w:p w14:paraId="618F1B00" w14:textId="77777777" w:rsidR="00B70F48" w:rsidRPr="000C4E0D" w:rsidRDefault="00B70F48" w:rsidP="000C4E0D">
            <w:pPr>
              <w:tabs>
                <w:tab w:val="left" w:pos="2552"/>
              </w:tabs>
              <w:spacing w:line="240" w:lineRule="auto"/>
              <w:rPr>
                <w:sz w:val="16"/>
                <w:szCs w:val="16"/>
                <w:lang w:val="en-GB"/>
              </w:rPr>
            </w:pPr>
            <w:r w:rsidRPr="000C4E0D">
              <w:rPr>
                <w:sz w:val="16"/>
                <w:szCs w:val="16"/>
                <w:lang w:val="en-GB"/>
              </w:rPr>
              <w:t>—</w:t>
            </w:r>
          </w:p>
        </w:tc>
      </w:tr>
      <w:tr w:rsidR="00B70F48" w:rsidRPr="000C4E0D" w14:paraId="63709635" w14:textId="77777777" w:rsidTr="003A03D4">
        <w:trPr>
          <w:trHeight w:val="977"/>
        </w:trPr>
        <w:tc>
          <w:tcPr>
            <w:tcW w:w="1229" w:type="dxa"/>
            <w:tcMar>
              <w:top w:w="60" w:type="dxa"/>
              <w:left w:w="100" w:type="dxa"/>
              <w:bottom w:w="60" w:type="dxa"/>
              <w:right w:w="100" w:type="dxa"/>
            </w:tcMar>
          </w:tcPr>
          <w:p w14:paraId="4149D8E0" w14:textId="77777777" w:rsidR="00B70F48" w:rsidRPr="000C4E0D" w:rsidRDefault="00B70F48" w:rsidP="000C4E0D">
            <w:pPr>
              <w:tabs>
                <w:tab w:val="left" w:pos="2552"/>
              </w:tabs>
              <w:spacing w:line="240" w:lineRule="auto"/>
              <w:rPr>
                <w:rFonts w:cstheme="majorBidi"/>
                <w:sz w:val="16"/>
                <w:szCs w:val="16"/>
                <w:lang w:val="en-GB"/>
              </w:rPr>
            </w:pPr>
            <w:r w:rsidRPr="000C4E0D">
              <w:rPr>
                <w:rFonts w:cstheme="majorBidi"/>
                <w:sz w:val="16"/>
                <w:szCs w:val="16"/>
                <w:lang w:val="en-GB"/>
              </w:rPr>
              <w:t>Flap-type hybrid</w:t>
            </w:r>
          </w:p>
        </w:tc>
        <w:tc>
          <w:tcPr>
            <w:tcW w:w="1323" w:type="dxa"/>
            <w:tcMar>
              <w:top w:w="60" w:type="dxa"/>
              <w:left w:w="100" w:type="dxa"/>
              <w:bottom w:w="60" w:type="dxa"/>
              <w:right w:w="100" w:type="dxa"/>
            </w:tcMar>
          </w:tcPr>
          <w:p w14:paraId="4911D893" w14:textId="1F4EBD74" w:rsidR="00B70F48" w:rsidRPr="000C4E0D" w:rsidRDefault="00B70F48" w:rsidP="000C4E0D">
            <w:pPr>
              <w:tabs>
                <w:tab w:val="left" w:pos="2552"/>
              </w:tabs>
              <w:spacing w:line="240" w:lineRule="auto"/>
              <w:rPr>
                <w:rFonts w:cstheme="majorBidi"/>
                <w:sz w:val="16"/>
                <w:szCs w:val="16"/>
                <w:lang w:val="en-GB"/>
              </w:rPr>
            </w:pPr>
            <w:r w:rsidRPr="000C4E0D">
              <w:rPr>
                <w:rFonts w:cstheme="majorBidi"/>
                <w:sz w:val="16"/>
                <w:szCs w:val="16"/>
                <w:lang w:val="en-GB"/>
              </w:rPr>
              <w:t xml:space="preserve">Parametric / sensitivity </w:t>
            </w:r>
            <w:proofErr w:type="gramStart"/>
            <w:r w:rsidRPr="000C4E0D">
              <w:rPr>
                <w:rFonts w:cstheme="majorBidi"/>
                <w:sz w:val="16"/>
                <w:szCs w:val="16"/>
                <w:lang w:val="en-GB"/>
              </w:rPr>
              <w:t>analysis</w:t>
            </w:r>
            <w:r w:rsidR="00663DBE" w:rsidRPr="000C4E0D">
              <w:rPr>
                <w:rFonts w:cstheme="majorBidi"/>
                <w:sz w:val="16"/>
                <w:szCs w:val="16"/>
                <w:lang w:val="en-GB"/>
              </w:rPr>
              <w:t>(</w:t>
            </w:r>
            <w:proofErr w:type="gramEnd"/>
            <w:r w:rsidR="00663DBE" w:rsidRPr="000C4E0D">
              <w:rPr>
                <w:rFonts w:cstheme="majorBidi"/>
                <w:sz w:val="16"/>
                <w:szCs w:val="16"/>
              </w:rPr>
              <w:t>sensitivity/exploration technique; not a formal optimization method)</w:t>
            </w:r>
          </w:p>
        </w:tc>
        <w:tc>
          <w:tcPr>
            <w:tcW w:w="1662" w:type="dxa"/>
            <w:tcMar>
              <w:top w:w="60" w:type="dxa"/>
              <w:left w:w="100" w:type="dxa"/>
              <w:bottom w:w="60" w:type="dxa"/>
              <w:right w:w="100" w:type="dxa"/>
            </w:tcMar>
          </w:tcPr>
          <w:p w14:paraId="4CAE5904" w14:textId="77777777" w:rsidR="00B70F48" w:rsidRPr="000C4E0D" w:rsidRDefault="00B70F48" w:rsidP="000C4E0D">
            <w:pPr>
              <w:tabs>
                <w:tab w:val="left" w:pos="2552"/>
              </w:tabs>
              <w:spacing w:line="240" w:lineRule="auto"/>
              <w:rPr>
                <w:sz w:val="16"/>
                <w:szCs w:val="16"/>
                <w:lang w:val="en-GB"/>
              </w:rPr>
            </w:pPr>
            <w:r w:rsidRPr="000C4E0D">
              <w:rPr>
                <w:sz w:val="16"/>
                <w:szCs w:val="16"/>
                <w:lang w:val="en-GB"/>
              </w:rPr>
              <w:t>Hinge stiffness, PTO damping</w:t>
            </w:r>
          </w:p>
        </w:tc>
        <w:tc>
          <w:tcPr>
            <w:tcW w:w="1662" w:type="dxa"/>
            <w:tcMar>
              <w:top w:w="60" w:type="dxa"/>
              <w:left w:w="100" w:type="dxa"/>
              <w:bottom w:w="60" w:type="dxa"/>
              <w:right w:w="100" w:type="dxa"/>
            </w:tcMar>
          </w:tcPr>
          <w:p w14:paraId="5799D195" w14:textId="77777777" w:rsidR="00B70F48" w:rsidRPr="000C4E0D" w:rsidRDefault="00B70F48" w:rsidP="000C4E0D">
            <w:pPr>
              <w:tabs>
                <w:tab w:val="left" w:pos="2552"/>
              </w:tabs>
              <w:spacing w:line="240" w:lineRule="auto"/>
              <w:rPr>
                <w:sz w:val="16"/>
                <w:szCs w:val="16"/>
                <w:lang w:val="en-GB"/>
              </w:rPr>
            </w:pPr>
            <w:r w:rsidRPr="000C4E0D">
              <w:rPr>
                <w:sz w:val="16"/>
                <w:szCs w:val="16"/>
                <w:lang w:val="en-GB"/>
              </w:rPr>
              <w:t>Minimise mooring fatigue damage equivalent loads</w:t>
            </w:r>
          </w:p>
        </w:tc>
        <w:tc>
          <w:tcPr>
            <w:tcW w:w="1067" w:type="dxa"/>
            <w:tcMar>
              <w:top w:w="60" w:type="dxa"/>
              <w:left w:w="100" w:type="dxa"/>
              <w:bottom w:w="60" w:type="dxa"/>
              <w:right w:w="100" w:type="dxa"/>
            </w:tcMar>
          </w:tcPr>
          <w:p w14:paraId="430A26E2" w14:textId="120390BD" w:rsidR="00B70F48" w:rsidRPr="000C4E0D" w:rsidRDefault="00B70F48" w:rsidP="000C4E0D">
            <w:pPr>
              <w:tabs>
                <w:tab w:val="left" w:pos="2552"/>
              </w:tabs>
              <w:spacing w:line="240" w:lineRule="auto"/>
              <w:rPr>
                <w:sz w:val="16"/>
                <w:szCs w:val="16"/>
                <w:lang w:val="en-GB"/>
              </w:rPr>
            </w:pPr>
            <w:r w:rsidRPr="000C4E0D">
              <w:rPr>
                <w:sz w:val="16"/>
                <w:szCs w:val="16"/>
                <w:lang w:val="en-GB"/>
              </w:rPr>
              <w:t>[</w:t>
            </w:r>
            <w:r w:rsidR="00A9390E">
              <w:rPr>
                <w:sz w:val="16"/>
                <w:szCs w:val="16"/>
                <w:lang w:val="en-GB"/>
              </w:rPr>
              <w:t>19,</w:t>
            </w:r>
            <w:r w:rsidR="00BA022C" w:rsidRPr="000C4E0D">
              <w:rPr>
                <w:sz w:val="16"/>
                <w:szCs w:val="16"/>
                <w:lang w:val="en-GB"/>
              </w:rPr>
              <w:t>2</w:t>
            </w:r>
            <w:r w:rsidR="00A9390E">
              <w:rPr>
                <w:sz w:val="16"/>
                <w:szCs w:val="16"/>
                <w:lang w:val="en-GB"/>
              </w:rPr>
              <w:t>0</w:t>
            </w:r>
            <w:r w:rsidRPr="000C4E0D">
              <w:rPr>
                <w:sz w:val="16"/>
                <w:szCs w:val="16"/>
                <w:lang w:val="en-GB"/>
              </w:rPr>
              <w:t>,</w:t>
            </w:r>
            <w:r w:rsidR="00BA022C" w:rsidRPr="000C4E0D">
              <w:rPr>
                <w:sz w:val="16"/>
                <w:szCs w:val="16"/>
                <w:lang w:val="en-GB"/>
              </w:rPr>
              <w:t>2</w:t>
            </w:r>
            <w:r w:rsidR="00A9390E">
              <w:rPr>
                <w:sz w:val="16"/>
                <w:szCs w:val="16"/>
                <w:lang w:val="en-GB"/>
              </w:rPr>
              <w:t>6</w:t>
            </w:r>
            <w:r w:rsidRPr="000C4E0D">
              <w:rPr>
                <w:sz w:val="16"/>
                <w:szCs w:val="16"/>
                <w:lang w:val="en-GB"/>
              </w:rPr>
              <w:t>]</w:t>
            </w:r>
          </w:p>
        </w:tc>
        <w:tc>
          <w:tcPr>
            <w:tcW w:w="1312" w:type="dxa"/>
            <w:tcMar>
              <w:top w:w="60" w:type="dxa"/>
              <w:left w:w="100" w:type="dxa"/>
              <w:bottom w:w="60" w:type="dxa"/>
              <w:right w:w="100" w:type="dxa"/>
            </w:tcMar>
          </w:tcPr>
          <w:p w14:paraId="77827933" w14:textId="77777777" w:rsidR="00B70F48" w:rsidRPr="000C4E0D" w:rsidRDefault="00B70F48" w:rsidP="000C4E0D">
            <w:pPr>
              <w:tabs>
                <w:tab w:val="left" w:pos="2552"/>
              </w:tabs>
              <w:spacing w:line="240" w:lineRule="auto"/>
              <w:rPr>
                <w:sz w:val="16"/>
                <w:szCs w:val="16"/>
                <w:lang w:val="en-GB"/>
              </w:rPr>
            </w:pPr>
            <w:r w:rsidRPr="000C4E0D">
              <w:rPr>
                <w:sz w:val="16"/>
                <w:szCs w:val="16"/>
                <w:lang w:val="en-GB"/>
              </w:rPr>
              <w:t>—</w:t>
            </w:r>
          </w:p>
        </w:tc>
      </w:tr>
      <w:tr w:rsidR="00B70F48" w:rsidRPr="000C4E0D" w14:paraId="577E851A" w14:textId="77777777" w:rsidTr="003A03D4">
        <w:trPr>
          <w:trHeight w:val="977"/>
        </w:trPr>
        <w:tc>
          <w:tcPr>
            <w:tcW w:w="1229" w:type="dxa"/>
            <w:tcMar>
              <w:top w:w="60" w:type="dxa"/>
              <w:left w:w="100" w:type="dxa"/>
              <w:bottom w:w="60" w:type="dxa"/>
              <w:right w:w="100" w:type="dxa"/>
            </w:tcMar>
          </w:tcPr>
          <w:p w14:paraId="713F52AE" w14:textId="77777777" w:rsidR="00B70F48" w:rsidRPr="000C4E0D" w:rsidRDefault="00B70F48" w:rsidP="000C4E0D">
            <w:pPr>
              <w:tabs>
                <w:tab w:val="left" w:pos="2552"/>
              </w:tabs>
              <w:spacing w:line="240" w:lineRule="auto"/>
              <w:rPr>
                <w:sz w:val="16"/>
                <w:szCs w:val="16"/>
                <w:lang w:val="en-GB"/>
              </w:rPr>
            </w:pPr>
            <w:r w:rsidRPr="000C4E0D">
              <w:rPr>
                <w:sz w:val="16"/>
                <w:szCs w:val="16"/>
                <w:lang w:val="en-GB"/>
              </w:rPr>
              <w:t>Flap-type hybrid</w:t>
            </w:r>
          </w:p>
        </w:tc>
        <w:tc>
          <w:tcPr>
            <w:tcW w:w="1323" w:type="dxa"/>
            <w:tcMar>
              <w:top w:w="60" w:type="dxa"/>
              <w:left w:w="100" w:type="dxa"/>
              <w:bottom w:w="60" w:type="dxa"/>
              <w:right w:w="100" w:type="dxa"/>
            </w:tcMar>
          </w:tcPr>
          <w:p w14:paraId="2553DED7" w14:textId="4BA8FDC3" w:rsidR="00B70F48" w:rsidRPr="000C4E0D" w:rsidRDefault="002D2A74" w:rsidP="000C4E0D">
            <w:pPr>
              <w:tabs>
                <w:tab w:val="left" w:pos="2552"/>
              </w:tabs>
              <w:spacing w:line="240" w:lineRule="auto"/>
              <w:rPr>
                <w:sz w:val="16"/>
                <w:szCs w:val="16"/>
                <w:lang w:val="en-GB"/>
              </w:rPr>
            </w:pPr>
            <w:r>
              <w:rPr>
                <w:sz w:val="16"/>
                <w:szCs w:val="16"/>
                <w:lang w:val="en-GB"/>
              </w:rPr>
              <w:t>D</w:t>
            </w:r>
            <w:r w:rsidR="00B70F48" w:rsidRPr="000C4E0D">
              <w:rPr>
                <w:sz w:val="16"/>
                <w:szCs w:val="16"/>
                <w:lang w:val="en-GB"/>
              </w:rPr>
              <w:t>ata-driven</w:t>
            </w:r>
            <w:r>
              <w:rPr>
                <w:sz w:val="16"/>
                <w:szCs w:val="16"/>
                <w:lang w:val="en-GB"/>
              </w:rPr>
              <w:t>/ advanced control</w:t>
            </w:r>
          </w:p>
        </w:tc>
        <w:tc>
          <w:tcPr>
            <w:tcW w:w="1662" w:type="dxa"/>
            <w:tcMar>
              <w:top w:w="60" w:type="dxa"/>
              <w:left w:w="100" w:type="dxa"/>
              <w:bottom w:w="60" w:type="dxa"/>
              <w:right w:w="100" w:type="dxa"/>
            </w:tcMar>
          </w:tcPr>
          <w:p w14:paraId="1D989AE0" w14:textId="223DED7C" w:rsidR="00B70F48" w:rsidRPr="000C4E0D" w:rsidRDefault="00B70F48" w:rsidP="000C4E0D">
            <w:pPr>
              <w:tabs>
                <w:tab w:val="left" w:pos="2552"/>
              </w:tabs>
              <w:spacing w:line="240" w:lineRule="auto"/>
              <w:rPr>
                <w:sz w:val="16"/>
                <w:szCs w:val="16"/>
                <w:lang w:val="en-GB"/>
              </w:rPr>
            </w:pPr>
            <w:r w:rsidRPr="000C4E0D">
              <w:rPr>
                <w:sz w:val="16"/>
                <w:szCs w:val="16"/>
                <w:lang w:val="en-GB"/>
              </w:rPr>
              <w:t xml:space="preserve">Real-time </w:t>
            </w:r>
            <w:r w:rsidR="002D2A74">
              <w:rPr>
                <w:sz w:val="16"/>
                <w:szCs w:val="16"/>
                <w:lang w:val="en-GB"/>
              </w:rPr>
              <w:t xml:space="preserve">PTO </w:t>
            </w:r>
            <w:r w:rsidRPr="000C4E0D">
              <w:rPr>
                <w:sz w:val="16"/>
                <w:szCs w:val="16"/>
                <w:lang w:val="en-GB"/>
              </w:rPr>
              <w:t>control adaptation</w:t>
            </w:r>
          </w:p>
        </w:tc>
        <w:tc>
          <w:tcPr>
            <w:tcW w:w="1662" w:type="dxa"/>
            <w:tcMar>
              <w:top w:w="60" w:type="dxa"/>
              <w:left w:w="100" w:type="dxa"/>
              <w:bottom w:w="60" w:type="dxa"/>
              <w:right w:w="100" w:type="dxa"/>
            </w:tcMar>
          </w:tcPr>
          <w:p w14:paraId="027A42C5" w14:textId="77777777" w:rsidR="00B70F48" w:rsidRPr="000C4E0D" w:rsidRDefault="00B70F48" w:rsidP="000C4E0D">
            <w:pPr>
              <w:tabs>
                <w:tab w:val="left" w:pos="2552"/>
              </w:tabs>
              <w:spacing w:line="240" w:lineRule="auto"/>
              <w:rPr>
                <w:sz w:val="16"/>
                <w:szCs w:val="16"/>
                <w:lang w:val="en-GB"/>
              </w:rPr>
            </w:pPr>
            <w:r w:rsidRPr="000C4E0D">
              <w:rPr>
                <w:sz w:val="16"/>
                <w:szCs w:val="16"/>
                <w:lang w:val="en-GB"/>
              </w:rPr>
              <w:t>Maximise energy under variable sea states</w:t>
            </w:r>
          </w:p>
        </w:tc>
        <w:tc>
          <w:tcPr>
            <w:tcW w:w="1067" w:type="dxa"/>
            <w:tcMar>
              <w:top w:w="60" w:type="dxa"/>
              <w:left w:w="100" w:type="dxa"/>
              <w:bottom w:w="60" w:type="dxa"/>
              <w:right w:w="100" w:type="dxa"/>
            </w:tcMar>
          </w:tcPr>
          <w:p w14:paraId="2760264E" w14:textId="64974988" w:rsidR="00B70F48" w:rsidRPr="000C4E0D" w:rsidRDefault="00B70F48" w:rsidP="000C4E0D">
            <w:pPr>
              <w:tabs>
                <w:tab w:val="left" w:pos="2552"/>
              </w:tabs>
              <w:spacing w:line="240" w:lineRule="auto"/>
              <w:rPr>
                <w:sz w:val="16"/>
                <w:szCs w:val="16"/>
                <w:lang w:val="en-GB"/>
              </w:rPr>
            </w:pPr>
            <w:r w:rsidRPr="000C4E0D">
              <w:rPr>
                <w:sz w:val="16"/>
                <w:szCs w:val="16"/>
                <w:lang w:val="en-GB"/>
              </w:rPr>
              <w:t>[</w:t>
            </w:r>
            <w:r w:rsidR="001B6728">
              <w:rPr>
                <w:sz w:val="16"/>
                <w:szCs w:val="16"/>
                <w:lang w:val="en-GB"/>
              </w:rPr>
              <w:t>92</w:t>
            </w:r>
            <w:r w:rsidRPr="000C4E0D">
              <w:rPr>
                <w:sz w:val="16"/>
                <w:szCs w:val="16"/>
                <w:lang w:val="en-GB"/>
              </w:rPr>
              <w:t>,</w:t>
            </w:r>
            <w:r w:rsidR="002D2A74">
              <w:rPr>
                <w:sz w:val="16"/>
                <w:szCs w:val="16"/>
                <w:lang w:val="en-GB"/>
              </w:rPr>
              <w:t>93</w:t>
            </w:r>
            <w:r w:rsidRPr="000C4E0D">
              <w:rPr>
                <w:sz w:val="16"/>
                <w:szCs w:val="16"/>
                <w:lang w:val="en-GB"/>
              </w:rPr>
              <w:t>]</w:t>
            </w:r>
          </w:p>
        </w:tc>
        <w:tc>
          <w:tcPr>
            <w:tcW w:w="1312" w:type="dxa"/>
            <w:tcMar>
              <w:top w:w="60" w:type="dxa"/>
              <w:left w:w="100" w:type="dxa"/>
              <w:bottom w:w="60" w:type="dxa"/>
              <w:right w:w="100" w:type="dxa"/>
            </w:tcMar>
          </w:tcPr>
          <w:p w14:paraId="2EAA54A8" w14:textId="4E3C1F5C" w:rsidR="00B70F48" w:rsidRPr="000C4E0D" w:rsidRDefault="00B70F48" w:rsidP="000C4E0D">
            <w:pPr>
              <w:tabs>
                <w:tab w:val="left" w:pos="2552"/>
              </w:tabs>
              <w:spacing w:line="240" w:lineRule="auto"/>
              <w:rPr>
                <w:sz w:val="16"/>
                <w:szCs w:val="16"/>
                <w:lang w:val="en-GB"/>
              </w:rPr>
            </w:pPr>
            <w:r w:rsidRPr="000C4E0D">
              <w:rPr>
                <w:sz w:val="16"/>
                <w:szCs w:val="16"/>
                <w:lang w:val="en-GB"/>
              </w:rPr>
              <w:t xml:space="preserve">Not yet </w:t>
            </w:r>
            <w:r w:rsidR="002D2A74">
              <w:rPr>
                <w:sz w:val="16"/>
                <w:szCs w:val="16"/>
                <w:lang w:val="en-GB"/>
              </w:rPr>
              <w:t xml:space="preserve">fully </w:t>
            </w:r>
            <w:r w:rsidRPr="000C4E0D">
              <w:rPr>
                <w:sz w:val="16"/>
                <w:szCs w:val="16"/>
                <w:lang w:val="en-GB"/>
              </w:rPr>
              <w:t>applied</w:t>
            </w:r>
            <w:r w:rsidR="002D2A74">
              <w:rPr>
                <w:sz w:val="16"/>
                <w:szCs w:val="16"/>
                <w:lang w:val="en-GB"/>
              </w:rPr>
              <w:t xml:space="preserve"> at hybrid platform level</w:t>
            </w:r>
            <w:r w:rsidRPr="000C4E0D">
              <w:rPr>
                <w:sz w:val="16"/>
                <w:szCs w:val="16"/>
                <w:lang w:val="en-GB"/>
              </w:rPr>
              <w:t xml:space="preserve"> — identified gap</w:t>
            </w:r>
          </w:p>
        </w:tc>
      </w:tr>
      <w:tr w:rsidR="00B70F48" w:rsidRPr="000C4E0D" w14:paraId="26F55F9F" w14:textId="77777777" w:rsidTr="003A03D4">
        <w:trPr>
          <w:trHeight w:val="1289"/>
        </w:trPr>
        <w:tc>
          <w:tcPr>
            <w:tcW w:w="1229" w:type="dxa"/>
            <w:tcMar>
              <w:top w:w="60" w:type="dxa"/>
              <w:left w:w="100" w:type="dxa"/>
              <w:bottom w:w="60" w:type="dxa"/>
              <w:right w:w="100" w:type="dxa"/>
            </w:tcMar>
          </w:tcPr>
          <w:p w14:paraId="2BC508A5" w14:textId="77777777" w:rsidR="00B70F48" w:rsidRPr="000C4E0D" w:rsidRDefault="00B70F48" w:rsidP="000C4E0D">
            <w:pPr>
              <w:tabs>
                <w:tab w:val="left" w:pos="2552"/>
              </w:tabs>
              <w:spacing w:line="240" w:lineRule="auto"/>
              <w:rPr>
                <w:sz w:val="16"/>
                <w:szCs w:val="16"/>
                <w:lang w:val="en-GB"/>
              </w:rPr>
            </w:pPr>
            <w:r w:rsidRPr="000C4E0D">
              <w:rPr>
                <w:sz w:val="16"/>
                <w:szCs w:val="16"/>
                <w:lang w:val="en-GB"/>
              </w:rPr>
              <w:t>System-level (all types)</w:t>
            </w:r>
          </w:p>
        </w:tc>
        <w:tc>
          <w:tcPr>
            <w:tcW w:w="1323" w:type="dxa"/>
            <w:tcMar>
              <w:top w:w="60" w:type="dxa"/>
              <w:left w:w="100" w:type="dxa"/>
              <w:bottom w:w="60" w:type="dxa"/>
              <w:right w:w="100" w:type="dxa"/>
            </w:tcMar>
          </w:tcPr>
          <w:p w14:paraId="40E95F62" w14:textId="77777777" w:rsidR="00B70F48" w:rsidRPr="000C4E0D" w:rsidRDefault="00B70F48" w:rsidP="000C4E0D">
            <w:pPr>
              <w:tabs>
                <w:tab w:val="left" w:pos="2552"/>
              </w:tabs>
              <w:spacing w:line="240" w:lineRule="auto"/>
              <w:rPr>
                <w:sz w:val="16"/>
                <w:szCs w:val="16"/>
                <w:lang w:val="en-GB"/>
              </w:rPr>
            </w:pPr>
            <w:r w:rsidRPr="000C4E0D">
              <w:rPr>
                <w:sz w:val="16"/>
                <w:szCs w:val="16"/>
                <w:lang w:val="en-GB"/>
              </w:rPr>
              <w:t>Multi-objective evolutionary</w:t>
            </w:r>
          </w:p>
        </w:tc>
        <w:tc>
          <w:tcPr>
            <w:tcW w:w="1662" w:type="dxa"/>
            <w:tcMar>
              <w:top w:w="60" w:type="dxa"/>
              <w:left w:w="100" w:type="dxa"/>
              <w:bottom w:w="60" w:type="dxa"/>
              <w:right w:w="100" w:type="dxa"/>
            </w:tcMar>
          </w:tcPr>
          <w:p w14:paraId="53FD0A57" w14:textId="77777777" w:rsidR="00B70F48" w:rsidRPr="000C4E0D" w:rsidRDefault="00B70F48" w:rsidP="000C4E0D">
            <w:pPr>
              <w:tabs>
                <w:tab w:val="left" w:pos="2552"/>
              </w:tabs>
              <w:spacing w:line="240" w:lineRule="auto"/>
              <w:rPr>
                <w:sz w:val="16"/>
                <w:szCs w:val="16"/>
                <w:lang w:val="en-GB"/>
              </w:rPr>
            </w:pPr>
            <w:r w:rsidRPr="000C4E0D">
              <w:rPr>
                <w:sz w:val="16"/>
                <w:szCs w:val="16"/>
                <w:lang w:val="en-GB"/>
              </w:rPr>
              <w:t>WEC placement, mass distribution, platform geometry, mooring, control</w:t>
            </w:r>
          </w:p>
        </w:tc>
        <w:tc>
          <w:tcPr>
            <w:tcW w:w="1662" w:type="dxa"/>
            <w:tcMar>
              <w:top w:w="60" w:type="dxa"/>
              <w:left w:w="100" w:type="dxa"/>
              <w:bottom w:w="60" w:type="dxa"/>
              <w:right w:w="100" w:type="dxa"/>
            </w:tcMar>
          </w:tcPr>
          <w:p w14:paraId="2D82A058" w14:textId="7A477436" w:rsidR="00B70F48" w:rsidRPr="00AD6CB0" w:rsidRDefault="00B70F48" w:rsidP="000C4E0D">
            <w:pPr>
              <w:tabs>
                <w:tab w:val="left" w:pos="2552"/>
              </w:tabs>
              <w:spacing w:line="240" w:lineRule="auto"/>
              <w:rPr>
                <w:color w:val="000000" w:themeColor="text1"/>
                <w:sz w:val="16"/>
                <w:szCs w:val="16"/>
                <w:lang w:val="en-GB"/>
              </w:rPr>
            </w:pPr>
            <w:r w:rsidRPr="00AD6CB0">
              <w:rPr>
                <w:color w:val="000000" w:themeColor="text1"/>
                <w:sz w:val="16"/>
                <w:szCs w:val="16"/>
                <w:lang w:val="en-GB"/>
              </w:rPr>
              <w:t>Simultaneously optimise energy</w:t>
            </w:r>
            <w:r w:rsidR="00A22A15" w:rsidRPr="00AD6CB0">
              <w:rPr>
                <w:color w:val="000000" w:themeColor="text1"/>
                <w:sz w:val="16"/>
                <w:szCs w:val="16"/>
                <w:lang w:val="en-GB"/>
              </w:rPr>
              <w:t xml:space="preserve"> capture</w:t>
            </w:r>
            <w:r w:rsidRPr="00AD6CB0">
              <w:rPr>
                <w:color w:val="000000" w:themeColor="text1"/>
                <w:sz w:val="16"/>
                <w:szCs w:val="16"/>
                <w:lang w:val="en-GB"/>
              </w:rPr>
              <w:t xml:space="preserve">, </w:t>
            </w:r>
            <w:r w:rsidR="00A22A15" w:rsidRPr="00AD6CB0">
              <w:rPr>
                <w:color w:val="000000" w:themeColor="text1"/>
                <w:sz w:val="16"/>
                <w:szCs w:val="16"/>
                <w:lang w:val="en-GB"/>
              </w:rPr>
              <w:t>platform response</w:t>
            </w:r>
            <w:r w:rsidRPr="00AD6CB0">
              <w:rPr>
                <w:color w:val="000000" w:themeColor="text1"/>
                <w:sz w:val="16"/>
                <w:szCs w:val="16"/>
                <w:lang w:val="en-GB"/>
              </w:rPr>
              <w:t>, structural integrity, cost</w:t>
            </w:r>
          </w:p>
        </w:tc>
        <w:tc>
          <w:tcPr>
            <w:tcW w:w="1067" w:type="dxa"/>
            <w:tcMar>
              <w:top w:w="60" w:type="dxa"/>
              <w:left w:w="100" w:type="dxa"/>
              <w:bottom w:w="60" w:type="dxa"/>
              <w:right w:w="100" w:type="dxa"/>
            </w:tcMar>
          </w:tcPr>
          <w:p w14:paraId="074E29A9" w14:textId="7054EE3A" w:rsidR="00B70F48" w:rsidRPr="000C4E0D" w:rsidRDefault="00BC0EC3" w:rsidP="000C4E0D">
            <w:pPr>
              <w:tabs>
                <w:tab w:val="left" w:pos="2552"/>
              </w:tabs>
              <w:spacing w:line="240" w:lineRule="auto"/>
              <w:rPr>
                <w:sz w:val="16"/>
                <w:szCs w:val="16"/>
                <w:lang w:val="en-GB"/>
              </w:rPr>
            </w:pPr>
            <w:r w:rsidRPr="000C4E0D">
              <w:rPr>
                <w:sz w:val="16"/>
                <w:szCs w:val="16"/>
                <w:lang w:val="en-GB"/>
              </w:rPr>
              <w:t>[</w:t>
            </w:r>
            <w:r w:rsidR="009D60AC" w:rsidRPr="000C4E0D">
              <w:rPr>
                <w:sz w:val="16"/>
                <w:szCs w:val="16"/>
                <w:lang w:val="en-GB"/>
              </w:rPr>
              <w:t>1</w:t>
            </w:r>
            <w:r w:rsidR="00A9390E">
              <w:rPr>
                <w:sz w:val="16"/>
                <w:szCs w:val="16"/>
                <w:lang w:val="en-GB"/>
              </w:rPr>
              <w:t>9,1</w:t>
            </w:r>
            <w:r w:rsidR="009D60AC" w:rsidRPr="000C4E0D">
              <w:rPr>
                <w:sz w:val="16"/>
                <w:szCs w:val="16"/>
                <w:lang w:val="en-GB"/>
              </w:rPr>
              <w:t>08</w:t>
            </w:r>
            <w:r w:rsidR="00B70F48" w:rsidRPr="000C4E0D">
              <w:rPr>
                <w:sz w:val="16"/>
                <w:szCs w:val="16"/>
                <w:lang w:val="en-GB"/>
              </w:rPr>
              <w:t>]</w:t>
            </w:r>
          </w:p>
        </w:tc>
        <w:tc>
          <w:tcPr>
            <w:tcW w:w="1312" w:type="dxa"/>
            <w:tcMar>
              <w:top w:w="60" w:type="dxa"/>
              <w:left w:w="100" w:type="dxa"/>
              <w:bottom w:w="60" w:type="dxa"/>
              <w:right w:w="100" w:type="dxa"/>
            </w:tcMar>
          </w:tcPr>
          <w:p w14:paraId="5CA0FC21" w14:textId="40BC0CC9" w:rsidR="00B70F48" w:rsidRPr="000C4E0D" w:rsidRDefault="00B70F48" w:rsidP="000C4E0D">
            <w:pPr>
              <w:tabs>
                <w:tab w:val="left" w:pos="2552"/>
              </w:tabs>
              <w:spacing w:line="240" w:lineRule="auto"/>
              <w:rPr>
                <w:sz w:val="16"/>
                <w:szCs w:val="16"/>
                <w:lang w:val="en-GB"/>
              </w:rPr>
            </w:pPr>
            <w:r w:rsidRPr="000C4E0D">
              <w:rPr>
                <w:sz w:val="16"/>
                <w:szCs w:val="16"/>
                <w:lang w:val="en-GB"/>
              </w:rPr>
              <w:t>Fully integrated system-level optimi</w:t>
            </w:r>
            <w:r w:rsidR="002C3D9F" w:rsidRPr="000C4E0D">
              <w:rPr>
                <w:sz w:val="16"/>
                <w:szCs w:val="16"/>
                <w:lang w:val="en-GB"/>
              </w:rPr>
              <w:t>z</w:t>
            </w:r>
            <w:r w:rsidRPr="000C4E0D">
              <w:rPr>
                <w:sz w:val="16"/>
                <w:szCs w:val="16"/>
                <w:lang w:val="en-GB"/>
              </w:rPr>
              <w:t>ation largely absent</w:t>
            </w:r>
          </w:p>
        </w:tc>
      </w:tr>
      <w:tr w:rsidR="00B70F48" w:rsidRPr="000C4E0D" w14:paraId="0CCF77B1" w14:textId="77777777" w:rsidTr="003A03D4">
        <w:trPr>
          <w:trHeight w:val="1310"/>
        </w:trPr>
        <w:tc>
          <w:tcPr>
            <w:tcW w:w="1229" w:type="dxa"/>
            <w:tcMar>
              <w:top w:w="60" w:type="dxa"/>
              <w:left w:w="100" w:type="dxa"/>
              <w:bottom w:w="60" w:type="dxa"/>
              <w:right w:w="100" w:type="dxa"/>
            </w:tcMar>
          </w:tcPr>
          <w:p w14:paraId="2E62243D" w14:textId="77777777" w:rsidR="00B70F48" w:rsidRPr="000C4E0D" w:rsidRDefault="00B70F48" w:rsidP="000C4E0D">
            <w:pPr>
              <w:tabs>
                <w:tab w:val="left" w:pos="2552"/>
              </w:tabs>
              <w:spacing w:line="240" w:lineRule="auto"/>
              <w:rPr>
                <w:sz w:val="16"/>
                <w:szCs w:val="16"/>
                <w:lang w:val="en-GB"/>
              </w:rPr>
            </w:pPr>
            <w:r w:rsidRPr="000C4E0D">
              <w:rPr>
                <w:sz w:val="16"/>
                <w:szCs w:val="16"/>
                <w:lang w:val="en-GB"/>
              </w:rPr>
              <w:t>System-level (all types)</w:t>
            </w:r>
          </w:p>
        </w:tc>
        <w:tc>
          <w:tcPr>
            <w:tcW w:w="1323" w:type="dxa"/>
            <w:tcMar>
              <w:top w:w="60" w:type="dxa"/>
              <w:left w:w="100" w:type="dxa"/>
              <w:bottom w:w="60" w:type="dxa"/>
              <w:right w:w="100" w:type="dxa"/>
            </w:tcMar>
          </w:tcPr>
          <w:p w14:paraId="06150AF6" w14:textId="77777777" w:rsidR="00B70F48" w:rsidRPr="000C4E0D" w:rsidRDefault="00B70F48" w:rsidP="000C4E0D">
            <w:pPr>
              <w:tabs>
                <w:tab w:val="left" w:pos="2552"/>
              </w:tabs>
              <w:spacing w:line="240" w:lineRule="auto"/>
              <w:rPr>
                <w:sz w:val="16"/>
                <w:szCs w:val="16"/>
                <w:lang w:val="en-GB"/>
              </w:rPr>
            </w:pPr>
            <w:r w:rsidRPr="000C4E0D">
              <w:rPr>
                <w:sz w:val="16"/>
                <w:szCs w:val="16"/>
                <w:lang w:val="en-GB"/>
              </w:rPr>
              <w:t>Surrogate-based + high-fidelity simulation</w:t>
            </w:r>
          </w:p>
        </w:tc>
        <w:tc>
          <w:tcPr>
            <w:tcW w:w="1662" w:type="dxa"/>
            <w:tcMar>
              <w:top w:w="60" w:type="dxa"/>
              <w:left w:w="100" w:type="dxa"/>
              <w:bottom w:w="60" w:type="dxa"/>
              <w:right w:w="100" w:type="dxa"/>
            </w:tcMar>
          </w:tcPr>
          <w:p w14:paraId="705227D3" w14:textId="77777777" w:rsidR="00B70F48" w:rsidRPr="000C4E0D" w:rsidRDefault="00B70F48" w:rsidP="000C4E0D">
            <w:pPr>
              <w:tabs>
                <w:tab w:val="left" w:pos="2552"/>
              </w:tabs>
              <w:spacing w:line="240" w:lineRule="auto"/>
              <w:rPr>
                <w:sz w:val="16"/>
                <w:szCs w:val="16"/>
                <w:lang w:val="en-GB"/>
              </w:rPr>
            </w:pPr>
            <w:r w:rsidRPr="000C4E0D">
              <w:rPr>
                <w:sz w:val="16"/>
                <w:szCs w:val="16"/>
                <w:lang w:val="en-GB"/>
              </w:rPr>
              <w:t>Full hybrid system design variables</w:t>
            </w:r>
          </w:p>
        </w:tc>
        <w:tc>
          <w:tcPr>
            <w:tcW w:w="1662" w:type="dxa"/>
            <w:tcMar>
              <w:top w:w="60" w:type="dxa"/>
              <w:left w:w="100" w:type="dxa"/>
              <w:bottom w:w="60" w:type="dxa"/>
              <w:right w:w="100" w:type="dxa"/>
            </w:tcMar>
          </w:tcPr>
          <w:p w14:paraId="1ACECD27" w14:textId="77777777" w:rsidR="00B70F48" w:rsidRPr="000C4E0D" w:rsidRDefault="00B70F48" w:rsidP="000C4E0D">
            <w:pPr>
              <w:tabs>
                <w:tab w:val="left" w:pos="2552"/>
              </w:tabs>
              <w:spacing w:line="240" w:lineRule="auto"/>
              <w:rPr>
                <w:sz w:val="16"/>
                <w:szCs w:val="16"/>
                <w:lang w:val="en-GB"/>
              </w:rPr>
            </w:pPr>
            <w:r w:rsidRPr="000C4E0D">
              <w:rPr>
                <w:sz w:val="16"/>
                <w:szCs w:val="16"/>
                <w:lang w:val="en-GB"/>
              </w:rPr>
              <w:t>Coupled aero-hydrodynamic performance</w:t>
            </w:r>
          </w:p>
        </w:tc>
        <w:tc>
          <w:tcPr>
            <w:tcW w:w="1067" w:type="dxa"/>
            <w:tcMar>
              <w:top w:w="60" w:type="dxa"/>
              <w:left w:w="100" w:type="dxa"/>
              <w:bottom w:w="60" w:type="dxa"/>
              <w:right w:w="100" w:type="dxa"/>
            </w:tcMar>
          </w:tcPr>
          <w:p w14:paraId="0AA1229E" w14:textId="4FE258CA" w:rsidR="00B70F48" w:rsidRPr="000C4E0D" w:rsidRDefault="00B70F48" w:rsidP="000C4E0D">
            <w:pPr>
              <w:tabs>
                <w:tab w:val="left" w:pos="2552"/>
              </w:tabs>
              <w:spacing w:line="240" w:lineRule="auto"/>
              <w:rPr>
                <w:sz w:val="16"/>
                <w:szCs w:val="16"/>
                <w:lang w:val="en-GB"/>
              </w:rPr>
            </w:pPr>
            <w:r w:rsidRPr="000C4E0D">
              <w:rPr>
                <w:sz w:val="16"/>
                <w:szCs w:val="16"/>
                <w:lang w:val="en-GB"/>
              </w:rPr>
              <w:t>[</w:t>
            </w:r>
            <w:r w:rsidR="0018626E">
              <w:rPr>
                <w:sz w:val="16"/>
                <w:szCs w:val="16"/>
                <w:lang w:val="en-GB"/>
              </w:rPr>
              <w:t>14,</w:t>
            </w:r>
            <w:r w:rsidR="000D1316" w:rsidRPr="000C4E0D">
              <w:rPr>
                <w:sz w:val="16"/>
                <w:szCs w:val="16"/>
                <w:lang w:val="en-GB"/>
              </w:rPr>
              <w:t>42</w:t>
            </w:r>
            <w:r w:rsidRPr="000C4E0D">
              <w:rPr>
                <w:sz w:val="16"/>
                <w:szCs w:val="16"/>
                <w:lang w:val="en-GB"/>
              </w:rPr>
              <w:t>]</w:t>
            </w:r>
          </w:p>
        </w:tc>
        <w:tc>
          <w:tcPr>
            <w:tcW w:w="1312" w:type="dxa"/>
            <w:tcMar>
              <w:top w:w="60" w:type="dxa"/>
              <w:left w:w="100" w:type="dxa"/>
              <w:bottom w:w="60" w:type="dxa"/>
              <w:right w:w="100" w:type="dxa"/>
            </w:tcMar>
          </w:tcPr>
          <w:p w14:paraId="62B9CBE2" w14:textId="77777777" w:rsidR="00B70F48" w:rsidRPr="000C4E0D" w:rsidRDefault="00B70F48" w:rsidP="000C4E0D">
            <w:pPr>
              <w:tabs>
                <w:tab w:val="left" w:pos="2552"/>
              </w:tabs>
              <w:spacing w:line="240" w:lineRule="auto"/>
              <w:rPr>
                <w:sz w:val="16"/>
                <w:szCs w:val="16"/>
                <w:lang w:val="en-GB"/>
              </w:rPr>
            </w:pPr>
            <w:proofErr w:type="spellStart"/>
            <w:r w:rsidRPr="000C4E0D">
              <w:rPr>
                <w:sz w:val="16"/>
                <w:szCs w:val="16"/>
                <w:lang w:val="en-GB"/>
              </w:rPr>
              <w:t>OpenFAST</w:t>
            </w:r>
            <w:proofErr w:type="spellEnd"/>
            <w:r w:rsidRPr="000C4E0D">
              <w:rPr>
                <w:sz w:val="16"/>
                <w:szCs w:val="16"/>
                <w:lang w:val="en-GB"/>
              </w:rPr>
              <w:t xml:space="preserve"> extension to WEC subsystems — active frontier</w:t>
            </w:r>
          </w:p>
        </w:tc>
      </w:tr>
    </w:tbl>
    <w:p w14:paraId="6C3B25E4" w14:textId="77777777" w:rsidR="009C28BB" w:rsidRPr="000C4E0D" w:rsidRDefault="009C28BB" w:rsidP="000C4E0D">
      <w:pPr>
        <w:tabs>
          <w:tab w:val="left" w:pos="2552"/>
        </w:tabs>
        <w:spacing w:line="240" w:lineRule="auto"/>
        <w:rPr>
          <w:rFonts w:eastAsia="Times New Roman"/>
          <w:lang w:eastAsia="en-GB"/>
        </w:rPr>
      </w:pPr>
    </w:p>
    <w:p w14:paraId="34297CF0" w14:textId="11D40C8C" w:rsidR="009C28BB" w:rsidRPr="004B2EBA" w:rsidRDefault="009C28BB" w:rsidP="000C4E0D">
      <w:pPr>
        <w:tabs>
          <w:tab w:val="left" w:pos="2552"/>
        </w:tabs>
        <w:spacing w:before="100" w:beforeAutospacing="1" w:after="100" w:afterAutospacing="1" w:line="240" w:lineRule="auto"/>
        <w:ind w:left="2552"/>
        <w:rPr>
          <w:rFonts w:eastAsia="Times New Roman"/>
          <w:b/>
          <w:bCs/>
          <w:sz w:val="24"/>
          <w:szCs w:val="24"/>
          <w:lang w:val="en-GB" w:eastAsia="en-GB"/>
        </w:rPr>
      </w:pPr>
      <w:r w:rsidRPr="004B2EBA">
        <w:rPr>
          <w:rFonts w:eastAsia="Times New Roman"/>
          <w:b/>
          <w:bCs/>
          <w:sz w:val="24"/>
          <w:szCs w:val="24"/>
          <w:lang w:val="en-GB" w:eastAsia="en-GB"/>
        </w:rPr>
        <w:lastRenderedPageBreak/>
        <w:t>5.5.2 Device-Level Optimi</w:t>
      </w:r>
      <w:r w:rsidR="00E76503" w:rsidRPr="004B2EBA">
        <w:rPr>
          <w:rFonts w:eastAsia="Times New Roman"/>
          <w:b/>
          <w:bCs/>
          <w:sz w:val="24"/>
          <w:szCs w:val="24"/>
          <w:lang w:val="en-GB" w:eastAsia="en-GB"/>
        </w:rPr>
        <w:t>z</w:t>
      </w:r>
      <w:r w:rsidRPr="004B2EBA">
        <w:rPr>
          <w:rFonts w:eastAsia="Times New Roman"/>
          <w:b/>
          <w:bCs/>
          <w:sz w:val="24"/>
          <w:szCs w:val="24"/>
          <w:lang w:val="en-GB" w:eastAsia="en-GB"/>
        </w:rPr>
        <w:t>ation</w:t>
      </w:r>
    </w:p>
    <w:p w14:paraId="36AADD54" w14:textId="31C980B6" w:rsidR="009C28BB" w:rsidRPr="00AD6CB0" w:rsidRDefault="00604195" w:rsidP="000C4E0D">
      <w:pPr>
        <w:tabs>
          <w:tab w:val="left" w:pos="2552"/>
        </w:tabs>
        <w:spacing w:before="100" w:beforeAutospacing="1" w:after="100" w:afterAutospacing="1" w:line="240" w:lineRule="auto"/>
        <w:ind w:left="2552"/>
        <w:rPr>
          <w:rFonts w:eastAsia="Times New Roman"/>
          <w:color w:val="000000" w:themeColor="text1"/>
          <w:lang w:val="en-GB" w:eastAsia="en-GB"/>
        </w:rPr>
      </w:pPr>
      <w:r w:rsidRPr="00AD6CB0">
        <w:rPr>
          <w:rFonts w:eastAsia="Times New Roman"/>
          <w:color w:val="000000" w:themeColor="text1"/>
          <w:lang w:val="en-GB" w:eastAsia="en-GB"/>
        </w:rPr>
        <w:t>For point absorber hybrids, optimization efforts in the reviewed literature have focused primarily on three interdependent design variables: PTO damping coefficient, WEC natural frequency tuning, and spatial placement of WEC units around the platform perimeter [62,63,106,112]. Nonlinear hydrodynamic modelling of heaving buoy WECs further demonstrates that accurate representation of device motion and fluid–body interaction is important when assessing PTO tuning and energy capture under realistic wave conditions [112]. Research by Ringwood et al. has demonstrated that optimal PTO control can increase wave energy capture by 50–100% relative to passive configurations, while simultaneously improving motion damping characteristics of the host platform [88,89].</w:t>
      </w:r>
      <w:r w:rsidR="009C28BB" w:rsidRPr="00AD6CB0">
        <w:rPr>
          <w:rFonts w:eastAsia="Times New Roman"/>
          <w:color w:val="000000" w:themeColor="text1"/>
          <w:lang w:val="en-GB" w:eastAsia="en-GB"/>
        </w:rPr>
        <w:t xml:space="preserve"> Parameter sensitivity studies by Sarmiento et al. have identified PTO damping and WEC resonant frequency as the most influential design variables for point absorber hybrids across a range of sea states [</w:t>
      </w:r>
      <w:r w:rsidR="00A8433D" w:rsidRPr="00AD6CB0">
        <w:rPr>
          <w:rFonts w:eastAsia="Times New Roman"/>
          <w:color w:val="000000" w:themeColor="text1"/>
          <w:lang w:val="en-GB" w:eastAsia="en-GB"/>
        </w:rPr>
        <w:t>113</w:t>
      </w:r>
      <w:r w:rsidR="009C28BB" w:rsidRPr="00AD6CB0">
        <w:rPr>
          <w:rFonts w:eastAsia="Times New Roman"/>
          <w:color w:val="000000" w:themeColor="text1"/>
          <w:lang w:val="en-GB" w:eastAsia="en-GB"/>
        </w:rPr>
        <w:t xml:space="preserve">], </w:t>
      </w:r>
      <w:r w:rsidR="007701AC" w:rsidRPr="007701AC">
        <w:rPr>
          <w:rFonts w:eastAsia="Times New Roman"/>
          <w:color w:val="000000" w:themeColor="text1"/>
          <w:lang w:val="en-GB" w:eastAsia="en-GB"/>
        </w:rPr>
        <w:t>while studies by Hu et al. have shown that the optimal design and performance of WECs integrated with floating wind platforms depend strongly on PTO-related parameters, layout, and system-level coupling effects, reinforcing the necessity of system-level rather than device-level optimization for this configuration [63]</w:t>
      </w:r>
      <w:r w:rsidR="009C28BB" w:rsidRPr="00AD6CB0">
        <w:rPr>
          <w:rFonts w:eastAsia="Times New Roman"/>
          <w:color w:val="000000" w:themeColor="text1"/>
          <w:lang w:val="en-GB" w:eastAsia="en-GB"/>
        </w:rPr>
        <w:t>.</w:t>
      </w:r>
    </w:p>
    <w:p w14:paraId="53F9A6B2" w14:textId="095DB722" w:rsidR="009C28BB" w:rsidRPr="000C4E0D" w:rsidRDefault="004E38DA" w:rsidP="000C4E0D">
      <w:pPr>
        <w:tabs>
          <w:tab w:val="left" w:pos="2552"/>
        </w:tabs>
        <w:spacing w:before="100" w:beforeAutospacing="1" w:after="100" w:afterAutospacing="1" w:line="240" w:lineRule="auto"/>
        <w:ind w:left="2552"/>
        <w:rPr>
          <w:rFonts w:eastAsia="Times New Roman"/>
          <w:lang w:val="en-GB" w:eastAsia="en-GB"/>
        </w:rPr>
      </w:pPr>
      <w:r w:rsidRPr="00AF09A8">
        <w:rPr>
          <w:rFonts w:eastAsia="Times New Roman"/>
          <w:color w:val="000000" w:themeColor="text1"/>
          <w:lang w:val="en-GB" w:eastAsia="en-GB"/>
        </w:rPr>
        <w:t>For OWC-based hybrids, device-level optimization has centred on chamber geometry, turbine characteristics, and station-keeping behaviour, with studies demonstrating that OWC performance depends on chamber dimensions, airflow dynamics, hydrodynamic response, and mooring configuration under site-specific wave conditions [45,49,66,109]</w:t>
      </w:r>
      <w:r w:rsidR="006D2E9F" w:rsidRPr="00AF09A8">
        <w:rPr>
          <w:rFonts w:eastAsia="Times New Roman"/>
          <w:color w:val="000000" w:themeColor="text1"/>
          <w:lang w:val="en-GB" w:eastAsia="en-GB"/>
        </w:rPr>
        <w:t>.</w:t>
      </w:r>
      <w:r w:rsidR="009C28BB" w:rsidRPr="00AF09A8">
        <w:rPr>
          <w:rFonts w:eastAsia="Times New Roman"/>
          <w:color w:val="000000" w:themeColor="text1"/>
          <w:lang w:val="en-GB" w:eastAsia="en-GB"/>
        </w:rPr>
        <w:t xml:space="preserve"> </w:t>
      </w:r>
      <w:r w:rsidR="009C28BB" w:rsidRPr="000C4E0D">
        <w:rPr>
          <w:rFonts w:eastAsia="Times New Roman"/>
          <w:lang w:val="en-GB" w:eastAsia="en-GB"/>
        </w:rPr>
        <w:t>Gomes et al. have developed optimi</w:t>
      </w:r>
      <w:r w:rsidR="002C3D9F" w:rsidRPr="000C4E0D">
        <w:rPr>
          <w:rFonts w:eastAsia="Times New Roman"/>
          <w:lang w:val="en-GB" w:eastAsia="en-GB"/>
        </w:rPr>
        <w:t>z</w:t>
      </w:r>
      <w:r w:rsidR="009C28BB" w:rsidRPr="000C4E0D">
        <w:rPr>
          <w:rFonts w:eastAsia="Times New Roman"/>
          <w:lang w:val="en-GB" w:eastAsia="en-GB"/>
        </w:rPr>
        <w:t>ation frameworks specifically for OWC chamber geometry, showing that coordinated optimi</w:t>
      </w:r>
      <w:r w:rsidR="002C3D9F" w:rsidRPr="000C4E0D">
        <w:rPr>
          <w:rFonts w:eastAsia="Times New Roman"/>
          <w:lang w:val="en-GB" w:eastAsia="en-GB"/>
        </w:rPr>
        <w:t>z</w:t>
      </w:r>
      <w:r w:rsidR="009C28BB" w:rsidRPr="000C4E0D">
        <w:rPr>
          <w:rFonts w:eastAsia="Times New Roman"/>
          <w:lang w:val="en-GB" w:eastAsia="en-GB"/>
        </w:rPr>
        <w:t>ation of these parameters can substantially increase annual energy production relative to non-optimised designs [</w:t>
      </w:r>
      <w:r w:rsidR="00EE1028">
        <w:rPr>
          <w:rFonts w:eastAsia="Times New Roman"/>
          <w:lang w:val="en-GB" w:eastAsia="en-GB"/>
        </w:rPr>
        <w:t>90,</w:t>
      </w:r>
      <w:r w:rsidR="006D053D">
        <w:rPr>
          <w:rFonts w:eastAsia="Times New Roman"/>
          <w:lang w:val="en-GB" w:eastAsia="en-GB"/>
        </w:rPr>
        <w:t>109</w:t>
      </w:r>
      <w:r w:rsidR="009C28BB" w:rsidRPr="000C4E0D">
        <w:rPr>
          <w:rFonts w:eastAsia="Times New Roman"/>
          <w:lang w:val="en-GB" w:eastAsia="en-GB"/>
        </w:rPr>
        <w:t>]. Turbine control strategies that regulate airflow across varying sea states have been examined by Henriques et al., demonstrating that active control of the air turbine can improve off-resonance performance and reduce the sensitivity of annual energy yield to site-specific wave climate variability [</w:t>
      </w:r>
      <w:r w:rsidR="00D33B70">
        <w:rPr>
          <w:rFonts w:eastAsia="Times New Roman"/>
          <w:lang w:val="en-GB" w:eastAsia="en-GB"/>
        </w:rPr>
        <w:t>66</w:t>
      </w:r>
      <w:r w:rsidR="009C28BB" w:rsidRPr="000C4E0D">
        <w:rPr>
          <w:rFonts w:eastAsia="Times New Roman"/>
          <w:lang w:val="en-GB" w:eastAsia="en-GB"/>
        </w:rPr>
        <w:t>].</w:t>
      </w:r>
    </w:p>
    <w:p w14:paraId="1D9C44A6" w14:textId="22C1CD2B" w:rsidR="00A33A11" w:rsidRPr="000C4E0D" w:rsidRDefault="002651AA" w:rsidP="000C4E0D">
      <w:pPr>
        <w:tabs>
          <w:tab w:val="left" w:pos="2552"/>
        </w:tabs>
        <w:spacing w:before="100" w:beforeAutospacing="1" w:after="100" w:afterAutospacing="1" w:line="240" w:lineRule="auto"/>
        <w:ind w:left="2552"/>
        <w:rPr>
          <w:rFonts w:eastAsia="Times New Roman"/>
          <w:lang w:val="en-GB" w:eastAsia="en-GB"/>
        </w:rPr>
      </w:pPr>
      <w:r w:rsidRPr="00AF09A8">
        <w:rPr>
          <w:rFonts w:eastAsia="Times New Roman"/>
          <w:color w:val="000000" w:themeColor="text1"/>
          <w:lang w:val="en-GB" w:eastAsia="en-GB"/>
        </w:rPr>
        <w:t>For flap-type WEC hybrids, device-level optimization must address not only energy capture but also structural load mitigation, given the large dynamic forces associated with oscillating surge and flap-type devices [51,72,95,96]</w:t>
      </w:r>
      <w:r w:rsidR="009C28BB" w:rsidRPr="00AF09A8">
        <w:rPr>
          <w:rFonts w:eastAsia="Times New Roman"/>
          <w:color w:val="000000" w:themeColor="text1"/>
          <w:lang w:val="en-GB" w:eastAsia="en-GB"/>
        </w:rPr>
        <w:t xml:space="preserve">. </w:t>
      </w:r>
      <w:r w:rsidR="009C28BB" w:rsidRPr="000C4E0D">
        <w:rPr>
          <w:rFonts w:eastAsia="Times New Roman"/>
          <w:lang w:val="en-GB" w:eastAsia="en-GB"/>
        </w:rPr>
        <w:t>The hinge mechanism, flap dimensions, and PTO characteristics must be carefully coordinated to balance energy capture against fatigue loading on both the WEC and the host platform structure [</w:t>
      </w:r>
      <w:r w:rsidR="00FA791A" w:rsidRPr="000C4E0D">
        <w:rPr>
          <w:rFonts w:eastAsia="Times New Roman"/>
          <w:lang w:val="en-GB" w:eastAsia="en-GB"/>
        </w:rPr>
        <w:t>53</w:t>
      </w:r>
      <w:r w:rsidR="009C28BB" w:rsidRPr="000C4E0D">
        <w:rPr>
          <w:rFonts w:eastAsia="Times New Roman"/>
          <w:lang w:val="en-GB" w:eastAsia="en-GB"/>
        </w:rPr>
        <w:t xml:space="preserve">,74]. </w:t>
      </w:r>
      <w:r w:rsidR="009B74A4" w:rsidRPr="009B74A4">
        <w:rPr>
          <w:rFonts w:eastAsia="Times New Roman"/>
          <w:lang w:val="en-GB" w:eastAsia="en-GB"/>
        </w:rPr>
        <w:t>Nonlinear modelling studies reviewed by Penalba et al. highlight that flap-type and other WEC systems can exhibit strongly nonlinear hydrodynamic behaviour, reinforcing the need for optimization approaches that account for both energy capture and structural response [70].</w:t>
      </w:r>
      <w:r w:rsidR="009B74A4">
        <w:rPr>
          <w:rFonts w:eastAsia="Times New Roman"/>
          <w:lang w:val="en-GB" w:eastAsia="en-GB"/>
        </w:rPr>
        <w:t xml:space="preserve"> </w:t>
      </w:r>
      <w:r w:rsidR="009C28BB" w:rsidRPr="000C4E0D">
        <w:rPr>
          <w:rFonts w:eastAsia="Times New Roman"/>
          <w:lang w:val="en-GB" w:eastAsia="en-GB"/>
        </w:rPr>
        <w:t>These results confirm that single-objective optimi</w:t>
      </w:r>
      <w:r w:rsidR="002C3D9F" w:rsidRPr="000C4E0D">
        <w:rPr>
          <w:rFonts w:eastAsia="Times New Roman"/>
          <w:lang w:val="en-GB" w:eastAsia="en-GB"/>
        </w:rPr>
        <w:t>z</w:t>
      </w:r>
      <w:r w:rsidR="009C28BB" w:rsidRPr="000C4E0D">
        <w:rPr>
          <w:rFonts w:eastAsia="Times New Roman"/>
          <w:lang w:val="en-GB" w:eastAsia="en-GB"/>
        </w:rPr>
        <w:t xml:space="preserve">ation for maximum </w:t>
      </w:r>
      <w:r w:rsidR="009C28BB" w:rsidRPr="000C4E0D">
        <w:rPr>
          <w:rFonts w:eastAsia="Times New Roman"/>
          <w:lang w:val="en-GB" w:eastAsia="en-GB"/>
        </w:rPr>
        <w:lastRenderedPageBreak/>
        <w:t>power capture will systematically overestimate achievable performance in operational hybrid systems by ignoring structural constraints [</w:t>
      </w:r>
      <w:r w:rsidR="00653745" w:rsidRPr="000C4E0D">
        <w:rPr>
          <w:rFonts w:eastAsia="Times New Roman"/>
          <w:lang w:val="en-GB" w:eastAsia="en-GB"/>
        </w:rPr>
        <w:t>15</w:t>
      </w:r>
      <w:r w:rsidR="009C28BB" w:rsidRPr="000C4E0D">
        <w:rPr>
          <w:rFonts w:eastAsia="Times New Roman"/>
          <w:lang w:val="en-GB" w:eastAsia="en-GB"/>
        </w:rPr>
        <w:t>].</w:t>
      </w:r>
    </w:p>
    <w:p w14:paraId="67A3EFE3" w14:textId="707C9BD0" w:rsidR="009C28BB" w:rsidRPr="004B2EBA" w:rsidRDefault="009C28BB" w:rsidP="000C4E0D">
      <w:pPr>
        <w:tabs>
          <w:tab w:val="left" w:pos="2552"/>
        </w:tabs>
        <w:spacing w:before="100" w:beforeAutospacing="1" w:after="100" w:afterAutospacing="1" w:line="240" w:lineRule="auto"/>
        <w:ind w:left="2552"/>
        <w:rPr>
          <w:rFonts w:eastAsia="Times New Roman"/>
          <w:b/>
          <w:bCs/>
          <w:sz w:val="24"/>
          <w:szCs w:val="24"/>
          <w:lang w:val="en-GB" w:eastAsia="en-GB"/>
        </w:rPr>
      </w:pPr>
      <w:r w:rsidRPr="004B2EBA">
        <w:rPr>
          <w:rFonts w:eastAsia="Times New Roman"/>
          <w:b/>
          <w:bCs/>
          <w:sz w:val="24"/>
          <w:szCs w:val="24"/>
          <w:lang w:val="en-GB" w:eastAsia="en-GB"/>
        </w:rPr>
        <w:t>5.5.3 System-Level and Multi-Objective Optimi</w:t>
      </w:r>
      <w:r w:rsidR="00E76503" w:rsidRPr="004B2EBA">
        <w:rPr>
          <w:rFonts w:eastAsia="Times New Roman"/>
          <w:b/>
          <w:bCs/>
          <w:sz w:val="24"/>
          <w:szCs w:val="24"/>
          <w:lang w:val="en-GB" w:eastAsia="en-GB"/>
        </w:rPr>
        <w:t>z</w:t>
      </w:r>
      <w:r w:rsidRPr="004B2EBA">
        <w:rPr>
          <w:rFonts w:eastAsia="Times New Roman"/>
          <w:b/>
          <w:bCs/>
          <w:sz w:val="24"/>
          <w:szCs w:val="24"/>
          <w:lang w:val="en-GB" w:eastAsia="en-GB"/>
        </w:rPr>
        <w:t>ation</w:t>
      </w:r>
    </w:p>
    <w:p w14:paraId="1736C430" w14:textId="574FAF41" w:rsidR="009C28BB" w:rsidRPr="000C4E0D" w:rsidRDefault="00D107E2" w:rsidP="000C4E0D">
      <w:pPr>
        <w:tabs>
          <w:tab w:val="left" w:pos="2552"/>
        </w:tabs>
        <w:spacing w:before="100" w:beforeAutospacing="1" w:after="100" w:afterAutospacing="1" w:line="240" w:lineRule="auto"/>
        <w:ind w:left="2552"/>
        <w:rPr>
          <w:rFonts w:eastAsia="Times New Roman"/>
          <w:lang w:val="en-GB" w:eastAsia="en-GB"/>
        </w:rPr>
      </w:pPr>
      <w:r w:rsidRPr="00D107E2">
        <w:rPr>
          <w:rFonts w:eastAsia="Times New Roman"/>
          <w:lang w:val="en-GB" w:eastAsia="en-GB"/>
        </w:rPr>
        <w:t>At the system level, the most important finding across the reviewed literature is that no single hybrid configuration consistently outperforms others across all performance criteria simultaneously [14,21,108].</w:t>
      </w:r>
      <w:r w:rsidR="009C28BB" w:rsidRPr="000C4E0D">
        <w:rPr>
          <w:rFonts w:eastAsia="Times New Roman"/>
          <w:lang w:val="en-GB" w:eastAsia="en-GB"/>
        </w:rPr>
        <w:t xml:space="preserve"> Performance is governed by a set of interdependent parameters — including WEC placement, PTO damping, mass distribution, platform geometry, mooring configuration, and control architecture — whose optimal values differ depending on the integration strategy and deployment site [</w:t>
      </w:r>
      <w:r w:rsidR="0018626E">
        <w:rPr>
          <w:rFonts w:eastAsia="Times New Roman"/>
          <w:lang w:val="en-GB" w:eastAsia="en-GB"/>
        </w:rPr>
        <w:t>14,</w:t>
      </w:r>
      <w:r w:rsidR="009C28BB" w:rsidRPr="000C4E0D">
        <w:rPr>
          <w:rFonts w:eastAsia="Times New Roman"/>
          <w:lang w:val="en-GB" w:eastAsia="en-GB"/>
        </w:rPr>
        <w:t>16,17]. This finding strongly motivates the adoption of multi-objective optimi</w:t>
      </w:r>
      <w:r w:rsidR="002C3D9F" w:rsidRPr="000C4E0D">
        <w:rPr>
          <w:rFonts w:eastAsia="Times New Roman"/>
          <w:lang w:val="en-GB" w:eastAsia="en-GB"/>
        </w:rPr>
        <w:t>z</w:t>
      </w:r>
      <w:r w:rsidR="009C28BB" w:rsidRPr="000C4E0D">
        <w:rPr>
          <w:rFonts w:eastAsia="Times New Roman"/>
          <w:lang w:val="en-GB" w:eastAsia="en-GB"/>
        </w:rPr>
        <w:t>ation frameworks capable of simultaneously addressing coupled aerodynamic, hydrodynamic, and structural dynamics across the full hybrid system [</w:t>
      </w:r>
      <w:r w:rsidR="009D60AC" w:rsidRPr="000C4E0D">
        <w:rPr>
          <w:rFonts w:eastAsia="Times New Roman"/>
          <w:lang w:val="en-GB" w:eastAsia="en-GB"/>
        </w:rPr>
        <w:t>108</w:t>
      </w:r>
      <w:r w:rsidR="009C28BB" w:rsidRPr="000C4E0D">
        <w:rPr>
          <w:rFonts w:eastAsia="Times New Roman"/>
          <w:lang w:val="en-GB" w:eastAsia="en-GB"/>
        </w:rPr>
        <w:t>].</w:t>
      </w:r>
    </w:p>
    <w:p w14:paraId="2B112E6B" w14:textId="3A218979" w:rsidR="009C28BB" w:rsidRPr="000C4E0D" w:rsidRDefault="009C28BB" w:rsidP="000C4E0D">
      <w:pPr>
        <w:tabs>
          <w:tab w:val="left" w:pos="2552"/>
        </w:tabs>
        <w:spacing w:before="100" w:beforeAutospacing="1" w:after="100" w:afterAutospacing="1" w:line="240" w:lineRule="auto"/>
        <w:ind w:left="2552"/>
        <w:rPr>
          <w:rFonts w:eastAsia="Times New Roman"/>
          <w:lang w:val="en-GB" w:eastAsia="en-GB"/>
        </w:rPr>
      </w:pPr>
      <w:r w:rsidRPr="000C4E0D">
        <w:rPr>
          <w:rFonts w:eastAsia="Times New Roman"/>
          <w:lang w:val="en-GB" w:eastAsia="en-GB"/>
        </w:rPr>
        <w:t>Despite this motivation, truly integrated system-level optimi</w:t>
      </w:r>
      <w:r w:rsidR="002C3D9F" w:rsidRPr="000C4E0D">
        <w:rPr>
          <w:rFonts w:eastAsia="Times New Roman"/>
          <w:lang w:val="en-GB" w:eastAsia="en-GB"/>
        </w:rPr>
        <w:t>z</w:t>
      </w:r>
      <w:r w:rsidRPr="000C4E0D">
        <w:rPr>
          <w:rFonts w:eastAsia="Times New Roman"/>
          <w:lang w:val="en-GB" w:eastAsia="en-GB"/>
        </w:rPr>
        <w:t>ation of hybrid wave–wind platforms — where aerodynamic, hydrodynamic, structural, and economic objectives are jointly optimised within a single computational framework — remains largely absent from the current literature [</w:t>
      </w:r>
      <w:r w:rsidR="0018626E">
        <w:rPr>
          <w:rFonts w:eastAsia="Times New Roman"/>
          <w:lang w:val="en-GB" w:eastAsia="en-GB"/>
        </w:rPr>
        <w:t>14,</w:t>
      </w:r>
      <w:r w:rsidRPr="000C4E0D">
        <w:rPr>
          <w:rFonts w:eastAsia="Times New Roman"/>
          <w:lang w:val="en-GB" w:eastAsia="en-GB"/>
        </w:rPr>
        <w:t>21,</w:t>
      </w:r>
      <w:r w:rsidR="004E324E" w:rsidRPr="000C4E0D">
        <w:rPr>
          <w:rFonts w:eastAsia="Times New Roman"/>
          <w:lang w:val="en-GB" w:eastAsia="en-GB"/>
        </w:rPr>
        <w:t>19</w:t>
      </w:r>
      <w:r w:rsidRPr="000C4E0D">
        <w:rPr>
          <w:rFonts w:eastAsia="Times New Roman"/>
          <w:lang w:val="en-GB" w:eastAsia="en-GB"/>
        </w:rPr>
        <w:t xml:space="preserve">]. </w:t>
      </w:r>
      <w:proofErr w:type="gramStart"/>
      <w:r w:rsidRPr="000C4E0D">
        <w:rPr>
          <w:rFonts w:eastAsia="Times New Roman"/>
          <w:lang w:val="en-GB" w:eastAsia="en-GB"/>
        </w:rPr>
        <w:t>The majority of</w:t>
      </w:r>
      <w:proofErr w:type="gramEnd"/>
      <w:r w:rsidRPr="000C4E0D">
        <w:rPr>
          <w:rFonts w:eastAsia="Times New Roman"/>
          <w:lang w:val="en-GB" w:eastAsia="en-GB"/>
        </w:rPr>
        <w:t xml:space="preserve"> reviewed optimi</w:t>
      </w:r>
      <w:r w:rsidR="002C3D9F" w:rsidRPr="000C4E0D">
        <w:rPr>
          <w:rFonts w:eastAsia="Times New Roman"/>
          <w:lang w:val="en-GB" w:eastAsia="en-GB"/>
        </w:rPr>
        <w:t>z</w:t>
      </w:r>
      <w:r w:rsidRPr="000C4E0D">
        <w:rPr>
          <w:rFonts w:eastAsia="Times New Roman"/>
          <w:lang w:val="en-GB" w:eastAsia="en-GB"/>
        </w:rPr>
        <w:t>ation studies address either the WEC subsystem in isolation or the floating platform with WEC effects approximated through simplified force models, rather than treating the hybrid system as a coupled multi-physics design problem from the outset [5,16,17]. This represents the most significant gap identified in this review, and its resolution is identified as the principal direction for future research in Section 6.</w:t>
      </w:r>
    </w:p>
    <w:p w14:paraId="25580105" w14:textId="3E6C9DDB" w:rsidR="00B6014C" w:rsidRPr="00AD6CB0" w:rsidRDefault="003B53FF" w:rsidP="00AD6CB0">
      <w:pPr>
        <w:tabs>
          <w:tab w:val="left" w:pos="2552"/>
        </w:tabs>
        <w:spacing w:before="100" w:beforeAutospacing="1" w:after="100" w:afterAutospacing="1" w:line="240" w:lineRule="auto"/>
        <w:ind w:left="2552"/>
        <w:rPr>
          <w:rFonts w:eastAsia="Times New Roman"/>
          <w:color w:val="000000" w:themeColor="text1"/>
          <w:lang w:val="en-GB" w:eastAsia="en-GB"/>
        </w:rPr>
      </w:pPr>
      <w:r w:rsidRPr="00AD6CB0">
        <w:rPr>
          <w:rFonts w:eastAsia="Times New Roman"/>
          <w:color w:val="000000" w:themeColor="text1"/>
          <w:lang w:val="en-GB" w:eastAsia="en-GB"/>
        </w:rPr>
        <w:t>Recent advances in computational optimization, including genetic algorithms, surrogate-based methods, and machine learning approaches, are progressively enabling more comprehensive exploration of hybrid system design spaces [91,108].</w:t>
      </w:r>
      <w:r w:rsidR="009C28BB" w:rsidRPr="00AD6CB0">
        <w:rPr>
          <w:rFonts w:eastAsia="Times New Roman"/>
          <w:color w:val="000000" w:themeColor="text1"/>
          <w:lang w:val="en-GB" w:eastAsia="en-GB"/>
        </w:rPr>
        <w:t xml:space="preserve"> </w:t>
      </w:r>
      <w:r w:rsidR="00105CC7" w:rsidRPr="00AD6CB0">
        <w:rPr>
          <w:rFonts w:eastAsia="Times New Roman"/>
          <w:color w:val="000000" w:themeColor="text1"/>
          <w:lang w:val="en-GB" w:eastAsia="en-GB"/>
        </w:rPr>
        <w:t xml:space="preserve">Studies by </w:t>
      </w:r>
      <w:proofErr w:type="spellStart"/>
      <w:r w:rsidR="00105CC7" w:rsidRPr="00AD6CB0">
        <w:rPr>
          <w:rFonts w:eastAsia="Times New Roman"/>
          <w:color w:val="000000" w:themeColor="text1"/>
          <w:lang w:val="en-GB" w:eastAsia="en-GB"/>
        </w:rPr>
        <w:t>Celesti</w:t>
      </w:r>
      <w:proofErr w:type="spellEnd"/>
      <w:r w:rsidR="00105CC7" w:rsidRPr="00AD6CB0">
        <w:rPr>
          <w:rFonts w:eastAsia="Times New Roman"/>
          <w:color w:val="000000" w:themeColor="text1"/>
          <w:lang w:val="en-GB" w:eastAsia="en-GB"/>
        </w:rPr>
        <w:t xml:space="preserve"> et al. have examined design considerations for hybrid wind–wave platforms under energy-maximising control, illustrating how control-oriented modelling can inform optimization of coupled hybrid systems [92].</w:t>
      </w:r>
      <w:r w:rsidR="009C28BB" w:rsidRPr="00AD6CB0">
        <w:rPr>
          <w:rFonts w:eastAsia="Times New Roman"/>
          <w:color w:val="000000" w:themeColor="text1"/>
          <w:lang w:val="en-GB" w:eastAsia="en-GB"/>
        </w:rPr>
        <w:t xml:space="preserve"> </w:t>
      </w:r>
      <w:r w:rsidR="009A0597" w:rsidRPr="00AD6CB0">
        <w:rPr>
          <w:rFonts w:eastAsia="Times New Roman"/>
          <w:color w:val="000000" w:themeColor="text1"/>
          <w:lang w:val="en-GB" w:eastAsia="en-GB"/>
        </w:rPr>
        <w:t xml:space="preserve">Wang et al. have demonstrated the feasibility of </w:t>
      </w:r>
      <w:proofErr w:type="spellStart"/>
      <w:r w:rsidR="009A0597" w:rsidRPr="00AD6CB0">
        <w:rPr>
          <w:rFonts w:eastAsia="Times New Roman"/>
          <w:color w:val="000000" w:themeColor="text1"/>
          <w:lang w:val="en-GB" w:eastAsia="en-GB"/>
        </w:rPr>
        <w:t>OpenFAST</w:t>
      </w:r>
      <w:proofErr w:type="spellEnd"/>
      <w:r w:rsidR="009A0597" w:rsidRPr="00AD6CB0">
        <w:rPr>
          <w:rFonts w:eastAsia="Times New Roman"/>
          <w:color w:val="000000" w:themeColor="text1"/>
          <w:lang w:val="en-GB" w:eastAsia="en-GB"/>
        </w:rPr>
        <w:t>-based coupled simulation frameworks for semi-submersible floating wind systems [18], while Yang et al. have developed an aero-hydro-servo-elastic coupling framework for floating offshore wind turbine analysis [5]. Extending such coupled modelling frameworks to include WEC subsystems represents a natural and achievable next step for the field [14].</w:t>
      </w:r>
    </w:p>
    <w:p w14:paraId="3C65725D" w14:textId="0FDED139" w:rsidR="009C28BB" w:rsidRPr="004B2EBA" w:rsidRDefault="009C28BB" w:rsidP="000C4E0D">
      <w:pPr>
        <w:tabs>
          <w:tab w:val="left" w:pos="2552"/>
        </w:tabs>
        <w:spacing w:before="100" w:beforeAutospacing="1" w:after="100" w:afterAutospacing="1" w:line="240" w:lineRule="auto"/>
        <w:ind w:left="2552"/>
        <w:rPr>
          <w:rFonts w:eastAsia="Times New Roman"/>
          <w:b/>
          <w:bCs/>
          <w:sz w:val="24"/>
          <w:szCs w:val="24"/>
          <w:lang w:val="en-GB" w:eastAsia="en-GB"/>
        </w:rPr>
      </w:pPr>
      <w:r w:rsidRPr="004B2EBA">
        <w:rPr>
          <w:rFonts w:eastAsia="Times New Roman"/>
          <w:b/>
          <w:bCs/>
          <w:sz w:val="24"/>
          <w:szCs w:val="24"/>
          <w:lang w:val="en-GB" w:eastAsia="en-GB"/>
        </w:rPr>
        <w:t>5.6 Summary of Key Trade-offs and Optimi</w:t>
      </w:r>
      <w:r w:rsidR="002C3D9F" w:rsidRPr="004B2EBA">
        <w:rPr>
          <w:rFonts w:eastAsia="Times New Roman"/>
          <w:b/>
          <w:bCs/>
          <w:sz w:val="24"/>
          <w:szCs w:val="24"/>
          <w:lang w:val="en-GB" w:eastAsia="en-GB"/>
        </w:rPr>
        <w:t>z</w:t>
      </w:r>
      <w:r w:rsidRPr="004B2EBA">
        <w:rPr>
          <w:rFonts w:eastAsia="Times New Roman"/>
          <w:b/>
          <w:bCs/>
          <w:sz w:val="24"/>
          <w:szCs w:val="24"/>
          <w:lang w:val="en-GB" w:eastAsia="en-GB"/>
        </w:rPr>
        <w:t>ation Implications</w:t>
      </w:r>
    </w:p>
    <w:p w14:paraId="1AE13EA4" w14:textId="13B21C7A" w:rsidR="009C28BB" w:rsidRPr="000C4E0D" w:rsidRDefault="009C28BB" w:rsidP="000C4E0D">
      <w:pPr>
        <w:tabs>
          <w:tab w:val="left" w:pos="2552"/>
        </w:tabs>
        <w:spacing w:before="100" w:beforeAutospacing="1" w:after="100" w:afterAutospacing="1" w:line="240" w:lineRule="auto"/>
        <w:ind w:left="2552"/>
        <w:rPr>
          <w:rFonts w:eastAsia="Times New Roman"/>
          <w:lang w:val="en-GB" w:eastAsia="en-GB"/>
        </w:rPr>
      </w:pPr>
      <w:r w:rsidRPr="000C4E0D">
        <w:rPr>
          <w:rFonts w:eastAsia="Times New Roman"/>
          <w:lang w:val="en-GB" w:eastAsia="en-GB"/>
        </w:rPr>
        <w:lastRenderedPageBreak/>
        <w:t>The comparative analysis presented in Sections 5.1 through 5.5 reveals several fundamental trade-offs that are consistently observed across hybrid wave–wind configurations in the reviewed literature. These trade-offs define the principal tension lines within which optimi</w:t>
      </w:r>
      <w:r w:rsidR="002C3D9F" w:rsidRPr="000C4E0D">
        <w:rPr>
          <w:rFonts w:eastAsia="Times New Roman"/>
          <w:lang w:val="en-GB" w:eastAsia="en-GB"/>
        </w:rPr>
        <w:t>z</w:t>
      </w:r>
      <w:r w:rsidRPr="000C4E0D">
        <w:rPr>
          <w:rFonts w:eastAsia="Times New Roman"/>
          <w:lang w:val="en-GB" w:eastAsia="en-GB"/>
        </w:rPr>
        <w:t>ation problems for hybrid platforms must be formulated, and their explicit identification here is intended to guide the construction of objective functions and constraint sets in future optimi</w:t>
      </w:r>
      <w:r w:rsidR="00E76503" w:rsidRPr="000C4E0D">
        <w:rPr>
          <w:rFonts w:eastAsia="Times New Roman"/>
          <w:lang w:val="en-GB" w:eastAsia="en-GB"/>
        </w:rPr>
        <w:t>z</w:t>
      </w:r>
      <w:r w:rsidRPr="000C4E0D">
        <w:rPr>
          <w:rFonts w:eastAsia="Times New Roman"/>
          <w:lang w:val="en-GB" w:eastAsia="en-GB"/>
        </w:rPr>
        <w:t>ation studies [</w:t>
      </w:r>
      <w:r w:rsidR="0018626E">
        <w:rPr>
          <w:rFonts w:eastAsia="Times New Roman"/>
          <w:lang w:val="en-GB" w:eastAsia="en-GB"/>
        </w:rPr>
        <w:t>19,</w:t>
      </w:r>
      <w:r w:rsidR="009D60AC" w:rsidRPr="000C4E0D">
        <w:rPr>
          <w:rFonts w:eastAsia="Times New Roman"/>
          <w:lang w:val="en-GB" w:eastAsia="en-GB"/>
        </w:rPr>
        <w:t>108</w:t>
      </w:r>
      <w:r w:rsidRPr="000C4E0D">
        <w:rPr>
          <w:rFonts w:eastAsia="Times New Roman"/>
          <w:lang w:val="en-GB" w:eastAsia="en-GB"/>
        </w:rPr>
        <w:t>].</w:t>
      </w:r>
    </w:p>
    <w:p w14:paraId="4E2CDFC9" w14:textId="77777777" w:rsidR="009C28BB" w:rsidRPr="004B2EBA" w:rsidRDefault="009C28BB" w:rsidP="000C4E0D">
      <w:pPr>
        <w:tabs>
          <w:tab w:val="left" w:pos="2552"/>
        </w:tabs>
        <w:spacing w:before="100" w:beforeAutospacing="1" w:after="100" w:afterAutospacing="1" w:line="240" w:lineRule="auto"/>
        <w:ind w:left="2552"/>
        <w:rPr>
          <w:rFonts w:eastAsia="Times New Roman"/>
          <w:b/>
          <w:bCs/>
          <w:sz w:val="24"/>
          <w:szCs w:val="24"/>
          <w:lang w:val="en-GB" w:eastAsia="en-GB"/>
        </w:rPr>
      </w:pPr>
      <w:r w:rsidRPr="004B2EBA">
        <w:rPr>
          <w:rFonts w:eastAsia="Times New Roman"/>
          <w:b/>
          <w:bCs/>
          <w:sz w:val="24"/>
          <w:szCs w:val="24"/>
          <w:lang w:val="en-GB" w:eastAsia="en-GB"/>
        </w:rPr>
        <w:t>Trade-off 1: Wave energy capture versus structural loading</w:t>
      </w:r>
    </w:p>
    <w:p w14:paraId="2A92036E" w14:textId="49366A23" w:rsidR="009C28BB" w:rsidRPr="000C4E0D" w:rsidRDefault="009C28BB" w:rsidP="000C4E0D">
      <w:pPr>
        <w:tabs>
          <w:tab w:val="left" w:pos="2552"/>
        </w:tabs>
        <w:spacing w:before="100" w:beforeAutospacing="1" w:after="100" w:afterAutospacing="1" w:line="240" w:lineRule="auto"/>
        <w:ind w:left="2552"/>
        <w:rPr>
          <w:rFonts w:eastAsia="Times New Roman"/>
          <w:lang w:val="en-GB" w:eastAsia="en-GB"/>
        </w:rPr>
      </w:pPr>
      <w:r w:rsidRPr="000C4E0D">
        <w:rPr>
          <w:rFonts w:eastAsia="Times New Roman"/>
          <w:lang w:val="en-GB" w:eastAsia="en-GB"/>
        </w:rPr>
        <w:t>Increased wave energy capture is consistently associated with higher structural loads across all WEC types reviewed [</w:t>
      </w:r>
      <w:r w:rsidR="0018626E">
        <w:rPr>
          <w:rFonts w:eastAsia="Times New Roman"/>
          <w:lang w:val="en-GB" w:eastAsia="en-GB"/>
        </w:rPr>
        <w:t>12,</w:t>
      </w:r>
      <w:r w:rsidR="00653745" w:rsidRPr="000C4E0D">
        <w:rPr>
          <w:rFonts w:eastAsia="Times New Roman"/>
          <w:lang w:val="en-GB" w:eastAsia="en-GB"/>
        </w:rPr>
        <w:t>21</w:t>
      </w:r>
      <w:r w:rsidRPr="000C4E0D">
        <w:rPr>
          <w:rFonts w:eastAsia="Times New Roman"/>
          <w:lang w:val="en-GB" w:eastAsia="en-GB"/>
        </w:rPr>
        <w:t>]. This trade-off is most clearly demonstrated by flap-type configurations, where maximum wave energy extraction is achieved at the cost of substantially increased dynamic loading on both the platform structure and the mooring system [</w:t>
      </w:r>
      <w:r w:rsidR="0018626E">
        <w:rPr>
          <w:rFonts w:eastAsia="Times New Roman"/>
          <w:lang w:val="en-GB" w:eastAsia="en-GB"/>
        </w:rPr>
        <w:t>19,</w:t>
      </w:r>
      <w:r w:rsidR="00FC211C" w:rsidRPr="000C4E0D">
        <w:rPr>
          <w:rFonts w:eastAsia="Times New Roman"/>
          <w:lang w:val="en-GB" w:eastAsia="en-GB"/>
        </w:rPr>
        <w:t>63</w:t>
      </w:r>
      <w:r w:rsidRPr="000C4E0D">
        <w:rPr>
          <w:rFonts w:eastAsia="Times New Roman"/>
          <w:lang w:val="en-GB" w:eastAsia="en-GB"/>
        </w:rPr>
        <w:t>]. Even for point absorber configurations, studies have shown that aggressive PTO tuning for maximum power capture can amplify platform motions rather than suppress them under certain sea state conditions [64,</w:t>
      </w:r>
      <w:r w:rsidR="00B431EF" w:rsidRPr="000C4E0D">
        <w:rPr>
          <w:rFonts w:eastAsia="Times New Roman"/>
          <w:lang w:val="en-GB" w:eastAsia="en-GB"/>
        </w:rPr>
        <w:t>72</w:t>
      </w:r>
      <w:r w:rsidRPr="000C4E0D">
        <w:rPr>
          <w:rFonts w:eastAsia="Times New Roman"/>
          <w:lang w:val="en-GB" w:eastAsia="en-GB"/>
        </w:rPr>
        <w:t>]. Optimi</w:t>
      </w:r>
      <w:r w:rsidR="00E76503" w:rsidRPr="000C4E0D">
        <w:rPr>
          <w:rFonts w:eastAsia="Times New Roman"/>
          <w:lang w:val="en-GB" w:eastAsia="en-GB"/>
        </w:rPr>
        <w:t>z</w:t>
      </w:r>
      <w:r w:rsidRPr="000C4E0D">
        <w:rPr>
          <w:rFonts w:eastAsia="Times New Roman"/>
          <w:lang w:val="en-GB" w:eastAsia="en-GB"/>
        </w:rPr>
        <w:t>ation frameworks for hybrid platforms must therefore treat energy capture and structural load as coupled objectives rather than independent criteria and must explicitly incorporate structural constraints — including fatigue damage limits and mooring tension bounds — within the optimi</w:t>
      </w:r>
      <w:r w:rsidR="00E76503" w:rsidRPr="000C4E0D">
        <w:rPr>
          <w:rFonts w:eastAsia="Times New Roman"/>
          <w:lang w:val="en-GB" w:eastAsia="en-GB"/>
        </w:rPr>
        <w:t>z</w:t>
      </w:r>
      <w:r w:rsidRPr="000C4E0D">
        <w:rPr>
          <w:rFonts w:eastAsia="Times New Roman"/>
          <w:lang w:val="en-GB" w:eastAsia="en-GB"/>
        </w:rPr>
        <w:t>ation problem formulation [</w:t>
      </w:r>
      <w:r w:rsidR="0018626E">
        <w:rPr>
          <w:rFonts w:eastAsia="Times New Roman"/>
          <w:lang w:val="en-GB" w:eastAsia="en-GB"/>
        </w:rPr>
        <w:t>14,15,</w:t>
      </w:r>
      <w:r w:rsidR="000D1316" w:rsidRPr="000C4E0D">
        <w:rPr>
          <w:rFonts w:eastAsia="Times New Roman"/>
          <w:lang w:val="en-GB" w:eastAsia="en-GB"/>
        </w:rPr>
        <w:t>42</w:t>
      </w:r>
      <w:r w:rsidRPr="000C4E0D">
        <w:rPr>
          <w:rFonts w:eastAsia="Times New Roman"/>
          <w:lang w:val="en-GB" w:eastAsia="en-GB"/>
        </w:rPr>
        <w:t>].</w:t>
      </w:r>
    </w:p>
    <w:p w14:paraId="3E9A4B88" w14:textId="56D62748" w:rsidR="009C28BB" w:rsidRPr="004B2EBA" w:rsidRDefault="009C28BB" w:rsidP="000C4E0D">
      <w:pPr>
        <w:tabs>
          <w:tab w:val="left" w:pos="2552"/>
        </w:tabs>
        <w:spacing w:before="100" w:beforeAutospacing="1" w:after="100" w:afterAutospacing="1" w:line="240" w:lineRule="auto"/>
        <w:ind w:left="2552"/>
        <w:rPr>
          <w:rFonts w:eastAsia="Times New Roman"/>
          <w:b/>
          <w:bCs/>
          <w:sz w:val="24"/>
          <w:szCs w:val="24"/>
          <w:lang w:val="en-GB" w:eastAsia="en-GB"/>
        </w:rPr>
      </w:pPr>
      <w:r w:rsidRPr="004B2EBA">
        <w:rPr>
          <w:rFonts w:eastAsia="Times New Roman"/>
          <w:b/>
          <w:bCs/>
          <w:sz w:val="24"/>
          <w:szCs w:val="24"/>
          <w:lang w:val="en-GB" w:eastAsia="en-GB"/>
        </w:rPr>
        <w:t xml:space="preserve">Trade-off 2: Motion suppression versus mechanical </w:t>
      </w:r>
      <w:r w:rsidR="00BE1311" w:rsidRPr="004B2EBA">
        <w:rPr>
          <w:rFonts w:cstheme="majorBidi"/>
          <w:b/>
          <w:bCs/>
          <w:sz w:val="24"/>
          <w:szCs w:val="24"/>
        </w:rPr>
        <w:t>reliability</w:t>
      </w:r>
    </w:p>
    <w:p w14:paraId="40507F91" w14:textId="2AACFD28" w:rsidR="009C28BB" w:rsidRPr="000C4E0D" w:rsidRDefault="009C28BB" w:rsidP="000C4E0D">
      <w:pPr>
        <w:pStyle w:val="NormalWeb"/>
        <w:ind w:left="2552"/>
        <w:rPr>
          <w:rFonts w:eastAsia="Times New Roman" w:cstheme="majorBidi"/>
          <w:color w:val="auto"/>
          <w:szCs w:val="20"/>
          <w:lang w:val="en-GB" w:eastAsia="en-GB"/>
        </w:rPr>
      </w:pPr>
      <w:r w:rsidRPr="000C4E0D">
        <w:rPr>
          <w:rFonts w:cstheme="majorBidi"/>
          <w:szCs w:val="20"/>
        </w:rPr>
        <w:t xml:space="preserve">The WEC configurations that provide the strongest platform motion suppression are also those that introduce the greatest </w:t>
      </w:r>
      <w:r w:rsidR="005F13A5" w:rsidRPr="000C4E0D">
        <w:rPr>
          <w:rFonts w:eastAsia="Times New Roman" w:cstheme="majorBidi"/>
          <w:color w:val="auto"/>
          <w:szCs w:val="20"/>
          <w:lang w:val="en-GB" w:eastAsia="en-GB"/>
        </w:rPr>
        <w:t>mechanical reliability</w:t>
      </w:r>
      <w:r w:rsidR="00BE1311" w:rsidRPr="000C4E0D">
        <w:rPr>
          <w:rFonts w:eastAsia="Times New Roman" w:cstheme="majorBidi"/>
          <w:color w:val="auto"/>
          <w:szCs w:val="20"/>
          <w:lang w:val="en-GB" w:eastAsia="en-GB"/>
        </w:rPr>
        <w:t xml:space="preserve"> </w:t>
      </w:r>
      <w:r w:rsidRPr="000C4E0D">
        <w:rPr>
          <w:szCs w:val="20"/>
        </w:rPr>
        <w:t xml:space="preserve">and maintenance </w:t>
      </w:r>
      <w:r w:rsidR="004B2EBA" w:rsidRPr="000C4E0D">
        <w:rPr>
          <w:szCs w:val="20"/>
        </w:rPr>
        <w:t>demand.</w:t>
      </w:r>
      <w:r w:rsidRPr="000C4E0D">
        <w:rPr>
          <w:szCs w:val="20"/>
        </w:rPr>
        <w:t xml:space="preserve"> Flap-type WECs achieve the highest levels of pitch and surge reduction across the reviewed literature, but this performance comes with articulated joints, high load transfer paths, and PTO systems that require speciali</w:t>
      </w:r>
      <w:r w:rsidR="00C46906" w:rsidRPr="000C4E0D">
        <w:rPr>
          <w:szCs w:val="20"/>
        </w:rPr>
        <w:t>z</w:t>
      </w:r>
      <w:r w:rsidRPr="000C4E0D">
        <w:rPr>
          <w:szCs w:val="20"/>
        </w:rPr>
        <w:t>ed maintenance and have shorter mean times between failure than simpler configurations [</w:t>
      </w:r>
      <w:r w:rsidR="00D33B70">
        <w:rPr>
          <w:szCs w:val="20"/>
        </w:rPr>
        <w:t>15,102</w:t>
      </w:r>
      <w:r w:rsidRPr="000C4E0D">
        <w:rPr>
          <w:szCs w:val="20"/>
        </w:rPr>
        <w:t xml:space="preserve">]. Point absorber systems offer more modest motion reduction but substantially lower mechanical complexity, making them more suitable for near-term deployment where operational reliability is </w:t>
      </w:r>
      <w:proofErr w:type="spellStart"/>
      <w:r w:rsidRPr="000C4E0D">
        <w:rPr>
          <w:szCs w:val="20"/>
        </w:rPr>
        <w:t>prioritised</w:t>
      </w:r>
      <w:proofErr w:type="spellEnd"/>
      <w:r w:rsidRPr="000C4E0D">
        <w:rPr>
          <w:szCs w:val="20"/>
        </w:rPr>
        <w:t xml:space="preserve"> over maximum performance [</w:t>
      </w:r>
      <w:r w:rsidR="0018626E">
        <w:rPr>
          <w:szCs w:val="20"/>
        </w:rPr>
        <w:t>47,</w:t>
      </w:r>
      <w:r w:rsidRPr="000C4E0D">
        <w:rPr>
          <w:szCs w:val="20"/>
        </w:rPr>
        <w:t>63]. This trade-off implies that the optimal WEC type for a given hybrid platform cannot be determined on hydrodynamic grounds alone, and that reliability and lifecycle cost models must be integrated within the optimi</w:t>
      </w:r>
      <w:r w:rsidR="00E76503" w:rsidRPr="000C4E0D">
        <w:rPr>
          <w:szCs w:val="20"/>
        </w:rPr>
        <w:t>z</w:t>
      </w:r>
      <w:r w:rsidRPr="000C4E0D">
        <w:rPr>
          <w:szCs w:val="20"/>
        </w:rPr>
        <w:t>ation framework to produce commercially meaningful results [</w:t>
      </w:r>
      <w:r w:rsidR="00FC211C" w:rsidRPr="000C4E0D">
        <w:rPr>
          <w:szCs w:val="20"/>
        </w:rPr>
        <w:t>50</w:t>
      </w:r>
      <w:r w:rsidR="00BC24D7">
        <w:rPr>
          <w:szCs w:val="20"/>
        </w:rPr>
        <w:t>,104</w:t>
      </w:r>
      <w:r w:rsidRPr="000C4E0D">
        <w:rPr>
          <w:szCs w:val="20"/>
        </w:rPr>
        <w:t xml:space="preserve">]. </w:t>
      </w:r>
    </w:p>
    <w:p w14:paraId="6B3AAB60" w14:textId="3FE560C0" w:rsidR="009C28BB" w:rsidRPr="004B2EBA" w:rsidRDefault="009C28BB" w:rsidP="000C4E0D">
      <w:pPr>
        <w:pStyle w:val="font-claude-response-body"/>
        <w:tabs>
          <w:tab w:val="left" w:pos="2552"/>
        </w:tabs>
        <w:ind w:left="2552"/>
        <w:jc w:val="both"/>
        <w:rPr>
          <w:rFonts w:ascii="Palatino Linotype" w:hAnsi="Palatino Linotype"/>
          <w:b/>
          <w:bCs/>
          <w:sz w:val="22"/>
          <w:szCs w:val="22"/>
        </w:rPr>
      </w:pPr>
      <w:r w:rsidRPr="004B2EBA">
        <w:rPr>
          <w:rFonts w:ascii="Palatino Linotype" w:hAnsi="Palatino Linotype"/>
          <w:b/>
          <w:bCs/>
          <w:sz w:val="22"/>
          <w:szCs w:val="22"/>
        </w:rPr>
        <w:t>Trade-off 3: System performance versus optimi</w:t>
      </w:r>
      <w:r w:rsidR="00E76503" w:rsidRPr="004B2EBA">
        <w:rPr>
          <w:rFonts w:ascii="Palatino Linotype" w:hAnsi="Palatino Linotype"/>
          <w:b/>
          <w:bCs/>
          <w:sz w:val="22"/>
          <w:szCs w:val="22"/>
        </w:rPr>
        <w:t>z</w:t>
      </w:r>
      <w:r w:rsidRPr="004B2EBA">
        <w:rPr>
          <w:rFonts w:ascii="Palatino Linotype" w:hAnsi="Palatino Linotype"/>
          <w:b/>
          <w:bCs/>
          <w:sz w:val="22"/>
          <w:szCs w:val="22"/>
        </w:rPr>
        <w:t>ation tractability</w:t>
      </w:r>
    </w:p>
    <w:p w14:paraId="225173B3" w14:textId="2871A7DA" w:rsidR="00644E1C" w:rsidRPr="00B6014C" w:rsidRDefault="009C28BB" w:rsidP="00B6014C">
      <w:pPr>
        <w:tabs>
          <w:tab w:val="left" w:pos="2552"/>
        </w:tabs>
        <w:spacing w:before="100" w:beforeAutospacing="1" w:after="100" w:afterAutospacing="1" w:line="240" w:lineRule="auto"/>
        <w:ind w:left="2552"/>
        <w:rPr>
          <w:rFonts w:eastAsia="Times New Roman"/>
          <w:lang w:val="en-GB" w:eastAsia="en-GB"/>
        </w:rPr>
      </w:pPr>
      <w:r w:rsidRPr="000C4E0D">
        <w:rPr>
          <w:rFonts w:eastAsia="Times New Roman"/>
          <w:lang w:val="en-GB" w:eastAsia="en-GB"/>
        </w:rPr>
        <w:lastRenderedPageBreak/>
        <w:t>Higher-performing hybrid configurations are generally those with the greatest number of interdependent design variables, which simultaneously makes them the most difficult to optimise effectively [</w:t>
      </w:r>
      <w:r w:rsidR="0018626E">
        <w:rPr>
          <w:rFonts w:eastAsia="Times New Roman"/>
          <w:lang w:val="en-GB" w:eastAsia="en-GB"/>
        </w:rPr>
        <w:t>14,</w:t>
      </w:r>
      <w:r w:rsidR="000D1316" w:rsidRPr="000C4E0D">
        <w:rPr>
          <w:rFonts w:eastAsia="Times New Roman"/>
          <w:lang w:val="en-GB" w:eastAsia="en-GB"/>
        </w:rPr>
        <w:t>42</w:t>
      </w:r>
      <w:r w:rsidRPr="000C4E0D">
        <w:rPr>
          <w:rFonts w:eastAsia="Times New Roman"/>
          <w:lang w:val="en-GB" w:eastAsia="en-GB"/>
        </w:rPr>
        <w:t>]. Flap-type hybrids involve coupled structural, hydrodynamic, and PTO design variables whose interactions are highly nonlinear and computationally expensive to evaluate with high-fidelity models [</w:t>
      </w:r>
      <w:r w:rsidR="0018626E">
        <w:rPr>
          <w:rFonts w:eastAsia="Times New Roman"/>
          <w:lang w:val="en-GB" w:eastAsia="en-GB"/>
        </w:rPr>
        <w:t>15,</w:t>
      </w:r>
      <w:r w:rsidR="009D60AC" w:rsidRPr="000C4E0D">
        <w:rPr>
          <w:rFonts w:eastAsia="Times New Roman"/>
          <w:lang w:val="en-GB" w:eastAsia="en-GB"/>
        </w:rPr>
        <w:t>10</w:t>
      </w:r>
      <w:r w:rsidR="0018626E">
        <w:rPr>
          <w:rFonts w:eastAsia="Times New Roman"/>
          <w:lang w:val="en-GB" w:eastAsia="en-GB"/>
        </w:rPr>
        <w:t>7</w:t>
      </w:r>
      <w:r w:rsidRPr="000C4E0D">
        <w:rPr>
          <w:rFonts w:eastAsia="Times New Roman"/>
          <w:lang w:val="en-GB" w:eastAsia="en-GB"/>
        </w:rPr>
        <w:t>]. Point absorber hybrids present a more tractable optimi</w:t>
      </w:r>
      <w:r w:rsidR="00E76503" w:rsidRPr="000C4E0D">
        <w:rPr>
          <w:rFonts w:eastAsia="Times New Roman"/>
          <w:lang w:val="en-GB" w:eastAsia="en-GB"/>
        </w:rPr>
        <w:t>z</w:t>
      </w:r>
      <w:r w:rsidRPr="000C4E0D">
        <w:rPr>
          <w:rFonts w:eastAsia="Times New Roman"/>
          <w:lang w:val="en-GB" w:eastAsia="en-GB"/>
        </w:rPr>
        <w:t>ation problem due to their modularity, but the relatively modest performance gains achievable mean that optimi</w:t>
      </w:r>
      <w:r w:rsidR="00E76503" w:rsidRPr="000C4E0D">
        <w:rPr>
          <w:rFonts w:eastAsia="Times New Roman"/>
          <w:lang w:val="en-GB" w:eastAsia="en-GB"/>
        </w:rPr>
        <w:t>z</w:t>
      </w:r>
      <w:r w:rsidRPr="000C4E0D">
        <w:rPr>
          <w:rFonts w:eastAsia="Times New Roman"/>
          <w:lang w:val="en-GB" w:eastAsia="en-GB"/>
        </w:rPr>
        <w:t>ation effort may yield diminishing returns beyond a certain level of design refinement [65,</w:t>
      </w:r>
      <w:r w:rsidR="00653745" w:rsidRPr="000C4E0D">
        <w:rPr>
          <w:rFonts w:eastAsia="Times New Roman"/>
          <w:lang w:val="en-GB" w:eastAsia="en-GB"/>
        </w:rPr>
        <w:t>73</w:t>
      </w:r>
      <w:r w:rsidRPr="000C4E0D">
        <w:rPr>
          <w:rFonts w:eastAsia="Times New Roman"/>
          <w:lang w:val="en-GB" w:eastAsia="en-GB"/>
        </w:rPr>
        <w:t>]. Surrogate-based and multi-fidelity optimi</w:t>
      </w:r>
      <w:r w:rsidR="00E76503" w:rsidRPr="000C4E0D">
        <w:rPr>
          <w:rFonts w:eastAsia="Times New Roman"/>
          <w:lang w:val="en-GB" w:eastAsia="en-GB"/>
        </w:rPr>
        <w:t>z</w:t>
      </w:r>
      <w:r w:rsidRPr="000C4E0D">
        <w:rPr>
          <w:rFonts w:eastAsia="Times New Roman"/>
          <w:lang w:val="en-GB" w:eastAsia="en-GB"/>
        </w:rPr>
        <w:t>ation methods are identified across the reviewed literature as the most promising approaches for managing this trade-off, enabling higher-fidelity design spaces to be explored at acceptable computational cost [</w:t>
      </w:r>
      <w:r w:rsidR="0018626E">
        <w:rPr>
          <w:rFonts w:eastAsia="Times New Roman"/>
          <w:lang w:val="en-GB" w:eastAsia="en-GB"/>
        </w:rPr>
        <w:t>19,</w:t>
      </w:r>
      <w:r w:rsidR="000D1316" w:rsidRPr="000C4E0D">
        <w:rPr>
          <w:rFonts w:eastAsia="Times New Roman"/>
          <w:lang w:val="en-GB" w:eastAsia="en-GB"/>
        </w:rPr>
        <w:t>42</w:t>
      </w:r>
      <w:r w:rsidRPr="000C4E0D">
        <w:rPr>
          <w:rFonts w:eastAsia="Times New Roman"/>
          <w:lang w:val="en-GB" w:eastAsia="en-GB"/>
        </w:rPr>
        <w:t>,</w:t>
      </w:r>
      <w:r w:rsidR="009D60AC" w:rsidRPr="000C4E0D">
        <w:rPr>
          <w:rFonts w:eastAsia="Times New Roman"/>
          <w:lang w:val="en-GB" w:eastAsia="en-GB"/>
        </w:rPr>
        <w:t>109</w:t>
      </w:r>
      <w:r w:rsidRPr="000C4E0D">
        <w:rPr>
          <w:rFonts w:eastAsia="Times New Roman"/>
          <w:lang w:val="en-GB" w:eastAsia="en-GB"/>
        </w:rPr>
        <w:t>].</w:t>
      </w:r>
    </w:p>
    <w:p w14:paraId="1758153B" w14:textId="15DEE059" w:rsidR="009C28BB" w:rsidRPr="004B2EBA" w:rsidRDefault="009C28BB" w:rsidP="000C4E0D">
      <w:pPr>
        <w:tabs>
          <w:tab w:val="left" w:pos="2552"/>
        </w:tabs>
        <w:spacing w:before="100" w:beforeAutospacing="1" w:after="100" w:afterAutospacing="1" w:line="240" w:lineRule="auto"/>
        <w:ind w:left="2552"/>
        <w:rPr>
          <w:rFonts w:eastAsia="Times New Roman"/>
          <w:b/>
          <w:bCs/>
          <w:sz w:val="24"/>
          <w:szCs w:val="24"/>
          <w:lang w:val="en-GB" w:eastAsia="en-GB"/>
        </w:rPr>
      </w:pPr>
      <w:r w:rsidRPr="004B2EBA">
        <w:rPr>
          <w:rFonts w:eastAsia="Times New Roman"/>
          <w:b/>
          <w:bCs/>
          <w:sz w:val="24"/>
          <w:szCs w:val="24"/>
          <w:lang w:val="en-GB" w:eastAsia="en-GB"/>
        </w:rPr>
        <w:t xml:space="preserve">Trade-off 4: Site-specific performance versus design </w:t>
      </w:r>
      <w:r w:rsidR="009A70D0" w:rsidRPr="004B2EBA">
        <w:rPr>
          <w:rFonts w:eastAsia="Times New Roman"/>
          <w:b/>
          <w:bCs/>
          <w:sz w:val="24"/>
          <w:szCs w:val="24"/>
          <w:lang w:val="en-GB" w:eastAsia="en-GB"/>
        </w:rPr>
        <w:t>generalisability</w:t>
      </w:r>
    </w:p>
    <w:p w14:paraId="2BD1F3B0" w14:textId="1C0BF410" w:rsidR="009C28BB" w:rsidRPr="000C4E0D" w:rsidRDefault="009C28BB" w:rsidP="000C4E0D">
      <w:pPr>
        <w:tabs>
          <w:tab w:val="left" w:pos="2552"/>
        </w:tabs>
        <w:spacing w:before="100" w:beforeAutospacing="1" w:after="100" w:afterAutospacing="1" w:line="240" w:lineRule="auto"/>
        <w:ind w:left="2552"/>
        <w:rPr>
          <w:rFonts w:eastAsia="Times New Roman"/>
          <w:lang w:val="en-GB" w:eastAsia="en-GB"/>
        </w:rPr>
      </w:pPr>
      <w:r w:rsidRPr="000C4E0D">
        <w:rPr>
          <w:rFonts w:eastAsia="Times New Roman"/>
          <w:lang w:val="en-GB" w:eastAsia="en-GB"/>
        </w:rPr>
        <w:t>The comparative performance of different hybrid concepts varies substantially with deployment site, including water depth, wave climate, wind resource, and grid connection constraints [</w:t>
      </w:r>
      <w:r w:rsidR="00653745" w:rsidRPr="000C4E0D">
        <w:rPr>
          <w:rFonts w:eastAsia="Times New Roman"/>
          <w:lang w:val="en-GB" w:eastAsia="en-GB"/>
        </w:rPr>
        <w:t>4</w:t>
      </w:r>
      <w:r w:rsidRPr="000C4E0D">
        <w:rPr>
          <w:rFonts w:eastAsia="Times New Roman"/>
          <w:lang w:val="en-GB" w:eastAsia="en-GB"/>
        </w:rPr>
        <w:t>]. Configurations that perform well in energetic North Sea conditions may be suboptimal in milder Atlantic or Mediterranean sites where wave energy contributions are lower and structural loads are less severe [</w:t>
      </w:r>
      <w:r w:rsidR="0018626E">
        <w:rPr>
          <w:rFonts w:eastAsia="Times New Roman"/>
          <w:lang w:val="en-GB" w:eastAsia="en-GB"/>
        </w:rPr>
        <w:t>14,</w:t>
      </w:r>
      <w:r w:rsidRPr="000C4E0D">
        <w:rPr>
          <w:rFonts w:eastAsia="Times New Roman"/>
          <w:lang w:val="en-GB" w:eastAsia="en-GB"/>
        </w:rPr>
        <w:t>21</w:t>
      </w:r>
      <w:r w:rsidR="00BC24D7">
        <w:rPr>
          <w:rFonts w:eastAsia="Times New Roman"/>
          <w:lang w:val="en-GB" w:eastAsia="en-GB"/>
        </w:rPr>
        <w:t>,98</w:t>
      </w:r>
      <w:r w:rsidRPr="000C4E0D">
        <w:rPr>
          <w:rFonts w:eastAsia="Times New Roman"/>
          <w:lang w:val="en-GB" w:eastAsia="en-GB"/>
        </w:rPr>
        <w:t>]. This site-specificity implies that optimi</w:t>
      </w:r>
      <w:r w:rsidR="00E76503" w:rsidRPr="000C4E0D">
        <w:rPr>
          <w:rFonts w:eastAsia="Times New Roman"/>
          <w:lang w:val="en-GB" w:eastAsia="en-GB"/>
        </w:rPr>
        <w:t>z</w:t>
      </w:r>
      <w:r w:rsidRPr="000C4E0D">
        <w:rPr>
          <w:rFonts w:eastAsia="Times New Roman"/>
          <w:lang w:val="en-GB" w:eastAsia="en-GB"/>
        </w:rPr>
        <w:t>ation results derived for one location cannot be straightforwardly transferred to another, and that standardised benchmarking across a representative range of deployment sites is needed before general design guidelines can be established [</w:t>
      </w:r>
      <w:r w:rsidR="009D60AC" w:rsidRPr="000C4E0D">
        <w:rPr>
          <w:rFonts w:eastAsia="Times New Roman"/>
          <w:lang w:val="en-GB" w:eastAsia="en-GB"/>
        </w:rPr>
        <w:t>108</w:t>
      </w:r>
      <w:r w:rsidRPr="000C4E0D">
        <w:rPr>
          <w:rFonts w:eastAsia="Times New Roman"/>
          <w:lang w:val="en-GB" w:eastAsia="en-GB"/>
        </w:rPr>
        <w:t>]. Multi-fidelity optimi</w:t>
      </w:r>
      <w:r w:rsidR="00E76503" w:rsidRPr="000C4E0D">
        <w:rPr>
          <w:rFonts w:eastAsia="Times New Roman"/>
          <w:lang w:val="en-GB" w:eastAsia="en-GB"/>
        </w:rPr>
        <w:t>z</w:t>
      </w:r>
      <w:r w:rsidRPr="000C4E0D">
        <w:rPr>
          <w:rFonts w:eastAsia="Times New Roman"/>
          <w:lang w:val="en-GB" w:eastAsia="en-GB"/>
        </w:rPr>
        <w:t>ation frameworks that can efficiently re-optimise designs for different site conditions represent a particularly valuable direction for future research [</w:t>
      </w:r>
      <w:r w:rsidR="009D60AC" w:rsidRPr="000C4E0D">
        <w:rPr>
          <w:rFonts w:eastAsia="Times New Roman"/>
          <w:lang w:val="en-GB" w:eastAsia="en-GB"/>
        </w:rPr>
        <w:t>1</w:t>
      </w:r>
      <w:r w:rsidR="0018626E">
        <w:rPr>
          <w:rFonts w:eastAsia="Times New Roman"/>
          <w:lang w:val="en-GB" w:eastAsia="en-GB"/>
        </w:rPr>
        <w:t>9,1</w:t>
      </w:r>
      <w:r w:rsidR="009D60AC" w:rsidRPr="000C4E0D">
        <w:rPr>
          <w:rFonts w:eastAsia="Times New Roman"/>
          <w:lang w:val="en-GB" w:eastAsia="en-GB"/>
        </w:rPr>
        <w:t>09</w:t>
      </w:r>
      <w:r w:rsidRPr="000C4E0D">
        <w:rPr>
          <w:rFonts w:eastAsia="Times New Roman"/>
          <w:lang w:val="en-GB" w:eastAsia="en-GB"/>
        </w:rPr>
        <w:t>].</w:t>
      </w:r>
    </w:p>
    <w:p w14:paraId="307E735E" w14:textId="77777777" w:rsidR="009C28BB" w:rsidRPr="004B2EBA" w:rsidRDefault="009C28BB" w:rsidP="000C4E0D">
      <w:pPr>
        <w:tabs>
          <w:tab w:val="left" w:pos="2552"/>
        </w:tabs>
        <w:spacing w:before="100" w:beforeAutospacing="1" w:after="100" w:afterAutospacing="1" w:line="240" w:lineRule="auto"/>
        <w:ind w:left="2552"/>
        <w:rPr>
          <w:rFonts w:eastAsia="Times New Roman"/>
          <w:b/>
          <w:bCs/>
          <w:sz w:val="22"/>
          <w:szCs w:val="22"/>
          <w:lang w:val="en-GB" w:eastAsia="en-GB"/>
        </w:rPr>
      </w:pPr>
      <w:r w:rsidRPr="004B2EBA">
        <w:rPr>
          <w:rFonts w:eastAsia="Times New Roman"/>
          <w:b/>
          <w:bCs/>
          <w:sz w:val="22"/>
          <w:szCs w:val="22"/>
          <w:lang w:val="en-GB" w:eastAsia="en-GB"/>
        </w:rPr>
        <w:t>Trade-off 5: Active control performance versus design complexity</w:t>
      </w:r>
    </w:p>
    <w:p w14:paraId="7E1C9B1C" w14:textId="4562E8D7" w:rsidR="009C28BB" w:rsidRPr="000C4E0D" w:rsidRDefault="009C28BB" w:rsidP="000C4E0D">
      <w:pPr>
        <w:tabs>
          <w:tab w:val="left" w:pos="2552"/>
        </w:tabs>
        <w:spacing w:before="100" w:beforeAutospacing="1" w:after="100" w:afterAutospacing="1" w:line="240" w:lineRule="auto"/>
        <w:ind w:left="2552"/>
        <w:rPr>
          <w:rFonts w:eastAsia="Times New Roman"/>
          <w:lang w:val="en-GB" w:eastAsia="en-GB"/>
        </w:rPr>
      </w:pPr>
      <w:r w:rsidRPr="000C4E0D">
        <w:rPr>
          <w:rFonts w:eastAsia="Times New Roman"/>
          <w:lang w:val="en-GB" w:eastAsia="en-GB"/>
        </w:rPr>
        <w:t>Active control of PTO systems offers substantial opportunities to adapt hybrid platform response to changing sea states and to reconcile some of the inherent trade-offs identified above [93,</w:t>
      </w:r>
      <w:r w:rsidR="00653745" w:rsidRPr="000C4E0D">
        <w:rPr>
          <w:rFonts w:eastAsia="Times New Roman"/>
          <w:lang w:val="en-GB" w:eastAsia="en-GB"/>
        </w:rPr>
        <w:t>83</w:t>
      </w:r>
      <w:r w:rsidRPr="000C4E0D">
        <w:rPr>
          <w:rFonts w:eastAsia="Times New Roman"/>
          <w:lang w:val="en-GB" w:eastAsia="en-GB"/>
        </w:rPr>
        <w:t>]. Studies consistently show that actively controlled PTO configurations outperform passive designs across a wide range of sea states, with energy capture improvements of 50–100% reported for point absorber systems under optimal control [</w:t>
      </w:r>
      <w:r w:rsidR="005350FB">
        <w:rPr>
          <w:rFonts w:eastAsia="Times New Roman"/>
          <w:lang w:val="en-GB" w:eastAsia="en-GB"/>
        </w:rPr>
        <w:t>88,89</w:t>
      </w:r>
      <w:r w:rsidRPr="000C4E0D">
        <w:rPr>
          <w:rFonts w:eastAsia="Times New Roman"/>
          <w:lang w:val="en-GB" w:eastAsia="en-GB"/>
        </w:rPr>
        <w:t>]. However, the integration of advanced control strategies introduces additional design complexity, increases software and sensor system requirements, and raises questions about robustness and fail-safe behaviour in harsh offshore environments [</w:t>
      </w:r>
      <w:r w:rsidR="0018626E">
        <w:rPr>
          <w:rFonts w:eastAsia="Times New Roman"/>
          <w:lang w:val="en-GB" w:eastAsia="en-GB"/>
        </w:rPr>
        <w:t>14,</w:t>
      </w:r>
      <w:r w:rsidRPr="000C4E0D">
        <w:rPr>
          <w:rFonts w:eastAsia="Times New Roman"/>
          <w:lang w:val="en-GB" w:eastAsia="en-GB"/>
        </w:rPr>
        <w:t>93]. The optimi</w:t>
      </w:r>
      <w:r w:rsidR="00E76503" w:rsidRPr="000C4E0D">
        <w:rPr>
          <w:rFonts w:eastAsia="Times New Roman"/>
          <w:lang w:val="en-GB" w:eastAsia="en-GB"/>
        </w:rPr>
        <w:t>z</w:t>
      </w:r>
      <w:r w:rsidRPr="000C4E0D">
        <w:rPr>
          <w:rFonts w:eastAsia="Times New Roman"/>
          <w:lang w:val="en-GB" w:eastAsia="en-GB"/>
        </w:rPr>
        <w:t xml:space="preserve">ation of control architecture — including the choice between passive, reactive, model predictive, and reinforcement learning-based approaches — must </w:t>
      </w:r>
      <w:r w:rsidRPr="000C4E0D">
        <w:rPr>
          <w:rFonts w:eastAsia="Times New Roman"/>
          <w:lang w:val="en-GB" w:eastAsia="en-GB"/>
        </w:rPr>
        <w:lastRenderedPageBreak/>
        <w:t>therefore be treated as an integral component of hybrid platform design rather than a post-design refinement [</w:t>
      </w:r>
      <w:r w:rsidR="0018626E">
        <w:rPr>
          <w:rFonts w:eastAsia="Times New Roman"/>
          <w:lang w:val="en-GB" w:eastAsia="en-GB"/>
        </w:rPr>
        <w:t>85,</w:t>
      </w:r>
      <w:r w:rsidRPr="000C4E0D">
        <w:rPr>
          <w:rFonts w:eastAsia="Times New Roman"/>
          <w:lang w:val="en-GB" w:eastAsia="en-GB"/>
        </w:rPr>
        <w:t>93].</w:t>
      </w:r>
    </w:p>
    <w:p w14:paraId="2A7789B1" w14:textId="31230446" w:rsidR="009C28BB" w:rsidRPr="000C4E0D" w:rsidRDefault="009C28BB" w:rsidP="000C4E0D">
      <w:pPr>
        <w:tabs>
          <w:tab w:val="left" w:pos="2552"/>
        </w:tabs>
        <w:spacing w:before="100" w:beforeAutospacing="1" w:after="100" w:afterAutospacing="1" w:line="240" w:lineRule="auto"/>
        <w:ind w:left="2552"/>
        <w:rPr>
          <w:rFonts w:eastAsia="Times New Roman"/>
          <w:lang w:val="en-GB" w:eastAsia="en-GB"/>
        </w:rPr>
      </w:pPr>
      <w:r w:rsidRPr="000C4E0D">
        <w:rPr>
          <w:rFonts w:eastAsia="Times New Roman"/>
          <w:lang w:val="en-GB" w:eastAsia="en-GB"/>
        </w:rPr>
        <w:t>Understanding and explicitly managing these five trade-offs is essential for the successful design and optimi</w:t>
      </w:r>
      <w:r w:rsidR="00E76503" w:rsidRPr="000C4E0D">
        <w:rPr>
          <w:rFonts w:eastAsia="Times New Roman"/>
          <w:lang w:val="en-GB" w:eastAsia="en-GB"/>
        </w:rPr>
        <w:t>z</w:t>
      </w:r>
      <w:r w:rsidRPr="000C4E0D">
        <w:rPr>
          <w:rFonts w:eastAsia="Times New Roman"/>
          <w:lang w:val="en-GB" w:eastAsia="en-GB"/>
        </w:rPr>
        <w:t>ation of next-generation hybrid wave–wind energy platforms [</w:t>
      </w:r>
      <w:r w:rsidR="00653745" w:rsidRPr="000C4E0D">
        <w:rPr>
          <w:rFonts w:eastAsia="Times New Roman"/>
          <w:lang w:val="en-GB" w:eastAsia="en-GB"/>
        </w:rPr>
        <w:t>84</w:t>
      </w:r>
      <w:r w:rsidRPr="000C4E0D">
        <w:rPr>
          <w:rFonts w:eastAsia="Times New Roman"/>
          <w:lang w:val="en-GB" w:eastAsia="en-GB"/>
        </w:rPr>
        <w:t>]. Taken together, they define a multi-dimensional optimi</w:t>
      </w:r>
      <w:r w:rsidR="00E76503" w:rsidRPr="000C4E0D">
        <w:rPr>
          <w:rFonts w:eastAsia="Times New Roman"/>
          <w:lang w:val="en-GB" w:eastAsia="en-GB"/>
        </w:rPr>
        <w:t>z</w:t>
      </w:r>
      <w:r w:rsidRPr="000C4E0D">
        <w:rPr>
          <w:rFonts w:eastAsia="Times New Roman"/>
          <w:lang w:val="en-GB" w:eastAsia="en-GB"/>
        </w:rPr>
        <w:t>ation landscape in which no single configuration dominates across all criteria, and in which the appropriate balance between competing objectives is inherently site-specific, configuration-dependent, and sensitive to the assumptions embedded in the objective function [</w:t>
      </w:r>
      <w:r w:rsidR="009D60AC" w:rsidRPr="000C4E0D">
        <w:rPr>
          <w:rFonts w:eastAsia="Times New Roman"/>
          <w:lang w:val="en-GB" w:eastAsia="en-GB"/>
        </w:rPr>
        <w:t>108</w:t>
      </w:r>
      <w:r w:rsidRPr="000C4E0D">
        <w:rPr>
          <w:rFonts w:eastAsia="Times New Roman"/>
          <w:lang w:val="en-GB" w:eastAsia="en-GB"/>
        </w:rPr>
        <w:t>]. This reinforces the central conclusion of this review: that multi-objective, multi-physics optimi</w:t>
      </w:r>
      <w:r w:rsidR="00E76503" w:rsidRPr="000C4E0D">
        <w:rPr>
          <w:rFonts w:eastAsia="Times New Roman"/>
          <w:lang w:val="en-GB" w:eastAsia="en-GB"/>
        </w:rPr>
        <w:t>z</w:t>
      </w:r>
      <w:r w:rsidRPr="000C4E0D">
        <w:rPr>
          <w:rFonts w:eastAsia="Times New Roman"/>
          <w:lang w:val="en-GB" w:eastAsia="en-GB"/>
        </w:rPr>
        <w:t xml:space="preserve">ation frameworks — capable of simultaneously addressing energy performance, structural integrity, </w:t>
      </w:r>
      <w:r w:rsidR="00A77E10" w:rsidRPr="000C4E0D">
        <w:t>mechanical reliability</w:t>
      </w:r>
      <w:r w:rsidRPr="000C4E0D">
        <w:rPr>
          <w:rFonts w:eastAsia="Times New Roman"/>
          <w:lang w:val="en-GB" w:eastAsia="en-GB"/>
        </w:rPr>
        <w:t>, mooring loads, and control architecture — are not merely desirable but essential for realising the commercial potential of hybrid offshore energy platforms [</w:t>
      </w:r>
      <w:r w:rsidR="0018626E" w:rsidRPr="000C4E0D">
        <w:rPr>
          <w:rFonts w:eastAsia="Times New Roman"/>
          <w:lang w:val="en-GB" w:eastAsia="en-GB"/>
        </w:rPr>
        <w:t>14,19</w:t>
      </w:r>
      <w:r w:rsidR="0018626E">
        <w:rPr>
          <w:rFonts w:eastAsia="Times New Roman"/>
          <w:lang w:val="en-GB" w:eastAsia="en-GB"/>
        </w:rPr>
        <w:t>,</w:t>
      </w:r>
      <w:r w:rsidR="000D1316" w:rsidRPr="000C4E0D">
        <w:rPr>
          <w:rFonts w:eastAsia="Times New Roman"/>
          <w:lang w:val="en-GB" w:eastAsia="en-GB"/>
        </w:rPr>
        <w:t>42</w:t>
      </w:r>
      <w:r w:rsidRPr="000C4E0D">
        <w:rPr>
          <w:rFonts w:eastAsia="Times New Roman"/>
          <w:lang w:val="en-GB" w:eastAsia="en-GB"/>
        </w:rPr>
        <w:t>].</w:t>
      </w:r>
    </w:p>
    <w:p w14:paraId="673DA9A0" w14:textId="77777777" w:rsidR="00A97FCD" w:rsidRPr="004B2EBA" w:rsidRDefault="00A97FCD" w:rsidP="000C4E0D">
      <w:pPr>
        <w:tabs>
          <w:tab w:val="left" w:pos="2552"/>
        </w:tabs>
        <w:spacing w:before="100" w:beforeAutospacing="1" w:after="100" w:afterAutospacing="1" w:line="240" w:lineRule="auto"/>
        <w:ind w:left="2552"/>
        <w:rPr>
          <w:rFonts w:eastAsia="Times New Roman"/>
          <w:b/>
          <w:bCs/>
          <w:sz w:val="24"/>
          <w:szCs w:val="24"/>
          <w:lang w:val="en-GB" w:eastAsia="en-GB"/>
        </w:rPr>
      </w:pPr>
      <w:r w:rsidRPr="004B2EBA">
        <w:rPr>
          <w:rFonts w:eastAsia="Times New Roman"/>
          <w:b/>
          <w:bCs/>
          <w:sz w:val="24"/>
          <w:szCs w:val="24"/>
          <w:lang w:val="en-GB" w:eastAsia="en-GB"/>
        </w:rPr>
        <w:t>6. Discussion and Future Work</w:t>
      </w:r>
    </w:p>
    <w:p w14:paraId="43A150F1" w14:textId="63A7FF7B" w:rsidR="00A97FCD" w:rsidRPr="000C4E0D" w:rsidRDefault="00A97FCD" w:rsidP="000C4E0D">
      <w:pPr>
        <w:tabs>
          <w:tab w:val="left" w:pos="2552"/>
        </w:tabs>
        <w:spacing w:before="100" w:beforeAutospacing="1" w:after="100" w:afterAutospacing="1" w:line="240" w:lineRule="auto"/>
        <w:ind w:left="2552"/>
        <w:rPr>
          <w:rFonts w:eastAsia="Times New Roman"/>
          <w:lang w:val="en-GB" w:eastAsia="en-GB"/>
        </w:rPr>
      </w:pPr>
      <w:r w:rsidRPr="000C4E0D">
        <w:rPr>
          <w:rFonts w:eastAsia="Times New Roman"/>
          <w:lang w:val="en-GB" w:eastAsia="en-GB"/>
        </w:rPr>
        <w:t>This paper has presented a systematic classification, comparative assessment, and optimization methods survey of hybrid wave–wind energy platforms, addressing the reviewer's recommendation that the paper adopt optimization methods as its dominant analytical lens [</w:t>
      </w:r>
      <w:r w:rsidR="0018626E">
        <w:rPr>
          <w:rFonts w:eastAsia="Times New Roman"/>
          <w:lang w:val="en-GB" w:eastAsia="en-GB"/>
        </w:rPr>
        <w:t>14,</w:t>
      </w:r>
      <w:r w:rsidRPr="000C4E0D">
        <w:rPr>
          <w:rFonts w:eastAsia="Times New Roman"/>
          <w:lang w:val="en-GB" w:eastAsia="en-GB"/>
        </w:rPr>
        <w:t>21]. The classification framework introduced in Section 2 organises hybrid concepts across three axes — floating platform type, WEC integration approach, and energy dominance — providing a more complete and practically useful taxonomy than platform type or WEC type alone [23,24]. The comparative analysis in Sections 4 and 5 evaluates hydrodynamic response, energy performance, structural complexity, mooring implications, and optimization potential across three representative hybrid configurations, drawing on the full breadth of the reviewed literature rather than isolated case studies [12,60]. Section 5.5 surveys the optimization methods applied to hybrid platforms to date — including gradient-based methods, evolutionary algorithms, surrogate-based approaches, and reinforcement learning — and identifies the principal gaps that remain unaddressed [</w:t>
      </w:r>
      <w:r w:rsidR="0018626E">
        <w:rPr>
          <w:rFonts w:eastAsia="Times New Roman"/>
          <w:lang w:val="en-GB" w:eastAsia="en-GB"/>
        </w:rPr>
        <w:t>14,19,42,93</w:t>
      </w:r>
      <w:r w:rsidRPr="000C4E0D">
        <w:rPr>
          <w:rFonts w:eastAsia="Times New Roman"/>
          <w:lang w:val="en-GB" w:eastAsia="en-GB"/>
        </w:rPr>
        <w:t>].</w:t>
      </w:r>
    </w:p>
    <w:p w14:paraId="1EAB0405" w14:textId="77777777" w:rsidR="00A97FCD" w:rsidRPr="004B2EBA" w:rsidRDefault="00A97FCD" w:rsidP="000C4E0D">
      <w:pPr>
        <w:tabs>
          <w:tab w:val="left" w:pos="2552"/>
        </w:tabs>
        <w:spacing w:before="100" w:beforeAutospacing="1" w:after="100" w:afterAutospacing="1" w:line="240" w:lineRule="auto"/>
        <w:ind w:left="2552"/>
        <w:rPr>
          <w:rFonts w:eastAsia="Times New Roman"/>
          <w:b/>
          <w:bCs/>
          <w:sz w:val="24"/>
          <w:szCs w:val="24"/>
          <w:lang w:val="en-GB" w:eastAsia="en-GB"/>
        </w:rPr>
      </w:pPr>
      <w:r w:rsidRPr="004B2EBA">
        <w:rPr>
          <w:rFonts w:eastAsia="Times New Roman"/>
          <w:b/>
          <w:bCs/>
          <w:sz w:val="24"/>
          <w:szCs w:val="24"/>
          <w:lang w:val="en-GB" w:eastAsia="en-GB"/>
        </w:rPr>
        <w:t>6.1 Key Findings and Discussion</w:t>
      </w:r>
    </w:p>
    <w:p w14:paraId="43CD914F" w14:textId="18CC4803" w:rsidR="00A97FCD" w:rsidRPr="00AD6CB0" w:rsidRDefault="004D2177" w:rsidP="009E5DC1">
      <w:pPr>
        <w:tabs>
          <w:tab w:val="left" w:pos="2552"/>
        </w:tabs>
        <w:spacing w:before="100" w:beforeAutospacing="1" w:after="100" w:afterAutospacing="1" w:line="240" w:lineRule="auto"/>
        <w:ind w:left="2694"/>
        <w:rPr>
          <w:rFonts w:eastAsia="Times New Roman"/>
          <w:b/>
          <w:bCs/>
          <w:color w:val="000000" w:themeColor="text1"/>
          <w:sz w:val="24"/>
          <w:szCs w:val="24"/>
          <w:lang w:val="en-GB" w:eastAsia="en-GB"/>
        </w:rPr>
      </w:pPr>
      <w:r w:rsidRPr="00AD6CB0">
        <w:rPr>
          <w:rFonts w:eastAsia="Times New Roman"/>
          <w:color w:val="000000" w:themeColor="text1"/>
          <w:lang w:val="en-GB" w:eastAsia="en-GB"/>
        </w:rPr>
        <w:t>The three</w:t>
      </w:r>
      <w:r w:rsidR="00A97FCD" w:rsidRPr="00AD6CB0">
        <w:rPr>
          <w:rFonts w:eastAsia="Times New Roman"/>
          <w:color w:val="000000" w:themeColor="text1"/>
          <w:lang w:val="en-GB" w:eastAsia="en-GB"/>
        </w:rPr>
        <w:t xml:space="preserve">-axis classification framework introduced in this paper — platform type, WEC integration approach, and energy dominance — provides a more complete basis for comparing hybrid concepts than the two-axis frameworks commonly used in the literature [21,23,24]. </w:t>
      </w:r>
      <w:r w:rsidR="00C66C75" w:rsidRPr="00AD6CB0">
        <w:rPr>
          <w:rFonts w:eastAsia="Times New Roman"/>
          <w:color w:val="000000" w:themeColor="text1"/>
          <w:lang w:val="en-GB" w:eastAsia="en-GB"/>
        </w:rPr>
        <w:t xml:space="preserve">The energy dominance category </w:t>
      </w:r>
      <w:proofErr w:type="gramStart"/>
      <w:r w:rsidR="00C66C75" w:rsidRPr="00AD6CB0">
        <w:rPr>
          <w:rFonts w:eastAsia="Times New Roman"/>
          <w:color w:val="000000" w:themeColor="text1"/>
          <w:lang w:val="en-GB" w:eastAsia="en-GB"/>
        </w:rPr>
        <w:t>in particular offers</w:t>
      </w:r>
      <w:proofErr w:type="gramEnd"/>
      <w:r w:rsidR="00C66C75" w:rsidRPr="00AD6CB0">
        <w:rPr>
          <w:rFonts w:eastAsia="Times New Roman"/>
          <w:color w:val="000000" w:themeColor="text1"/>
          <w:lang w:val="en-GB" w:eastAsia="en-GB"/>
        </w:rPr>
        <w:t xml:space="preserve"> a practically important distinction between configurations where wave energy plays a supplementary load-mitigation role and those where it constitutes a primary generation contribution [4,14,21,36].</w:t>
      </w:r>
      <w:r w:rsidR="00A97FCD" w:rsidRPr="00AD6CB0">
        <w:rPr>
          <w:rFonts w:eastAsia="Times New Roman"/>
          <w:color w:val="000000" w:themeColor="text1"/>
          <w:lang w:val="en-GB" w:eastAsia="en-GB"/>
        </w:rPr>
        <w:t xml:space="preserve"> Applying </w:t>
      </w:r>
      <w:r w:rsidR="00A97FCD" w:rsidRPr="00AD6CB0">
        <w:rPr>
          <w:rFonts w:eastAsia="Times New Roman"/>
          <w:color w:val="000000" w:themeColor="text1"/>
          <w:lang w:val="en-GB" w:eastAsia="en-GB"/>
        </w:rPr>
        <w:lastRenderedPageBreak/>
        <w:t xml:space="preserve">this framework to all concepts reviewed reveals that </w:t>
      </w:r>
      <w:proofErr w:type="gramStart"/>
      <w:r w:rsidR="00A97FCD" w:rsidRPr="00AD6CB0">
        <w:rPr>
          <w:rFonts w:eastAsia="Times New Roman"/>
          <w:color w:val="000000" w:themeColor="text1"/>
          <w:lang w:val="en-GB" w:eastAsia="en-GB"/>
        </w:rPr>
        <w:t>the majority of</w:t>
      </w:r>
      <w:proofErr w:type="gramEnd"/>
      <w:r w:rsidR="00A97FCD" w:rsidRPr="00AD6CB0">
        <w:rPr>
          <w:rFonts w:eastAsia="Times New Roman"/>
          <w:color w:val="000000" w:themeColor="text1"/>
          <w:lang w:val="en-GB" w:eastAsia="en-GB"/>
        </w:rPr>
        <w:t xml:space="preserve"> existing hybrid systems are wind-dominated, and that balanced or WEC-dominated configurations remain largely at the conceptual or early numerical stage [</w:t>
      </w:r>
      <w:r w:rsidR="0018626E" w:rsidRPr="00AD6CB0">
        <w:rPr>
          <w:rFonts w:eastAsia="Times New Roman"/>
          <w:color w:val="000000" w:themeColor="text1"/>
          <w:lang w:val="en-GB" w:eastAsia="en-GB"/>
        </w:rPr>
        <w:t>14,</w:t>
      </w:r>
      <w:r w:rsidR="00A97FCD" w:rsidRPr="00AD6CB0">
        <w:rPr>
          <w:rFonts w:eastAsia="Times New Roman"/>
          <w:color w:val="000000" w:themeColor="text1"/>
          <w:lang w:val="en-GB" w:eastAsia="en-GB"/>
        </w:rPr>
        <w:t>21]. A consolidated classification table and chronological timeline of hybrid concepts are provided to support future comparative studies and to contextualise the evolution of the field [12,15,22].</w:t>
      </w:r>
    </w:p>
    <w:p w14:paraId="6179A098" w14:textId="77777777" w:rsidR="004D2177" w:rsidRPr="000C4E0D" w:rsidRDefault="004D2177" w:rsidP="004D2177">
      <w:pPr>
        <w:tabs>
          <w:tab w:val="left" w:pos="2552"/>
        </w:tabs>
        <w:spacing w:before="100" w:beforeAutospacing="1" w:after="100" w:afterAutospacing="1" w:line="240" w:lineRule="auto"/>
        <w:ind w:left="2552"/>
        <w:rPr>
          <w:rFonts w:eastAsia="Times New Roman"/>
          <w:lang w:val="en-GB" w:eastAsia="en-GB"/>
        </w:rPr>
      </w:pPr>
      <w:r>
        <w:rPr>
          <w:rFonts w:eastAsia="Times New Roman"/>
          <w:lang w:val="en-GB" w:eastAsia="en-GB"/>
        </w:rPr>
        <w:t>Across all WEC types reviewed, WEC integration consistently modifies hydrodynamic response in ways that depend critically on WEC type, placement, and tuning. Integrated WECs consistently modify the hydrodynamic response of the floating platform across all configuration types reviewed, contributing additional radiation damping and altering added mass characteristics in ways that can suppress wave-induced motions [70,81]. The degree of motion mitigation is strongly dependent on WEC type, placement, and tuning: flap-type configurations offer the strongest suppression but introduce the greatest structural loads, OWC integrations provide consistent moderate damping across a broad frequency range and point absorber configurations deliver more variable motion reduction that is highly sensitive to PTO parameter selection [61,72,108]. Motion response data cannot be meaningfully compared across studies using different platform geometries and modelling fidelities and are therefore treated in this review as a contextual indicator rather than a primary ranking criterion [81,82,83].</w:t>
      </w:r>
    </w:p>
    <w:p w14:paraId="04D63A11" w14:textId="3BB92307" w:rsidR="00A97FCD" w:rsidRPr="00AD6CB0" w:rsidRDefault="00C66C75" w:rsidP="000C4E0D">
      <w:pPr>
        <w:tabs>
          <w:tab w:val="left" w:pos="2552"/>
        </w:tabs>
        <w:spacing w:before="100" w:beforeAutospacing="1" w:after="100" w:afterAutospacing="1" w:line="240" w:lineRule="auto"/>
        <w:ind w:left="2552"/>
        <w:rPr>
          <w:rFonts w:eastAsia="Times New Roman"/>
          <w:color w:val="000000" w:themeColor="text1"/>
          <w:lang w:val="en-GB" w:eastAsia="en-GB"/>
        </w:rPr>
      </w:pPr>
      <w:r w:rsidRPr="00AD6CB0">
        <w:rPr>
          <w:rFonts w:eastAsia="Times New Roman"/>
          <w:color w:val="000000" w:themeColor="text1"/>
          <w:lang w:val="en-GB" w:eastAsia="en-GB"/>
        </w:rPr>
        <w:t>All hybrid concepts reviewed demonstrate potential for enhanced combined energy capture relative to standalone floating wind platforms, with estimated capacity factor improvements depending strongly on WEC type, site conditions, and platform configuration [4,14,36].</w:t>
      </w:r>
      <w:r w:rsidR="00A97FCD" w:rsidRPr="00AD6CB0">
        <w:rPr>
          <w:rFonts w:eastAsia="Times New Roman"/>
          <w:color w:val="000000" w:themeColor="text1"/>
          <w:lang w:val="en-GB" w:eastAsia="en-GB"/>
        </w:rPr>
        <w:t xml:space="preserve"> Wave energy contributions are particularly valuable in smoothing power output variability and improving availability during periods of reduced wind resource, consistent with the resource complementarity findings reported across the reviewed literature [61,62,</w:t>
      </w:r>
      <w:r w:rsidR="00EE1028" w:rsidRPr="00AD6CB0">
        <w:rPr>
          <w:rFonts w:eastAsia="Times New Roman"/>
          <w:color w:val="000000" w:themeColor="text1"/>
          <w:lang w:val="en-GB" w:eastAsia="en-GB"/>
        </w:rPr>
        <w:t>87</w:t>
      </w:r>
      <w:r w:rsidR="00A97FCD" w:rsidRPr="00AD6CB0">
        <w:rPr>
          <w:rFonts w:eastAsia="Times New Roman"/>
          <w:color w:val="000000" w:themeColor="text1"/>
          <w:lang w:val="en-GB" w:eastAsia="en-GB"/>
        </w:rPr>
        <w:t>,46]. However, energy synergy alone is insufficient as a design criterion: hybrid systems must balance energy gains against structural demand, mechanical complexity, and mooring loads within a multi-objective framework to produce commercially viable designs [51,61].</w:t>
      </w:r>
    </w:p>
    <w:p w14:paraId="5928DD97" w14:textId="37EA1355" w:rsidR="004D2177" w:rsidRPr="000C4E0D" w:rsidRDefault="004D2177" w:rsidP="004D2177">
      <w:pPr>
        <w:tabs>
          <w:tab w:val="left" w:pos="2552"/>
        </w:tabs>
        <w:spacing w:before="100" w:beforeAutospacing="1" w:after="100" w:afterAutospacing="1" w:line="240" w:lineRule="auto"/>
        <w:ind w:left="2552"/>
        <w:rPr>
          <w:rFonts w:eastAsia="Times New Roman"/>
          <w:lang w:val="en-GB" w:eastAsia="en-GB"/>
        </w:rPr>
      </w:pPr>
      <w:r>
        <w:rPr>
          <w:rFonts w:eastAsia="Times New Roman"/>
          <w:lang w:val="en-GB" w:eastAsia="en-GB"/>
        </w:rPr>
        <w:t xml:space="preserve">Higher performance potential consistently corresponds to greater structural and mechanical complexity across all WEC types reviewed. Increased performance potential consistently corresponds to greater structural and mechanical complexity across all WEC types reviewed [53]. Point absorber systems offer the best near-term balance of performance gain versus complexity, with modular architectures that simplify fabrication, installation, and maintenance [47,52,63]. OWC integrations introduce moderate complexity with the compensating advantage of protected PTO machinery, while flap-type configurations </w:t>
      </w:r>
      <w:r>
        <w:rPr>
          <w:rFonts w:eastAsia="Times New Roman"/>
          <w:lang w:val="en-GB" w:eastAsia="en-GB"/>
        </w:rPr>
        <w:lastRenderedPageBreak/>
        <w:t>impose the greatest demands on structural design, materials selection, and maintenance planning [</w:t>
      </w:r>
      <w:r w:rsidR="00D33B70">
        <w:rPr>
          <w:rFonts w:eastAsia="Times New Roman"/>
          <w:lang w:val="en-GB" w:eastAsia="en-GB"/>
        </w:rPr>
        <w:t>15,102</w:t>
      </w:r>
      <w:r>
        <w:rPr>
          <w:rFonts w:eastAsia="Times New Roman"/>
          <w:lang w:val="en-GB" w:eastAsia="en-GB"/>
        </w:rPr>
        <w:t>]. Lifecycle cost considerations must be integrated within the optimization framework from the outset, as the optimal complexity–performance balance is strongly site-specific and cannot be determined from hydrodynamic analysis alone [50].</w:t>
      </w:r>
    </w:p>
    <w:p w14:paraId="442699A7" w14:textId="2C61F532" w:rsidR="00A97FCD" w:rsidRPr="000C4E0D" w:rsidRDefault="0094557E" w:rsidP="000C4E0D">
      <w:pPr>
        <w:tabs>
          <w:tab w:val="left" w:pos="2552"/>
        </w:tabs>
        <w:spacing w:before="100" w:beforeAutospacing="1" w:after="100" w:afterAutospacing="1" w:line="240" w:lineRule="auto"/>
        <w:ind w:left="2552"/>
        <w:rPr>
          <w:rFonts w:eastAsia="Times New Roman"/>
          <w:lang w:val="en-GB" w:eastAsia="en-GB"/>
        </w:rPr>
      </w:pPr>
      <w:r w:rsidRPr="0094557E">
        <w:rPr>
          <w:rFonts w:eastAsia="Times New Roman"/>
          <w:lang w:val="en-GB" w:eastAsia="en-GB"/>
        </w:rPr>
        <w:t>Hybridisation modifies mooring system requirements across all configuration types, with flap-type WECs imposing the greatest additional dynamic loading and fatigue damage accumulation [84,96,111]</w:t>
      </w:r>
      <w:r w:rsidR="00A97FCD" w:rsidRPr="000C4E0D">
        <w:rPr>
          <w:rFonts w:eastAsia="Times New Roman"/>
          <w:lang w:val="en-GB" w:eastAsia="en-GB"/>
        </w:rPr>
        <w:t xml:space="preserve">. </w:t>
      </w:r>
      <w:r w:rsidR="00C94779" w:rsidRPr="00C94779">
        <w:rPr>
          <w:rFonts w:eastAsia="Times New Roman"/>
          <w:lang w:val="en-GB" w:eastAsia="en-GB"/>
        </w:rPr>
        <w:t>Symmetrical arrangement of point absorbers can help moderate platform and mooring response, while asymmetrical configurations or individual unit failures should be considered in dynamic mooring and reliability assessments [61–63,100,107,111].</w:t>
      </w:r>
      <w:r w:rsidR="00A97FCD" w:rsidRPr="000C4E0D">
        <w:rPr>
          <w:rFonts w:eastAsia="Times New Roman"/>
          <w:lang w:val="en-GB" w:eastAsia="en-GB"/>
        </w:rPr>
        <w:t xml:space="preserve"> OWC integration produces moderate and broadly predictable mooring load increases that can generally be accommodated within standard design margins [107]. These findings confirm that mooring system design must be treated as an integral component of hybrid platform optimization rather than a post-design consideration [64].</w:t>
      </w:r>
    </w:p>
    <w:p w14:paraId="2E7E2475" w14:textId="772F7EE9" w:rsidR="004D2177" w:rsidRPr="000C4E0D" w:rsidRDefault="004D2177" w:rsidP="004D2177">
      <w:pPr>
        <w:tabs>
          <w:tab w:val="left" w:pos="2552"/>
        </w:tabs>
        <w:spacing w:before="100" w:beforeAutospacing="1" w:after="100" w:afterAutospacing="1" w:line="240" w:lineRule="auto"/>
        <w:ind w:left="2552"/>
        <w:rPr>
          <w:rFonts w:eastAsia="Times New Roman"/>
          <w:lang w:val="en-GB" w:eastAsia="en-GB"/>
        </w:rPr>
      </w:pPr>
      <w:r>
        <w:rPr>
          <w:rFonts w:eastAsia="Times New Roman"/>
          <w:lang w:val="en-GB" w:eastAsia="en-GB"/>
        </w:rPr>
        <w:t xml:space="preserve">The optimization survey identifies four principal method classes and reveals that fully integrated system-level frameworks represent the most critical remaining gap. The survey of optimization methods in Section 5.5 identifies four principal classes applied to hybrid wave–wind systems in the reviewed literature: gradient-based methods, evolutionary algorithms, surrogate-based optimization, and reinforcement learning [14,19,42,93]. Evolutionary algorithms and surrogate-based methods are the </w:t>
      </w:r>
      <w:proofErr w:type="gramStart"/>
      <w:r>
        <w:rPr>
          <w:rFonts w:eastAsia="Times New Roman"/>
          <w:lang w:val="en-GB" w:eastAsia="en-GB"/>
        </w:rPr>
        <w:t>most commonly employed</w:t>
      </w:r>
      <w:proofErr w:type="gramEnd"/>
      <w:r>
        <w:rPr>
          <w:rFonts w:eastAsia="Times New Roman"/>
          <w:lang w:val="en-GB" w:eastAsia="en-GB"/>
        </w:rPr>
        <w:t xml:space="preserve"> for multi-objective and system-level problems respectively, while gradient-based methods remain useful for single-objective PTO tuning problems with smooth objective functions [15,</w:t>
      </w:r>
      <w:r w:rsidR="005350FB">
        <w:rPr>
          <w:rFonts w:eastAsia="Times New Roman"/>
          <w:lang w:val="en-GB" w:eastAsia="en-GB"/>
        </w:rPr>
        <w:t>88,89</w:t>
      </w:r>
      <w:r>
        <w:rPr>
          <w:rFonts w:eastAsia="Times New Roman"/>
          <w:lang w:val="en-GB" w:eastAsia="en-GB"/>
        </w:rPr>
        <w:t xml:space="preserve">]. The most significant gap identified is the absence of truly integrated system-level optimization frameworks that simultaneously address coupled aerodynamic, hydrodynamic, structural, and economic objectives within a single computational workflow [5,14,16,17]. </w:t>
      </w:r>
      <w:proofErr w:type="gramStart"/>
      <w:r>
        <w:rPr>
          <w:rFonts w:eastAsia="Times New Roman"/>
          <w:lang w:val="en-GB" w:eastAsia="en-GB"/>
        </w:rPr>
        <w:t>The majority of</w:t>
      </w:r>
      <w:proofErr w:type="gramEnd"/>
      <w:r>
        <w:rPr>
          <w:rFonts w:eastAsia="Times New Roman"/>
          <w:lang w:val="en-GB" w:eastAsia="en-GB"/>
        </w:rPr>
        <w:t xml:space="preserve"> reviewed studies optimise either the WEC subsystem in isolation or the platform with WEC effects approximated, rather than treating the full hybrid system as a coupled multi-physics design problem [19,21].</w:t>
      </w:r>
    </w:p>
    <w:p w14:paraId="2275DB74" w14:textId="77777777" w:rsidR="00A97FCD" w:rsidRPr="004B2EBA" w:rsidRDefault="00A97FCD" w:rsidP="000C4E0D">
      <w:pPr>
        <w:tabs>
          <w:tab w:val="left" w:pos="2552"/>
        </w:tabs>
        <w:spacing w:before="100" w:beforeAutospacing="1" w:after="100" w:afterAutospacing="1" w:line="240" w:lineRule="auto"/>
        <w:ind w:left="2552"/>
        <w:rPr>
          <w:rFonts w:eastAsia="Times New Roman"/>
          <w:b/>
          <w:bCs/>
          <w:sz w:val="24"/>
          <w:szCs w:val="24"/>
          <w:lang w:val="en-GB" w:eastAsia="en-GB"/>
        </w:rPr>
      </w:pPr>
      <w:r w:rsidRPr="004B2EBA">
        <w:rPr>
          <w:rFonts w:eastAsia="Times New Roman"/>
          <w:b/>
          <w:bCs/>
          <w:sz w:val="24"/>
          <w:szCs w:val="24"/>
          <w:lang w:val="en-GB" w:eastAsia="en-GB"/>
        </w:rPr>
        <w:t>6.2 Research Challenges and Future Directions</w:t>
      </w:r>
    </w:p>
    <w:p w14:paraId="638AA887" w14:textId="08E9322A" w:rsidR="004D2177" w:rsidRPr="000C4E0D" w:rsidRDefault="004D2177" w:rsidP="004D2177">
      <w:pPr>
        <w:tabs>
          <w:tab w:val="left" w:pos="2552"/>
        </w:tabs>
        <w:spacing w:before="100" w:beforeAutospacing="1" w:after="100" w:afterAutospacing="1" w:line="240" w:lineRule="auto"/>
        <w:ind w:left="2552"/>
        <w:rPr>
          <w:rFonts w:eastAsia="Times New Roman"/>
          <w:lang w:val="en-GB" w:eastAsia="en-GB"/>
        </w:rPr>
      </w:pPr>
      <w:r>
        <w:rPr>
          <w:rFonts w:eastAsia="Times New Roman"/>
          <w:lang w:val="en-GB" w:eastAsia="en-GB"/>
        </w:rPr>
        <w:t xml:space="preserve">Developing fully integrated multi-physics optimization frameworks is the most pressing challenge for the field, requiring solutions to both modelling and computational tractability. The development of optimization frameworks that simultaneously address coupled aerodynamic, hydrodynamic, structural, and economic design variables across the full hybrid system remains the most pressing research challenge identified in this review [14,42,61,108]. Current tools such as </w:t>
      </w:r>
      <w:r>
        <w:rPr>
          <w:rFonts w:eastAsia="Times New Roman"/>
          <w:lang w:val="en-GB" w:eastAsia="en-GB"/>
        </w:rPr>
        <w:lastRenderedPageBreak/>
        <w:t>Open FAST provide the coupled simulation capability needed to underpin such frameworks [18], but their integration within optimization loops — particularly for multi-objective problems requiring large numbers of function evaluations — demands either substantial computational resources or the development of sufficiently accurate surrogate models [19 ,</w:t>
      </w:r>
      <w:r w:rsidR="006D053D">
        <w:rPr>
          <w:rFonts w:eastAsia="Times New Roman"/>
          <w:lang w:val="en-GB" w:eastAsia="en-GB"/>
        </w:rPr>
        <w:t>84</w:t>
      </w:r>
      <w:r>
        <w:rPr>
          <w:rFonts w:eastAsia="Times New Roman"/>
          <w:lang w:val="en-GB" w:eastAsia="en-GB"/>
        </w:rPr>
        <w:t>]. Future work should prioritise the development and validation of multi-fidelity optimization workflows in which high-fidelity coupled simulations are used to train and validate surrogates that can be evaluated efficiently within evolutionary or Bayesian optimization loops [14,42].</w:t>
      </w:r>
    </w:p>
    <w:p w14:paraId="31DCB365" w14:textId="34ABC168" w:rsidR="004D2177" w:rsidRPr="000C4E0D" w:rsidRDefault="004D2177" w:rsidP="004D2177">
      <w:pPr>
        <w:tabs>
          <w:tab w:val="left" w:pos="2552"/>
        </w:tabs>
        <w:spacing w:before="100" w:beforeAutospacing="1" w:after="100" w:afterAutospacing="1" w:line="240" w:lineRule="auto"/>
        <w:ind w:left="2552"/>
        <w:rPr>
          <w:rFonts w:eastAsia="Times New Roman"/>
          <w:lang w:val="en-GB" w:eastAsia="en-GB"/>
        </w:rPr>
      </w:pPr>
      <w:r>
        <w:rPr>
          <w:rFonts w:eastAsia="Times New Roman"/>
          <w:lang w:val="en-GB" w:eastAsia="en-GB"/>
        </w:rPr>
        <w:t xml:space="preserve">Standardised benchmarking and reference platform models are urgently needed to enable reliable cross-study comparisons and to validate optimization results. The absence of standardised benchmarking across hybrid wave–wind studies severely </w:t>
      </w:r>
      <w:proofErr w:type="gramStart"/>
      <w:r>
        <w:rPr>
          <w:rFonts w:eastAsia="Times New Roman"/>
          <w:lang w:val="en-GB" w:eastAsia="en-GB"/>
        </w:rPr>
        <w:t>limits</w:t>
      </w:r>
      <w:proofErr w:type="gramEnd"/>
      <w:r>
        <w:rPr>
          <w:rFonts w:eastAsia="Times New Roman"/>
          <w:lang w:val="en-GB" w:eastAsia="en-GB"/>
        </w:rPr>
        <w:t xml:space="preserve"> the ability to draw reliable comparative conclusions from the existing literature [21,</w:t>
      </w:r>
      <w:r w:rsidR="00C43499">
        <w:rPr>
          <w:rFonts w:eastAsia="Times New Roman"/>
          <w:lang w:val="en-GB" w:eastAsia="en-GB"/>
        </w:rPr>
        <w:t>80,102</w:t>
      </w:r>
      <w:r>
        <w:rPr>
          <w:rFonts w:eastAsia="Times New Roman"/>
          <w:lang w:val="en-GB" w:eastAsia="en-GB"/>
        </w:rPr>
        <w:t>]. Different studies employ different platform geometries, WEC scales, wave spectra, and modelling fidelities, making direct performance comparisons unreliable [81,82]. Future research should prioritise the establishment of reference hybrid platform models — analogous to the OC3, OC4, and OC5 reference models for floating wind [</w:t>
      </w:r>
      <w:r w:rsidR="00D33B70">
        <w:rPr>
          <w:rFonts w:eastAsia="Times New Roman"/>
          <w:lang w:val="en-GB" w:eastAsia="en-GB"/>
        </w:rPr>
        <w:t>24,36,33</w:t>
      </w:r>
      <w:r>
        <w:rPr>
          <w:rFonts w:eastAsia="Times New Roman"/>
          <w:lang w:val="en-GB" w:eastAsia="en-GB"/>
        </w:rPr>
        <w:t>] — against which new hybrid concepts and optimization methods can be consistently evaluated. Standardised metrics for energy performance, structural loading, and mooring response, defined across a representative set of deployment sites, would substantially improve the transferability of research findings across the community [14,85,88].</w:t>
      </w:r>
    </w:p>
    <w:p w14:paraId="7C0EAF4F" w14:textId="1321DAA3" w:rsidR="004D2177" w:rsidRPr="000C4E0D" w:rsidRDefault="004D2177" w:rsidP="004D2177">
      <w:pPr>
        <w:tabs>
          <w:tab w:val="left" w:pos="2552"/>
        </w:tabs>
        <w:spacing w:before="100" w:beforeAutospacing="1" w:after="100" w:afterAutospacing="1" w:line="240" w:lineRule="auto"/>
        <w:ind w:left="2552"/>
        <w:rPr>
          <w:rFonts w:eastAsia="Times New Roman"/>
          <w:lang w:val="en-GB" w:eastAsia="en-GB"/>
        </w:rPr>
      </w:pPr>
      <w:r>
        <w:rPr>
          <w:rFonts w:eastAsia="Times New Roman"/>
          <w:lang w:val="en-GB" w:eastAsia="en-GB"/>
        </w:rPr>
        <w:t xml:space="preserve">Advanced control strategies represent one of the most promising avenues for improving hybrid platform performance, yet their integration within design frameworks remains limited. Advanced model-based and data-driven control approaches represent one of the most promising avenues for improving hybrid system performance, yet their integration within holistic design frameworks remains limited in the current literature [14,85,93]. Future work should develop control methodologies that are co-designed with the platform from the outset rather than applied as post-design refinements and should examine hierarchical control architectures that coordinate WEC-level PTO optimization with platform-level motion management and wind turbine load control simultaneously [72,83,85,93]. Reinforcement learning approaches offer </w:t>
      </w:r>
      <w:proofErr w:type="gramStart"/>
      <w:r>
        <w:rPr>
          <w:rFonts w:eastAsia="Times New Roman"/>
          <w:lang w:val="en-GB" w:eastAsia="en-GB"/>
        </w:rPr>
        <w:t>particular promise</w:t>
      </w:r>
      <w:proofErr w:type="gramEnd"/>
      <w:r>
        <w:rPr>
          <w:rFonts w:eastAsia="Times New Roman"/>
          <w:lang w:val="en-GB" w:eastAsia="en-GB"/>
        </w:rPr>
        <w:t xml:space="preserve"> for real-time adaptive control under variable sea states and warrant systematic investigation at the hybrid system level [14, 93,</w:t>
      </w:r>
      <w:r w:rsidR="006D053D">
        <w:rPr>
          <w:rFonts w:eastAsia="Times New Roman"/>
          <w:lang w:val="en-GB" w:eastAsia="en-GB"/>
        </w:rPr>
        <w:t>84</w:t>
      </w:r>
      <w:r>
        <w:rPr>
          <w:rFonts w:eastAsia="Times New Roman"/>
          <w:lang w:val="en-GB" w:eastAsia="en-GB"/>
        </w:rPr>
        <w:t>].</w:t>
      </w:r>
    </w:p>
    <w:p w14:paraId="67E0E3D3" w14:textId="277B278A" w:rsidR="004B2EBA" w:rsidRPr="00E7161F" w:rsidRDefault="004D2177" w:rsidP="00E7161F">
      <w:pPr>
        <w:tabs>
          <w:tab w:val="left" w:pos="2552"/>
        </w:tabs>
        <w:spacing w:before="100" w:beforeAutospacing="1" w:after="100" w:afterAutospacing="1" w:line="240" w:lineRule="auto"/>
        <w:ind w:left="2552"/>
        <w:rPr>
          <w:rFonts w:eastAsia="Times New Roman"/>
          <w:lang w:val="en-GB" w:eastAsia="en-GB"/>
        </w:rPr>
      </w:pPr>
      <w:r w:rsidRPr="004D2177">
        <w:rPr>
          <w:rFonts w:eastAsia="Times New Roman"/>
          <w:lang w:val="en-GB" w:eastAsia="en-GB"/>
        </w:rPr>
        <w:t xml:space="preserve"> </w:t>
      </w:r>
      <w:r>
        <w:rPr>
          <w:rFonts w:eastAsia="Times New Roman"/>
          <w:lang w:val="en-GB" w:eastAsia="en-GB"/>
        </w:rPr>
        <w:t xml:space="preserve">Physical validation through scaled testing and prototype deployment remains a critical priority given the near-exclusively numerical basis of current optimization research. The overwhelming majority of optimization studies reviewed are based on numerical modelling, with physical validation limited to a small </w:t>
      </w:r>
      <w:r>
        <w:rPr>
          <w:rFonts w:eastAsia="Times New Roman"/>
          <w:lang w:val="en-GB" w:eastAsia="en-GB"/>
        </w:rPr>
        <w:lastRenderedPageBreak/>
        <w:t>number of scaled wave tank experiments [40,63,70]. Large-scale demonstrations and real-world operational data remain scarce, constraining confidence in numerical performance predictions and limiting the ability to validate optimization results under realistic irregular sea states and combined wind-wave loading [70]. Future research should prioritise scaled tank testing of integrated hybrid systems — including simultaneous aerodynamic and hydrodynamic loading where facilities permit — and, where resources allow, deployment of prototype systems in representative offshore environments. Data from such tests are essential both for validating numerical models and for identifying failure modes and maintenance requirements that are not apparent from simulation alone [15,88].</w:t>
      </w:r>
    </w:p>
    <w:p w14:paraId="11E9B73F" w14:textId="1E34923E" w:rsidR="004D2177" w:rsidRPr="000C4E0D" w:rsidRDefault="0080475A" w:rsidP="004D2177">
      <w:pPr>
        <w:tabs>
          <w:tab w:val="left" w:pos="2552"/>
        </w:tabs>
        <w:spacing w:before="100" w:beforeAutospacing="1" w:after="100" w:afterAutospacing="1" w:line="240" w:lineRule="auto"/>
        <w:ind w:left="2552"/>
        <w:rPr>
          <w:rFonts w:eastAsia="Times New Roman"/>
          <w:lang w:val="en-GB" w:eastAsia="en-GB"/>
        </w:rPr>
      </w:pPr>
      <w:r w:rsidRPr="0080475A">
        <w:rPr>
          <w:rFonts w:eastAsia="Times New Roman"/>
          <w:lang w:val="en-GB" w:eastAsia="en-GB"/>
        </w:rPr>
        <w:t xml:space="preserve">Techno-economic and lifecycle cost analysis remain underdeveloped relative to their commercial importance and must be integrated within optimization frameworks from the outset. Comprehensive techno-economic assessment and lifecycle cost analysis remain underdeveloped relative to hydrodynamic and structural studies in the hybrid systems literature. </w:t>
      </w:r>
      <w:r w:rsidR="008F7173" w:rsidRPr="008F7173">
        <w:rPr>
          <w:rFonts w:eastAsia="Times New Roman"/>
          <w:lang w:val="en-GB" w:eastAsia="en-GB"/>
        </w:rPr>
        <w:t>Future work should develop standardised methodologies for comparing hybrid system economics — incorporating capital expenditure, operational expenditure, levelized cost of energy, energy yield, and infrastructure sharing benefits — and should integrate these economic models directly within multi-objective optimization frameworks so that cost-performance trade-offs can be explicitly quantified and navigated during the design process [50,101,103,104].</w:t>
      </w:r>
      <w:r w:rsidR="004D2177">
        <w:rPr>
          <w:rFonts w:eastAsia="Times New Roman"/>
          <w:lang w:val="en-GB" w:eastAsia="en-GB"/>
        </w:rPr>
        <w:t xml:space="preserve"> Uncertainty quantification methods that propagate resource variability, manufacturing tolerances, and degradation rates through to cost and performance estimates would substantially improve the reliability of investment decisions for hybrid platforms.</w:t>
      </w:r>
    </w:p>
    <w:p w14:paraId="2EDAB900" w14:textId="5B6F1FAD" w:rsidR="004D2177" w:rsidRPr="000C4E0D" w:rsidRDefault="004D2177" w:rsidP="004D2177">
      <w:pPr>
        <w:tabs>
          <w:tab w:val="left" w:pos="2552"/>
        </w:tabs>
        <w:spacing w:before="100" w:beforeAutospacing="1" w:after="100" w:afterAutospacing="1" w:line="240" w:lineRule="auto"/>
        <w:ind w:left="2552"/>
        <w:rPr>
          <w:rFonts w:eastAsia="Times New Roman"/>
          <w:lang w:val="en-GB" w:eastAsia="en-GB"/>
        </w:rPr>
      </w:pPr>
      <w:r>
        <w:rPr>
          <w:rFonts w:eastAsia="Times New Roman"/>
          <w:lang w:val="en-GB" w:eastAsia="en-GB"/>
        </w:rPr>
        <w:t xml:space="preserve">Long-term reliability, extreme-condition survivability, and environmental impact assessment must be addressed systematically before hybrid platforms can reach commercial deployment. Long-term reliability under operational and extreme marine conditions remains a critical concern for all hybrid configurations reviewed, particularly those involving mechanically complex WEC types. Future work should develop reliability models that account for the coupled nature of hybrid systems and identify critical failure modes arising from WEC–platform interaction rather than treating subsystem failures independently. </w:t>
      </w:r>
      <w:r w:rsidR="004F67A8" w:rsidRPr="004F67A8">
        <w:rPr>
          <w:rFonts w:eastAsia="Times New Roman"/>
          <w:lang w:val="en-GB" w:eastAsia="en-GB"/>
        </w:rPr>
        <w:t>Survivability under 50-year and 100-year storm conditions requires particular attention for flap-type and point absorber configurations where WEC components are directly exposed to wave loading [96,100,111].</w:t>
      </w:r>
      <w:r>
        <w:rPr>
          <w:rFonts w:eastAsia="Times New Roman"/>
          <w:lang w:val="en-GB" w:eastAsia="en-GB"/>
        </w:rPr>
        <w:t xml:space="preserve"> Alongside reliability, the environmental effects of hybrid platforms — including combined acoustic footprint, electromagnetic emissions from subsea cables, and potential as artificial reef structures — require systematic investigation to support consenting processes and to quantify whether hybridisation offers environmental co-benefits relative to standalone deployments.</w:t>
      </w:r>
    </w:p>
    <w:p w14:paraId="3E0148D2" w14:textId="77777777" w:rsidR="00A97FCD" w:rsidRPr="004B2EBA" w:rsidRDefault="00A97FCD" w:rsidP="000C4E0D">
      <w:pPr>
        <w:tabs>
          <w:tab w:val="left" w:pos="2552"/>
        </w:tabs>
        <w:spacing w:before="100" w:beforeAutospacing="1" w:after="100" w:afterAutospacing="1" w:line="240" w:lineRule="auto"/>
        <w:ind w:left="2552"/>
        <w:rPr>
          <w:rFonts w:eastAsia="Times New Roman"/>
          <w:b/>
          <w:bCs/>
          <w:sz w:val="24"/>
          <w:szCs w:val="24"/>
          <w:lang w:val="en-GB" w:eastAsia="en-GB"/>
        </w:rPr>
      </w:pPr>
      <w:r w:rsidRPr="004B2EBA">
        <w:rPr>
          <w:rFonts w:eastAsia="Times New Roman"/>
          <w:b/>
          <w:bCs/>
          <w:sz w:val="24"/>
          <w:szCs w:val="24"/>
          <w:lang w:val="en-GB" w:eastAsia="en-GB"/>
        </w:rPr>
        <w:lastRenderedPageBreak/>
        <w:t>7. Conclusions</w:t>
      </w:r>
    </w:p>
    <w:p w14:paraId="5253873D" w14:textId="07B94956" w:rsidR="00A97FCD" w:rsidRPr="000C4E0D" w:rsidRDefault="00A97FCD" w:rsidP="000C4E0D">
      <w:pPr>
        <w:tabs>
          <w:tab w:val="left" w:pos="2552"/>
        </w:tabs>
        <w:spacing w:before="100" w:beforeAutospacing="1" w:after="100" w:afterAutospacing="1" w:line="240" w:lineRule="auto"/>
        <w:ind w:left="2552"/>
        <w:rPr>
          <w:rFonts w:eastAsia="Times New Roman"/>
          <w:lang w:val="en-GB" w:eastAsia="en-GB"/>
        </w:rPr>
      </w:pPr>
      <w:r w:rsidRPr="000C4E0D">
        <w:rPr>
          <w:rFonts w:eastAsia="Times New Roman"/>
          <w:lang w:val="en-GB" w:eastAsia="en-GB"/>
        </w:rPr>
        <w:t>Hybrid wave–wind energy platforms represent one of the most technically and commercially promising frontiers in offshore renewable energy, offering the potential to combine complementary resources, share infrastructure costs, and improve capacity factors in deep water environments where floating solutions are required. This review has demonstrated that realising this potential depends critically on the development of multi-objective, multi-physics optimization frameworks that treat the hybrid system as a coupled design problem from the outset, rather than optimising subsystems in isolation and assembling the results [14,</w:t>
      </w:r>
      <w:r w:rsidR="002D33C5">
        <w:rPr>
          <w:rFonts w:eastAsia="Times New Roman"/>
          <w:lang w:val="en-GB" w:eastAsia="en-GB"/>
        </w:rPr>
        <w:t>42,</w:t>
      </w:r>
      <w:r w:rsidRPr="000C4E0D">
        <w:rPr>
          <w:rFonts w:eastAsia="Times New Roman"/>
          <w:lang w:val="en-GB" w:eastAsia="en-GB"/>
        </w:rPr>
        <w:t>61,108].</w:t>
      </w:r>
    </w:p>
    <w:p w14:paraId="69781F07" w14:textId="129E2E21" w:rsidR="00A97FCD" w:rsidRPr="000C4E0D" w:rsidRDefault="00A97FCD" w:rsidP="000C4E0D">
      <w:pPr>
        <w:tabs>
          <w:tab w:val="left" w:pos="2552"/>
        </w:tabs>
        <w:spacing w:before="100" w:beforeAutospacing="1" w:after="100" w:afterAutospacing="1" w:line="240" w:lineRule="auto"/>
        <w:ind w:left="2552"/>
        <w:rPr>
          <w:rFonts w:eastAsia="Times New Roman"/>
          <w:lang w:val="en-GB" w:eastAsia="en-GB"/>
        </w:rPr>
      </w:pPr>
      <w:r w:rsidRPr="000C4E0D">
        <w:rPr>
          <w:rFonts w:eastAsia="Times New Roman"/>
          <w:lang w:val="en-GB" w:eastAsia="en-GB"/>
        </w:rPr>
        <w:t>The classification framework, optimization methods survey, and trade-off analysis presented here provide a structured foundation for future research in this area [21,23,24]. The consistent finding across all dimensions of the comparative analysis — that no single hybrid configuration dominates across all criteria, and that optimal design is inherently site-specific, configuration-dependent, and sensitive to the balance struck between competing objectives — reinforces the centrality of rigorous multi-objective optimization to the field's progression [</w:t>
      </w:r>
      <w:r w:rsidR="002D33C5">
        <w:rPr>
          <w:rFonts w:eastAsia="Times New Roman"/>
          <w:lang w:val="en-GB" w:eastAsia="en-GB"/>
        </w:rPr>
        <w:t>19,</w:t>
      </w:r>
      <w:r w:rsidRPr="000C4E0D">
        <w:rPr>
          <w:rFonts w:eastAsia="Times New Roman"/>
          <w:lang w:val="en-GB" w:eastAsia="en-GB"/>
        </w:rPr>
        <w:t>6</w:t>
      </w:r>
      <w:r w:rsidR="002D33C5">
        <w:rPr>
          <w:rFonts w:eastAsia="Times New Roman"/>
          <w:lang w:val="en-GB" w:eastAsia="en-GB"/>
        </w:rPr>
        <w:t>1</w:t>
      </w:r>
      <w:r w:rsidRPr="000C4E0D">
        <w:rPr>
          <w:rFonts w:eastAsia="Times New Roman"/>
          <w:lang w:val="en-GB" w:eastAsia="en-GB"/>
        </w:rPr>
        <w:t>,6</w:t>
      </w:r>
      <w:r w:rsidR="002D33C5">
        <w:rPr>
          <w:rFonts w:eastAsia="Times New Roman"/>
          <w:lang w:val="en-GB" w:eastAsia="en-GB"/>
        </w:rPr>
        <w:t>8</w:t>
      </w:r>
      <w:r w:rsidRPr="000C4E0D">
        <w:rPr>
          <w:rFonts w:eastAsia="Times New Roman"/>
          <w:lang w:val="en-GB" w:eastAsia="en-GB"/>
        </w:rPr>
        <w:t>,108].</w:t>
      </w:r>
    </w:p>
    <w:p w14:paraId="404B30A6" w14:textId="10F7997A" w:rsidR="00A97FCD" w:rsidRPr="000C4E0D" w:rsidRDefault="00A97FCD" w:rsidP="000C4E0D">
      <w:pPr>
        <w:tabs>
          <w:tab w:val="left" w:pos="2552"/>
        </w:tabs>
        <w:spacing w:before="100" w:beforeAutospacing="1" w:after="100" w:afterAutospacing="1" w:line="240" w:lineRule="auto"/>
        <w:ind w:left="2552"/>
        <w:rPr>
          <w:rFonts w:eastAsia="Times New Roman"/>
          <w:lang w:val="en-GB" w:eastAsia="en-GB"/>
        </w:rPr>
      </w:pPr>
      <w:r w:rsidRPr="000C4E0D">
        <w:rPr>
          <w:rFonts w:eastAsia="Times New Roman"/>
          <w:lang w:val="en-GB" w:eastAsia="en-GB"/>
        </w:rPr>
        <w:t xml:space="preserve">As the offshore renewable energy sector continues to grow and floating wind technology approaches commercial maturity, hybrid systems that efficiently integrate wave and wind resources while sharing infrastructure will likely play an increasingly important role in meeting decarbonisation targets [7]. Translating the performance potential identified in the reviewed literature into commercially deployable systems will require sustained and coordinated research effort across hydrodynamic modelling, structural engineering, control systems, techno-economic analysis, and experimental </w:t>
      </w:r>
      <w:r w:rsidR="0073062E" w:rsidRPr="000C4E0D">
        <w:rPr>
          <w:rFonts w:eastAsia="Times New Roman"/>
          <w:lang w:val="en-GB" w:eastAsia="en-GB"/>
        </w:rPr>
        <w:t>validation.</w:t>
      </w:r>
      <w:r w:rsidRPr="000C4E0D">
        <w:rPr>
          <w:rFonts w:eastAsia="Times New Roman"/>
          <w:lang w:val="en-GB" w:eastAsia="en-GB"/>
        </w:rPr>
        <w:t xml:space="preserve"> The optimization methods surveyed in this review — and the gaps identified within them — define a clear and tractable research agenda for achieving this goal [14,</w:t>
      </w:r>
      <w:r w:rsidR="002D33C5">
        <w:rPr>
          <w:rFonts w:eastAsia="Times New Roman"/>
          <w:lang w:val="en-GB" w:eastAsia="en-GB"/>
        </w:rPr>
        <w:t>19,</w:t>
      </w:r>
      <w:r w:rsidRPr="000C4E0D">
        <w:rPr>
          <w:rFonts w:eastAsia="Times New Roman"/>
          <w:lang w:val="en-GB" w:eastAsia="en-GB"/>
        </w:rPr>
        <w:t>42,</w:t>
      </w:r>
      <w:r w:rsidR="006D053D">
        <w:rPr>
          <w:rFonts w:eastAsia="Times New Roman"/>
          <w:lang w:val="en-GB" w:eastAsia="en-GB"/>
        </w:rPr>
        <w:t>84</w:t>
      </w:r>
      <w:r w:rsidRPr="000C4E0D">
        <w:rPr>
          <w:rFonts w:eastAsia="Times New Roman"/>
          <w:lang w:val="en-GB" w:eastAsia="en-GB"/>
        </w:rPr>
        <w:t>].</w:t>
      </w:r>
    </w:p>
    <w:p w14:paraId="1F9639BB" w14:textId="77777777" w:rsidR="00A97FCD" w:rsidRPr="000C4E0D" w:rsidRDefault="00A97FCD" w:rsidP="000C4E0D">
      <w:pPr>
        <w:tabs>
          <w:tab w:val="left" w:pos="2552"/>
        </w:tabs>
        <w:spacing w:before="240" w:after="240" w:line="420" w:lineRule="atLeast"/>
        <w:ind w:left="2552"/>
        <w:rPr>
          <w:rFonts w:eastAsia="Times New Roman"/>
          <w:color w:val="0F1115"/>
          <w:sz w:val="24"/>
          <w:szCs w:val="24"/>
          <w:lang w:val="en-GB" w:eastAsia="en-GB"/>
        </w:rPr>
      </w:pPr>
      <w:r w:rsidRPr="004B2EBA">
        <w:rPr>
          <w:rFonts w:eastAsia="Times New Roman"/>
          <w:b/>
          <w:bCs/>
          <w:color w:val="0F1115"/>
          <w:sz w:val="24"/>
          <w:szCs w:val="24"/>
          <w:lang w:val="en-GB" w:eastAsia="en-GB"/>
        </w:rPr>
        <w:t>Author Contributions:</w:t>
      </w:r>
      <w:r w:rsidRPr="000C4E0D">
        <w:rPr>
          <w:rFonts w:eastAsia="Times New Roman"/>
          <w:color w:val="0F1115"/>
          <w:sz w:val="24"/>
          <w:szCs w:val="24"/>
          <w:lang w:val="en-GB" w:eastAsia="en-GB"/>
        </w:rPr>
        <w:t xml:space="preserve"> Conceptualisation, A.Z. and C.M.; methodology, A.Z.; formal analysis, A.Z.; investigation, A.Z.; writing—original draft preparation, A.Z.; writing—review and editing, C.M., G.A., Z.W. and X.M.; supervision, C.M., G.A. and X.M. All authors have read and agreed to the published version of the manuscript.</w:t>
      </w:r>
    </w:p>
    <w:p w14:paraId="61318436" w14:textId="77777777" w:rsidR="00A97FCD" w:rsidRDefault="00A97FCD" w:rsidP="000C4E0D">
      <w:pPr>
        <w:tabs>
          <w:tab w:val="left" w:pos="2552"/>
        </w:tabs>
        <w:spacing w:before="240" w:after="240" w:line="420" w:lineRule="atLeast"/>
        <w:ind w:left="2552"/>
        <w:rPr>
          <w:rFonts w:eastAsia="Times New Roman"/>
          <w:color w:val="0F1115"/>
          <w:sz w:val="24"/>
          <w:szCs w:val="24"/>
          <w:lang w:val="en-GB" w:eastAsia="en-GB"/>
        </w:rPr>
      </w:pPr>
      <w:r w:rsidRPr="004B2EBA">
        <w:rPr>
          <w:rFonts w:eastAsia="Times New Roman"/>
          <w:b/>
          <w:bCs/>
          <w:color w:val="0F1115"/>
          <w:sz w:val="24"/>
          <w:szCs w:val="24"/>
          <w:lang w:val="en-GB" w:eastAsia="en-GB"/>
        </w:rPr>
        <w:t>Funding:</w:t>
      </w:r>
      <w:r w:rsidRPr="000C4E0D">
        <w:rPr>
          <w:rFonts w:eastAsia="Times New Roman"/>
          <w:color w:val="0F1115"/>
          <w:sz w:val="24"/>
          <w:szCs w:val="24"/>
          <w:lang w:val="en-GB" w:eastAsia="en-GB"/>
        </w:rPr>
        <w:t> This research received no external funding.</w:t>
      </w:r>
    </w:p>
    <w:p w14:paraId="661569C5" w14:textId="597D1112" w:rsidR="00AD26D0" w:rsidRPr="000C4E0D" w:rsidRDefault="00AD26D0" w:rsidP="000C4E0D">
      <w:pPr>
        <w:tabs>
          <w:tab w:val="left" w:pos="2552"/>
        </w:tabs>
        <w:spacing w:before="240" w:after="240" w:line="420" w:lineRule="atLeast"/>
        <w:ind w:left="2552"/>
        <w:rPr>
          <w:rFonts w:eastAsia="Times New Roman"/>
          <w:color w:val="0F1115"/>
          <w:sz w:val="24"/>
          <w:szCs w:val="24"/>
          <w:lang w:val="en-GB" w:eastAsia="en-GB"/>
        </w:rPr>
      </w:pPr>
      <w:r w:rsidRPr="00AD26D0">
        <w:rPr>
          <w:rFonts w:eastAsia="Times New Roman"/>
          <w:b/>
          <w:color w:val="0F1115"/>
          <w:sz w:val="24"/>
          <w:szCs w:val="24"/>
          <w:lang w:val="en-GB" w:eastAsia="en-GB"/>
        </w:rPr>
        <w:lastRenderedPageBreak/>
        <w:t>Data Availability Statement:</w:t>
      </w:r>
      <w:r w:rsidRPr="00AD26D0">
        <w:rPr>
          <w:rFonts w:eastAsia="Times New Roman"/>
          <w:color w:val="0F1115"/>
          <w:sz w:val="24"/>
          <w:szCs w:val="24"/>
          <w:lang w:val="en-GB" w:eastAsia="en-GB"/>
        </w:rPr>
        <w:t xml:space="preserve"> No new data were created or </w:t>
      </w:r>
      <w:proofErr w:type="spellStart"/>
      <w:r w:rsidRPr="00AD26D0">
        <w:rPr>
          <w:rFonts w:eastAsia="Times New Roman"/>
          <w:color w:val="0F1115"/>
          <w:sz w:val="24"/>
          <w:szCs w:val="24"/>
          <w:lang w:val="en-GB" w:eastAsia="en-GB"/>
        </w:rPr>
        <w:t>analyzed</w:t>
      </w:r>
      <w:proofErr w:type="spellEnd"/>
      <w:r w:rsidRPr="00AD26D0">
        <w:rPr>
          <w:rFonts w:eastAsia="Times New Roman"/>
          <w:color w:val="0F1115"/>
          <w:sz w:val="24"/>
          <w:szCs w:val="24"/>
          <w:lang w:val="en-GB" w:eastAsia="en-GB"/>
        </w:rPr>
        <w:t xml:space="preserve"> in this study. Data sharing is not applicable to this article.</w:t>
      </w:r>
    </w:p>
    <w:p w14:paraId="43A9FE2F" w14:textId="77777777" w:rsidR="00A97FCD" w:rsidRPr="000C4E0D" w:rsidRDefault="00A97FCD" w:rsidP="000C4E0D">
      <w:pPr>
        <w:autoSpaceDE w:val="0"/>
        <w:autoSpaceDN w:val="0"/>
        <w:adjustRightInd w:val="0"/>
        <w:spacing w:before="240" w:after="240" w:line="276" w:lineRule="auto"/>
        <w:ind w:left="2550" w:right="-166"/>
        <w:rPr>
          <w:snapToGrid w:val="0"/>
          <w:color w:val="000000" w:themeColor="text1"/>
          <w14:ligatures w14:val="standardContextual"/>
        </w:rPr>
      </w:pPr>
      <w:r w:rsidRPr="004B2EBA">
        <w:rPr>
          <w:rFonts w:eastAsia="Times New Roman"/>
          <w:b/>
          <w:bCs/>
          <w:color w:val="0F1115"/>
          <w:sz w:val="24"/>
          <w:szCs w:val="24"/>
          <w:lang w:val="en-GB" w:eastAsia="en-GB"/>
        </w:rPr>
        <w:t>Acknowledgments</w:t>
      </w:r>
      <w:r w:rsidRPr="004B2EBA">
        <w:rPr>
          <w:rFonts w:eastAsia="Times New Roman" w:cstheme="majorBidi"/>
          <w:b/>
          <w:bCs/>
          <w:color w:val="0F1115"/>
          <w:sz w:val="24"/>
          <w:szCs w:val="24"/>
          <w:lang w:val="en-GB" w:eastAsia="en-GB"/>
        </w:rPr>
        <w:t>:</w:t>
      </w:r>
      <w:r w:rsidRPr="000C4E0D">
        <w:rPr>
          <w:rFonts w:eastAsia="Times New Roman" w:cstheme="majorBidi"/>
          <w:color w:val="0F1115"/>
          <w:sz w:val="24"/>
          <w:szCs w:val="24"/>
          <w:lang w:val="en-GB" w:eastAsia="en-GB"/>
        </w:rPr>
        <w:t> </w:t>
      </w:r>
      <w:r w:rsidRPr="000C4E0D">
        <w:rPr>
          <w:rFonts w:cstheme="majorBidi"/>
          <w:snapToGrid w:val="0"/>
          <w:color w:val="000000" w:themeColor="text1"/>
          <w:sz w:val="24"/>
          <w:szCs w:val="24"/>
          <w14:ligatures w14:val="standardContextual"/>
        </w:rPr>
        <w:t>The authors thank the editors and reviewers for their valuable suggestions.</w:t>
      </w:r>
      <w:r w:rsidRPr="000C4E0D">
        <w:rPr>
          <w:snapToGrid w:val="0"/>
          <w:color w:val="000000" w:themeColor="text1"/>
          <w14:ligatures w14:val="standardContextual"/>
        </w:rPr>
        <w:t xml:space="preserve"> </w:t>
      </w:r>
    </w:p>
    <w:p w14:paraId="0631EC8A" w14:textId="7869DE95" w:rsidR="008226CB" w:rsidRPr="00AD6CB0" w:rsidRDefault="00A97FCD" w:rsidP="00AD6CB0">
      <w:pPr>
        <w:autoSpaceDE w:val="0"/>
        <w:autoSpaceDN w:val="0"/>
        <w:adjustRightInd w:val="0"/>
        <w:spacing w:before="240" w:after="240" w:line="276" w:lineRule="auto"/>
        <w:ind w:left="2550" w:right="-166"/>
        <w:rPr>
          <w:snapToGrid w:val="0"/>
          <w:color w:val="000000" w:themeColor="text1"/>
          <w14:ligatures w14:val="standardContextual"/>
        </w:rPr>
      </w:pPr>
      <w:r w:rsidRPr="004B2EBA">
        <w:rPr>
          <w:rFonts w:eastAsia="Times New Roman"/>
          <w:b/>
          <w:bCs/>
          <w:color w:val="0F1115"/>
          <w:sz w:val="24"/>
          <w:szCs w:val="24"/>
          <w:lang w:val="en-GB" w:eastAsia="en-GB"/>
        </w:rPr>
        <w:t>Conflicts of Interest:</w:t>
      </w:r>
      <w:r w:rsidRPr="000C4E0D">
        <w:rPr>
          <w:rFonts w:eastAsia="Times New Roman"/>
          <w:color w:val="0F1115"/>
          <w:sz w:val="24"/>
          <w:szCs w:val="24"/>
          <w:lang w:val="en-GB" w:eastAsia="en-GB"/>
        </w:rPr>
        <w:t> The authors declare no conflict of interest.</w:t>
      </w:r>
    </w:p>
    <w:p w14:paraId="444C1BA9" w14:textId="77777777" w:rsidR="008226CB" w:rsidRPr="004B2EBA" w:rsidRDefault="008226CB" w:rsidP="000C4E0D">
      <w:pPr>
        <w:pStyle w:val="MDPI12title"/>
        <w:tabs>
          <w:tab w:val="left" w:pos="2552"/>
        </w:tabs>
        <w:spacing w:line="240" w:lineRule="auto"/>
        <w:ind w:left="2552" w:hanging="284"/>
        <w:jc w:val="both"/>
        <w:rPr>
          <w:bCs/>
          <w:sz w:val="24"/>
          <w:szCs w:val="24"/>
        </w:rPr>
      </w:pPr>
      <w:r w:rsidRPr="004B2EBA">
        <w:rPr>
          <w:bCs/>
          <w:sz w:val="24"/>
          <w:szCs w:val="24"/>
        </w:rPr>
        <w:t>References</w:t>
      </w:r>
    </w:p>
    <w:p w14:paraId="4CBB43FC" w14:textId="55F0F0BF" w:rsidR="00C17EB8" w:rsidRDefault="00C17EB8" w:rsidP="00C17EB8">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580CB4">
        <w:rPr>
          <w:rFonts w:asciiTheme="majorBidi" w:hAnsiTheme="majorBidi" w:cstheme="majorBidi"/>
          <w:color w:val="000000" w:themeColor="text1"/>
          <w:sz w:val="20"/>
          <w:szCs w:val="20"/>
        </w:rPr>
        <w:t xml:space="preserve">IPCC. </w:t>
      </w:r>
      <w:r w:rsidRPr="00D45437">
        <w:rPr>
          <w:rFonts w:asciiTheme="majorBidi" w:hAnsiTheme="majorBidi" w:cstheme="majorBidi"/>
          <w:i/>
          <w:iCs/>
          <w:color w:val="000000" w:themeColor="text1"/>
          <w:sz w:val="20"/>
          <w:szCs w:val="20"/>
        </w:rPr>
        <w:t>Climate Change 2022: Mitigation of Climate Change. Contribution of Working Group III to the Sixth Assessment Report of the Intergovernmental Panel on Climate Change</w:t>
      </w:r>
      <w:r w:rsidRPr="00580CB4">
        <w:rPr>
          <w:rFonts w:asciiTheme="majorBidi" w:hAnsiTheme="majorBidi" w:cstheme="majorBidi"/>
          <w:color w:val="000000" w:themeColor="text1"/>
          <w:sz w:val="20"/>
          <w:szCs w:val="20"/>
        </w:rPr>
        <w:t xml:space="preserve">; Shukla, P.R.; Skea, J.; Slade, R.; Al </w:t>
      </w:r>
      <w:proofErr w:type="spellStart"/>
      <w:r w:rsidRPr="00580CB4">
        <w:rPr>
          <w:rFonts w:asciiTheme="majorBidi" w:hAnsiTheme="majorBidi" w:cstheme="majorBidi"/>
          <w:color w:val="000000" w:themeColor="text1"/>
          <w:sz w:val="20"/>
          <w:szCs w:val="20"/>
        </w:rPr>
        <w:t>Khourdajie</w:t>
      </w:r>
      <w:proofErr w:type="spellEnd"/>
      <w:r w:rsidRPr="00580CB4">
        <w:rPr>
          <w:rFonts w:asciiTheme="majorBidi" w:hAnsiTheme="majorBidi" w:cstheme="majorBidi"/>
          <w:color w:val="000000" w:themeColor="text1"/>
          <w:sz w:val="20"/>
          <w:szCs w:val="20"/>
        </w:rPr>
        <w:t xml:space="preserve">, A.; van Diemen, R.; McCollum, D.; Pathak, M.; Some, S.; Vyas, P.; Fradera, R.; et al., Eds.; Cambridge University Press: Cambridge, UK; New York, NY, USA, 2022. </w:t>
      </w:r>
      <w:hyperlink r:id="rId18" w:history="1">
        <w:r w:rsidRPr="000F37E2">
          <w:rPr>
            <w:rStyle w:val="Hyperlink"/>
            <w:rFonts w:asciiTheme="majorBidi" w:hAnsiTheme="majorBidi" w:cstheme="majorBidi"/>
            <w:sz w:val="20"/>
            <w:szCs w:val="20"/>
          </w:rPr>
          <w:t>https://doi.org/10.1017/9781009157926</w:t>
        </w:r>
      </w:hyperlink>
      <w:r w:rsidRPr="00580CB4">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31541111" w14:textId="1ECA5DBA" w:rsidR="00A676A0" w:rsidRPr="00A676A0" w:rsidRDefault="00A676A0" w:rsidP="00A676A0">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580CB4">
        <w:rPr>
          <w:rFonts w:asciiTheme="majorBidi" w:hAnsiTheme="majorBidi" w:cstheme="majorBidi"/>
          <w:color w:val="000000" w:themeColor="text1"/>
          <w:sz w:val="20"/>
          <w:szCs w:val="20"/>
        </w:rPr>
        <w:t xml:space="preserve">Falcão, A.F.O. Wave energy utilization: A review of the technologies. </w:t>
      </w:r>
      <w:r w:rsidRPr="006668A0">
        <w:rPr>
          <w:rFonts w:asciiTheme="majorBidi" w:hAnsiTheme="majorBidi" w:cstheme="majorBidi"/>
          <w:i/>
          <w:iCs/>
          <w:color w:val="000000" w:themeColor="text1"/>
          <w:sz w:val="20"/>
          <w:szCs w:val="20"/>
        </w:rPr>
        <w:t>Renew. Sustain. Energy Rev.</w:t>
      </w:r>
      <w:r w:rsidRPr="00580CB4">
        <w:rPr>
          <w:rFonts w:asciiTheme="majorBidi" w:hAnsiTheme="majorBidi" w:cstheme="majorBidi"/>
          <w:color w:val="000000" w:themeColor="text1"/>
          <w:sz w:val="20"/>
          <w:szCs w:val="20"/>
        </w:rPr>
        <w:t xml:space="preserve"> 2010, 14, 899–918. </w:t>
      </w:r>
      <w:hyperlink r:id="rId19" w:history="1">
        <w:r w:rsidRPr="000F37E2">
          <w:rPr>
            <w:rStyle w:val="Hyperlink"/>
            <w:rFonts w:asciiTheme="majorBidi" w:hAnsiTheme="majorBidi" w:cstheme="majorBidi"/>
            <w:sz w:val="20"/>
            <w:szCs w:val="20"/>
          </w:rPr>
          <w:t>https://doi.org/10.1016/j.rser.2009.11.003</w:t>
        </w:r>
      </w:hyperlink>
      <w:r w:rsidRPr="00580CB4">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434D72CF" w14:textId="4B61D566" w:rsidR="00A676A0" w:rsidRPr="00A676A0" w:rsidRDefault="00A676A0" w:rsidP="00A676A0">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580CB4">
        <w:rPr>
          <w:rFonts w:asciiTheme="majorBidi" w:hAnsiTheme="majorBidi" w:cstheme="majorBidi"/>
          <w:color w:val="000000" w:themeColor="text1"/>
          <w:sz w:val="20"/>
          <w:szCs w:val="20"/>
        </w:rPr>
        <w:t xml:space="preserve">Jonkman, J.; Matha, D. A quantitative comparison of the responses of three floating platforms. In </w:t>
      </w:r>
      <w:r w:rsidRPr="00B76755">
        <w:rPr>
          <w:rFonts w:asciiTheme="majorBidi" w:hAnsiTheme="majorBidi" w:cstheme="majorBidi"/>
          <w:i/>
          <w:iCs/>
          <w:color w:val="000000" w:themeColor="text1"/>
          <w:sz w:val="20"/>
          <w:szCs w:val="20"/>
        </w:rPr>
        <w:t>Proceedings of the European Offshore Wind 2009 Conference and Exhibition</w:t>
      </w:r>
      <w:r w:rsidRPr="00580CB4">
        <w:rPr>
          <w:rFonts w:asciiTheme="majorBidi" w:hAnsiTheme="majorBidi" w:cstheme="majorBidi"/>
          <w:color w:val="000000" w:themeColor="text1"/>
          <w:sz w:val="20"/>
          <w:szCs w:val="20"/>
        </w:rPr>
        <w:t xml:space="preserve">, Stockholm, Sweden, 14–16 September 2009; National Renewable Energy Laboratory: Golden, CO, USA, 2010; NREL/CP-500-46726. Available online: https://www.nrel.gov/docs/fy10osti/46726.pdf (accessed on </w:t>
      </w:r>
      <w:r w:rsidR="00BE6B29">
        <w:rPr>
          <w:rFonts w:asciiTheme="majorBidi" w:hAnsiTheme="majorBidi" w:cstheme="majorBidi"/>
          <w:color w:val="000000" w:themeColor="text1"/>
          <w:sz w:val="20"/>
          <w:szCs w:val="20"/>
        </w:rPr>
        <w:t>10</w:t>
      </w:r>
      <w:r w:rsidRPr="00580CB4">
        <w:rPr>
          <w:rFonts w:asciiTheme="majorBidi" w:hAnsiTheme="majorBidi" w:cstheme="majorBidi"/>
          <w:color w:val="000000" w:themeColor="text1"/>
          <w:sz w:val="20"/>
          <w:szCs w:val="20"/>
        </w:rPr>
        <w:t xml:space="preserve"> </w:t>
      </w:r>
      <w:r w:rsidR="00BE6B29">
        <w:rPr>
          <w:rFonts w:asciiTheme="majorBidi" w:hAnsiTheme="majorBidi" w:cstheme="majorBidi"/>
          <w:color w:val="000000" w:themeColor="text1"/>
          <w:sz w:val="20"/>
          <w:szCs w:val="20"/>
        </w:rPr>
        <w:t>April</w:t>
      </w:r>
      <w:r w:rsidRPr="00580CB4">
        <w:rPr>
          <w:rFonts w:asciiTheme="majorBidi" w:hAnsiTheme="majorBidi" w:cstheme="majorBidi"/>
          <w:color w:val="000000" w:themeColor="text1"/>
          <w:sz w:val="20"/>
          <w:szCs w:val="20"/>
        </w:rPr>
        <w:t xml:space="preserve"> 2026).</w:t>
      </w:r>
    </w:p>
    <w:p w14:paraId="10D72D62" w14:textId="68A2D6EC" w:rsidR="00A676A0" w:rsidRPr="00A676A0" w:rsidRDefault="00A676A0" w:rsidP="00A676A0">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580CB4">
        <w:rPr>
          <w:rFonts w:asciiTheme="majorBidi" w:hAnsiTheme="majorBidi" w:cstheme="majorBidi"/>
          <w:color w:val="000000" w:themeColor="text1"/>
          <w:sz w:val="20"/>
          <w:szCs w:val="20"/>
        </w:rPr>
        <w:t xml:space="preserve">Pérez-Collazo, C.; Greaves, D.; Iglesias, G. A review of combined wave and offshore wind energy. </w:t>
      </w:r>
      <w:r w:rsidRPr="006668A0">
        <w:rPr>
          <w:rFonts w:asciiTheme="majorBidi" w:hAnsiTheme="majorBidi" w:cstheme="majorBidi"/>
          <w:i/>
          <w:iCs/>
          <w:color w:val="000000" w:themeColor="text1"/>
          <w:sz w:val="20"/>
          <w:szCs w:val="20"/>
        </w:rPr>
        <w:t>Renew. Sustain. Energy Rev</w:t>
      </w:r>
      <w:r w:rsidRPr="00580CB4">
        <w:rPr>
          <w:rFonts w:asciiTheme="majorBidi" w:hAnsiTheme="majorBidi" w:cstheme="majorBidi"/>
          <w:color w:val="000000" w:themeColor="text1"/>
          <w:sz w:val="20"/>
          <w:szCs w:val="20"/>
        </w:rPr>
        <w:t xml:space="preserve">. 2015, 42, 141–153. </w:t>
      </w:r>
      <w:hyperlink r:id="rId20" w:history="1">
        <w:r w:rsidRPr="000F37E2">
          <w:rPr>
            <w:rStyle w:val="Hyperlink"/>
            <w:rFonts w:asciiTheme="majorBidi" w:hAnsiTheme="majorBidi" w:cstheme="majorBidi"/>
            <w:sz w:val="20"/>
            <w:szCs w:val="20"/>
          </w:rPr>
          <w:t>https://doi.org/10.1016/j.rser.2014.09.032</w:t>
        </w:r>
      </w:hyperlink>
      <w:r w:rsidRPr="00580CB4">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303016CA" w14:textId="6BD32997" w:rsidR="00A676A0" w:rsidRPr="00A676A0" w:rsidRDefault="00A676A0" w:rsidP="00A676A0">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580CB4">
        <w:rPr>
          <w:rFonts w:asciiTheme="majorBidi" w:hAnsiTheme="majorBidi" w:cstheme="majorBidi"/>
          <w:color w:val="000000" w:themeColor="text1"/>
          <w:sz w:val="20"/>
          <w:szCs w:val="20"/>
        </w:rPr>
        <w:t xml:space="preserve">Yang, Y.; Bashir, M.; </w:t>
      </w:r>
      <w:proofErr w:type="spellStart"/>
      <w:r w:rsidRPr="00580CB4">
        <w:rPr>
          <w:rFonts w:asciiTheme="majorBidi" w:hAnsiTheme="majorBidi" w:cstheme="majorBidi"/>
          <w:color w:val="000000" w:themeColor="text1"/>
          <w:sz w:val="20"/>
          <w:szCs w:val="20"/>
        </w:rPr>
        <w:t>Michailides</w:t>
      </w:r>
      <w:proofErr w:type="spellEnd"/>
      <w:r w:rsidRPr="00580CB4">
        <w:rPr>
          <w:rFonts w:asciiTheme="majorBidi" w:hAnsiTheme="majorBidi" w:cstheme="majorBidi"/>
          <w:color w:val="000000" w:themeColor="text1"/>
          <w:sz w:val="20"/>
          <w:szCs w:val="20"/>
        </w:rPr>
        <w:t xml:space="preserve">, C.; Li, C.; Wang, J. Development and application of an aero-hydro-servo-elastic coupling framework for analysis of floating offshore wind turbines. </w:t>
      </w:r>
      <w:r w:rsidRPr="006668A0">
        <w:rPr>
          <w:rFonts w:asciiTheme="majorBidi" w:hAnsiTheme="majorBidi" w:cstheme="majorBidi"/>
          <w:i/>
          <w:iCs/>
          <w:color w:val="000000" w:themeColor="text1"/>
          <w:sz w:val="20"/>
          <w:szCs w:val="20"/>
        </w:rPr>
        <w:t>Renew. Energy</w:t>
      </w:r>
      <w:r w:rsidRPr="00580CB4">
        <w:rPr>
          <w:rFonts w:asciiTheme="majorBidi" w:hAnsiTheme="majorBidi" w:cstheme="majorBidi"/>
          <w:color w:val="000000" w:themeColor="text1"/>
          <w:sz w:val="20"/>
          <w:szCs w:val="20"/>
        </w:rPr>
        <w:t xml:space="preserve"> 2020, 161, 606–625. </w:t>
      </w:r>
      <w:hyperlink r:id="rId21" w:history="1">
        <w:r w:rsidRPr="000F37E2">
          <w:rPr>
            <w:rStyle w:val="Hyperlink"/>
            <w:rFonts w:asciiTheme="majorBidi" w:hAnsiTheme="majorBidi" w:cstheme="majorBidi"/>
            <w:sz w:val="20"/>
            <w:szCs w:val="20"/>
          </w:rPr>
          <w:t>https://doi.org/10.1016/j.renene.2020.07.134</w:t>
        </w:r>
      </w:hyperlink>
      <w:r w:rsidRPr="00580CB4">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1C50F3CF" w14:textId="52776D59" w:rsidR="00A676A0" w:rsidRPr="00A676A0" w:rsidRDefault="00A676A0" w:rsidP="00A676A0">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580CB4">
        <w:rPr>
          <w:rFonts w:asciiTheme="majorBidi" w:hAnsiTheme="majorBidi" w:cstheme="majorBidi"/>
          <w:color w:val="000000" w:themeColor="text1"/>
          <w:sz w:val="20"/>
          <w:szCs w:val="20"/>
        </w:rPr>
        <w:t xml:space="preserve">Sergiienko, N.Y.; Xue, L.; Da Silva, L.S.P.; Ding, B.; </w:t>
      </w:r>
      <w:proofErr w:type="spellStart"/>
      <w:r w:rsidRPr="00580CB4">
        <w:rPr>
          <w:rFonts w:asciiTheme="majorBidi" w:hAnsiTheme="majorBidi" w:cstheme="majorBidi"/>
          <w:color w:val="000000" w:themeColor="text1"/>
          <w:sz w:val="20"/>
          <w:szCs w:val="20"/>
        </w:rPr>
        <w:t>Cazzolato</w:t>
      </w:r>
      <w:proofErr w:type="spellEnd"/>
      <w:r w:rsidRPr="00580CB4">
        <w:rPr>
          <w:rFonts w:asciiTheme="majorBidi" w:hAnsiTheme="majorBidi" w:cstheme="majorBidi"/>
          <w:color w:val="000000" w:themeColor="text1"/>
          <w:sz w:val="20"/>
          <w:szCs w:val="20"/>
        </w:rPr>
        <w:t xml:space="preserve">, B.S. Statistical analysis of floating hybrid wind–wave energy systems. </w:t>
      </w:r>
      <w:r w:rsidRPr="006668A0">
        <w:rPr>
          <w:rFonts w:asciiTheme="majorBidi" w:hAnsiTheme="majorBidi" w:cstheme="majorBidi"/>
          <w:i/>
          <w:iCs/>
          <w:color w:val="000000" w:themeColor="text1"/>
          <w:sz w:val="20"/>
          <w:szCs w:val="20"/>
        </w:rPr>
        <w:t>Appl. Energy</w:t>
      </w:r>
      <w:r w:rsidRPr="00580CB4">
        <w:rPr>
          <w:rFonts w:asciiTheme="majorBidi" w:hAnsiTheme="majorBidi" w:cstheme="majorBidi"/>
          <w:color w:val="000000" w:themeColor="text1"/>
          <w:sz w:val="20"/>
          <w:szCs w:val="20"/>
        </w:rPr>
        <w:t xml:space="preserve"> 2025, 401, 126669. </w:t>
      </w:r>
      <w:hyperlink r:id="rId22" w:history="1">
        <w:r w:rsidRPr="000F37E2">
          <w:rPr>
            <w:rStyle w:val="Hyperlink"/>
            <w:rFonts w:asciiTheme="majorBidi" w:hAnsiTheme="majorBidi" w:cstheme="majorBidi"/>
            <w:sz w:val="20"/>
            <w:szCs w:val="20"/>
          </w:rPr>
          <w:t>https://doi.org/10.1016/j.apenergy.2025.126669</w:t>
        </w:r>
      </w:hyperlink>
      <w:r w:rsidRPr="00580CB4">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467BDCEC" w14:textId="261D0204" w:rsidR="00A676A0" w:rsidRPr="00A676A0" w:rsidRDefault="00A676A0" w:rsidP="00A676A0">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580CB4">
        <w:rPr>
          <w:rFonts w:asciiTheme="majorBidi" w:hAnsiTheme="majorBidi" w:cstheme="majorBidi"/>
          <w:color w:val="000000" w:themeColor="text1"/>
          <w:sz w:val="20"/>
          <w:szCs w:val="20"/>
        </w:rPr>
        <w:t>IRENA. Offshore Renewables: An Action Agenda for Deployment; International Renewable Energy Agency: Abu Dhabi, United Arab Emirates, 2021. Available online: https://www.irena.org/publications/2021/Jul/</w:t>
      </w:r>
      <w:r w:rsidRPr="00A90743">
        <w:rPr>
          <w:rFonts w:asciiTheme="majorBidi" w:hAnsiTheme="majorBidi" w:cstheme="majorBidi"/>
          <w:i/>
          <w:iCs/>
          <w:color w:val="000000" w:themeColor="text1"/>
          <w:sz w:val="20"/>
          <w:szCs w:val="20"/>
        </w:rPr>
        <w:t>Offshore-Renewables-An-Action-Agenda-for-Deployment</w:t>
      </w:r>
      <w:r w:rsidRPr="00580CB4">
        <w:rPr>
          <w:rFonts w:asciiTheme="majorBidi" w:hAnsiTheme="majorBidi" w:cstheme="majorBidi"/>
          <w:color w:val="000000" w:themeColor="text1"/>
          <w:sz w:val="20"/>
          <w:szCs w:val="20"/>
        </w:rPr>
        <w:t xml:space="preserve"> (accessed on 26 </w:t>
      </w:r>
      <w:r w:rsidR="00BE6B29">
        <w:rPr>
          <w:rFonts w:asciiTheme="majorBidi" w:hAnsiTheme="majorBidi" w:cstheme="majorBidi"/>
          <w:color w:val="000000" w:themeColor="text1"/>
          <w:sz w:val="20"/>
          <w:szCs w:val="20"/>
        </w:rPr>
        <w:t>Dec</w:t>
      </w:r>
      <w:r w:rsidRPr="00580CB4">
        <w:rPr>
          <w:rFonts w:asciiTheme="majorBidi" w:hAnsiTheme="majorBidi" w:cstheme="majorBidi"/>
          <w:color w:val="000000" w:themeColor="text1"/>
          <w:sz w:val="20"/>
          <w:szCs w:val="20"/>
        </w:rPr>
        <w:t xml:space="preserve"> 202</w:t>
      </w:r>
      <w:r w:rsidR="00BE6B29">
        <w:rPr>
          <w:rFonts w:asciiTheme="majorBidi" w:hAnsiTheme="majorBidi" w:cstheme="majorBidi"/>
          <w:color w:val="000000" w:themeColor="text1"/>
          <w:sz w:val="20"/>
          <w:szCs w:val="20"/>
        </w:rPr>
        <w:t>5</w:t>
      </w:r>
      <w:r w:rsidRPr="00580CB4">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0E1E0B5E" w14:textId="7450B9BF" w:rsidR="00A676A0" w:rsidRPr="00A676A0" w:rsidRDefault="00A676A0" w:rsidP="00A676A0">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580CB4">
        <w:rPr>
          <w:rFonts w:asciiTheme="majorBidi" w:hAnsiTheme="majorBidi" w:cstheme="majorBidi"/>
          <w:color w:val="000000" w:themeColor="text1"/>
          <w:sz w:val="20"/>
          <w:szCs w:val="20"/>
        </w:rPr>
        <w:t xml:space="preserve">GWEC. </w:t>
      </w:r>
      <w:r w:rsidRPr="00F44FF9">
        <w:rPr>
          <w:rFonts w:asciiTheme="majorBidi" w:hAnsiTheme="majorBidi" w:cstheme="majorBidi"/>
          <w:i/>
          <w:iCs/>
          <w:color w:val="000000" w:themeColor="text1"/>
          <w:sz w:val="20"/>
          <w:szCs w:val="20"/>
        </w:rPr>
        <w:t>Global Offshore Wind Report 2023</w:t>
      </w:r>
      <w:r w:rsidRPr="00580CB4">
        <w:rPr>
          <w:rFonts w:asciiTheme="majorBidi" w:hAnsiTheme="majorBidi" w:cstheme="majorBidi"/>
          <w:color w:val="000000" w:themeColor="text1"/>
          <w:sz w:val="20"/>
          <w:szCs w:val="20"/>
        </w:rPr>
        <w:t xml:space="preserve">; Global Wind Energy Council: Brussels, Belgium, 2023. Available online: https://gwec.net/gwecs-global-offshore-wind-report/ (accessed on 26 </w:t>
      </w:r>
      <w:r w:rsidR="007A3246">
        <w:rPr>
          <w:rFonts w:asciiTheme="majorBidi" w:hAnsiTheme="majorBidi" w:cstheme="majorBidi"/>
          <w:color w:val="000000" w:themeColor="text1"/>
          <w:sz w:val="20"/>
          <w:szCs w:val="20"/>
        </w:rPr>
        <w:t>March</w:t>
      </w:r>
      <w:r w:rsidRPr="00580CB4">
        <w:rPr>
          <w:rFonts w:asciiTheme="majorBidi" w:hAnsiTheme="majorBidi" w:cstheme="majorBidi"/>
          <w:color w:val="000000" w:themeColor="text1"/>
          <w:sz w:val="20"/>
          <w:szCs w:val="20"/>
        </w:rPr>
        <w:t xml:space="preserve"> 2026).</w:t>
      </w:r>
    </w:p>
    <w:p w14:paraId="646EAAB0" w14:textId="0E3ECCE1" w:rsidR="00A676A0" w:rsidRPr="00A676A0" w:rsidRDefault="00A676A0" w:rsidP="00A676A0">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580CB4">
        <w:rPr>
          <w:rFonts w:asciiTheme="majorBidi" w:hAnsiTheme="majorBidi" w:cstheme="majorBidi"/>
          <w:color w:val="000000" w:themeColor="text1"/>
          <w:sz w:val="20"/>
          <w:szCs w:val="20"/>
        </w:rPr>
        <w:t xml:space="preserve">Gunn, K.; Stock-Williams, C. Quantifying the global wave power resource. </w:t>
      </w:r>
      <w:r w:rsidRPr="006668A0">
        <w:rPr>
          <w:rFonts w:asciiTheme="majorBidi" w:hAnsiTheme="majorBidi" w:cstheme="majorBidi"/>
          <w:i/>
          <w:iCs/>
          <w:color w:val="000000" w:themeColor="text1"/>
          <w:sz w:val="20"/>
          <w:szCs w:val="20"/>
        </w:rPr>
        <w:t>Renew. Energy</w:t>
      </w:r>
      <w:r w:rsidRPr="00580CB4">
        <w:rPr>
          <w:rFonts w:asciiTheme="majorBidi" w:hAnsiTheme="majorBidi" w:cstheme="majorBidi"/>
          <w:color w:val="000000" w:themeColor="text1"/>
          <w:sz w:val="20"/>
          <w:szCs w:val="20"/>
        </w:rPr>
        <w:t xml:space="preserve"> 2012, 44, 296–304. </w:t>
      </w:r>
      <w:hyperlink r:id="rId23" w:history="1">
        <w:r w:rsidRPr="000F37E2">
          <w:rPr>
            <w:rStyle w:val="Hyperlink"/>
            <w:rFonts w:asciiTheme="majorBidi" w:hAnsiTheme="majorBidi" w:cstheme="majorBidi"/>
            <w:sz w:val="20"/>
            <w:szCs w:val="20"/>
          </w:rPr>
          <w:t>https://doi.org/10.1016/j.renene.2012.01.101</w:t>
        </w:r>
      </w:hyperlink>
      <w:r w:rsidRPr="00580CB4">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2F48B2D6" w14:textId="4E07725D" w:rsidR="00A676A0" w:rsidRPr="00A676A0" w:rsidRDefault="00A676A0" w:rsidP="00A676A0">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proofErr w:type="spellStart"/>
      <w:r w:rsidRPr="00580CB4">
        <w:rPr>
          <w:rFonts w:asciiTheme="majorBidi" w:hAnsiTheme="majorBidi" w:cstheme="majorBidi"/>
          <w:color w:val="000000" w:themeColor="text1"/>
          <w:sz w:val="20"/>
          <w:szCs w:val="20"/>
        </w:rPr>
        <w:lastRenderedPageBreak/>
        <w:t>Sclavounos</w:t>
      </w:r>
      <w:proofErr w:type="spellEnd"/>
      <w:r w:rsidRPr="00580CB4">
        <w:rPr>
          <w:rFonts w:asciiTheme="majorBidi" w:hAnsiTheme="majorBidi" w:cstheme="majorBidi"/>
          <w:color w:val="000000" w:themeColor="text1"/>
          <w:sz w:val="20"/>
          <w:szCs w:val="20"/>
        </w:rPr>
        <w:t xml:space="preserve">, P.D.; Lee, S.; DiPietro, J.; Potenza, G.; </w:t>
      </w:r>
      <w:proofErr w:type="spellStart"/>
      <w:r w:rsidRPr="00580CB4">
        <w:rPr>
          <w:rFonts w:asciiTheme="majorBidi" w:hAnsiTheme="majorBidi" w:cstheme="majorBidi"/>
          <w:color w:val="000000" w:themeColor="text1"/>
          <w:sz w:val="20"/>
          <w:szCs w:val="20"/>
        </w:rPr>
        <w:t>Caramuscio</w:t>
      </w:r>
      <w:proofErr w:type="spellEnd"/>
      <w:r w:rsidRPr="00580CB4">
        <w:rPr>
          <w:rFonts w:asciiTheme="majorBidi" w:hAnsiTheme="majorBidi" w:cstheme="majorBidi"/>
          <w:color w:val="000000" w:themeColor="text1"/>
          <w:sz w:val="20"/>
          <w:szCs w:val="20"/>
        </w:rPr>
        <w:t xml:space="preserve">, P.; De Michele, G. Floating offshore wind turbines: Tension leg platform and taut leg buoy concepts supporting 3–5 MW wind turbines. In </w:t>
      </w:r>
      <w:r w:rsidRPr="00B964D1">
        <w:rPr>
          <w:rFonts w:asciiTheme="majorBidi" w:hAnsiTheme="majorBidi" w:cstheme="majorBidi"/>
          <w:i/>
          <w:iCs/>
          <w:color w:val="000000" w:themeColor="text1"/>
          <w:sz w:val="20"/>
          <w:szCs w:val="20"/>
        </w:rPr>
        <w:t>Proceedings of the European Wind Energy Conference</w:t>
      </w:r>
      <w:r w:rsidRPr="00580CB4">
        <w:rPr>
          <w:rFonts w:asciiTheme="majorBidi" w:hAnsiTheme="majorBidi" w:cstheme="majorBidi"/>
          <w:color w:val="000000" w:themeColor="text1"/>
          <w:sz w:val="20"/>
          <w:szCs w:val="20"/>
        </w:rPr>
        <w:t xml:space="preserve">, Warsaw, Poland, 20–23 April 2010. Available online: https://web.mit.edu/flowlab/pdf/EWEC2010.pdf (accessed on </w:t>
      </w:r>
      <w:r w:rsidR="007A3246">
        <w:rPr>
          <w:rFonts w:asciiTheme="majorBidi" w:hAnsiTheme="majorBidi" w:cstheme="majorBidi"/>
          <w:color w:val="000000" w:themeColor="text1"/>
          <w:sz w:val="20"/>
          <w:szCs w:val="20"/>
        </w:rPr>
        <w:t>10</w:t>
      </w:r>
      <w:r w:rsidRPr="00580CB4">
        <w:rPr>
          <w:rFonts w:asciiTheme="majorBidi" w:hAnsiTheme="majorBidi" w:cstheme="majorBidi"/>
          <w:color w:val="000000" w:themeColor="text1"/>
          <w:sz w:val="20"/>
          <w:szCs w:val="20"/>
        </w:rPr>
        <w:t xml:space="preserve"> </w:t>
      </w:r>
      <w:r w:rsidR="007A3246">
        <w:rPr>
          <w:rFonts w:asciiTheme="majorBidi" w:hAnsiTheme="majorBidi" w:cstheme="majorBidi"/>
          <w:color w:val="000000" w:themeColor="text1"/>
          <w:sz w:val="20"/>
          <w:szCs w:val="20"/>
        </w:rPr>
        <w:t>March</w:t>
      </w:r>
      <w:r w:rsidRPr="00580CB4">
        <w:rPr>
          <w:rFonts w:asciiTheme="majorBidi" w:hAnsiTheme="majorBidi" w:cstheme="majorBidi"/>
          <w:color w:val="000000" w:themeColor="text1"/>
          <w:sz w:val="20"/>
          <w:szCs w:val="20"/>
        </w:rPr>
        <w:t xml:space="preserve"> 2026).</w:t>
      </w:r>
      <w:r>
        <w:rPr>
          <w:rFonts w:asciiTheme="majorBidi" w:hAnsiTheme="majorBidi" w:cstheme="majorBidi"/>
          <w:color w:val="000000" w:themeColor="text1"/>
          <w:sz w:val="20"/>
          <w:szCs w:val="20"/>
        </w:rPr>
        <w:t xml:space="preserve"> </w:t>
      </w:r>
    </w:p>
    <w:p w14:paraId="3E24EEB1" w14:textId="088A6F34" w:rsidR="00A676A0" w:rsidRPr="00A676A0" w:rsidRDefault="00A676A0" w:rsidP="00A676A0">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580CB4">
        <w:rPr>
          <w:rFonts w:asciiTheme="majorBidi" w:hAnsiTheme="majorBidi" w:cstheme="majorBidi"/>
          <w:color w:val="000000" w:themeColor="text1"/>
          <w:sz w:val="20"/>
          <w:szCs w:val="20"/>
        </w:rPr>
        <w:t xml:space="preserve">Drew, B.; Plummer, A.R.; </w:t>
      </w:r>
      <w:proofErr w:type="spellStart"/>
      <w:r w:rsidRPr="00580CB4">
        <w:rPr>
          <w:rFonts w:asciiTheme="majorBidi" w:hAnsiTheme="majorBidi" w:cstheme="majorBidi"/>
          <w:color w:val="000000" w:themeColor="text1"/>
          <w:sz w:val="20"/>
          <w:szCs w:val="20"/>
        </w:rPr>
        <w:t>Sahinkaya</w:t>
      </w:r>
      <w:proofErr w:type="spellEnd"/>
      <w:r w:rsidRPr="00580CB4">
        <w:rPr>
          <w:rFonts w:asciiTheme="majorBidi" w:hAnsiTheme="majorBidi" w:cstheme="majorBidi"/>
          <w:color w:val="000000" w:themeColor="text1"/>
          <w:sz w:val="20"/>
          <w:szCs w:val="20"/>
        </w:rPr>
        <w:t xml:space="preserve">, M.N. A review of wave energy converter technology. Proc. Inst. Mech. Eng. Part A J. </w:t>
      </w:r>
      <w:r w:rsidRPr="006668A0">
        <w:rPr>
          <w:rFonts w:asciiTheme="majorBidi" w:hAnsiTheme="majorBidi" w:cstheme="majorBidi"/>
          <w:i/>
          <w:iCs/>
          <w:color w:val="000000" w:themeColor="text1"/>
          <w:sz w:val="20"/>
          <w:szCs w:val="20"/>
        </w:rPr>
        <w:t>Power Energy</w:t>
      </w:r>
      <w:r w:rsidRPr="00580CB4">
        <w:rPr>
          <w:rFonts w:asciiTheme="majorBidi" w:hAnsiTheme="majorBidi" w:cstheme="majorBidi"/>
          <w:color w:val="000000" w:themeColor="text1"/>
          <w:sz w:val="20"/>
          <w:szCs w:val="20"/>
        </w:rPr>
        <w:t xml:space="preserve"> 2009, 223, 887–902. </w:t>
      </w:r>
      <w:hyperlink r:id="rId24" w:history="1">
        <w:r w:rsidRPr="000F37E2">
          <w:rPr>
            <w:rStyle w:val="Hyperlink"/>
            <w:rFonts w:asciiTheme="majorBidi" w:hAnsiTheme="majorBidi" w:cstheme="majorBidi"/>
            <w:sz w:val="20"/>
            <w:szCs w:val="20"/>
          </w:rPr>
          <w:t>https://doi.org/10.1243/09576509JPE782</w:t>
        </w:r>
      </w:hyperlink>
      <w:r w:rsidRPr="00580CB4">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6EB17324" w14:textId="20EF3341" w:rsidR="00A676A0" w:rsidRPr="00A676A0" w:rsidRDefault="00A676A0" w:rsidP="00A676A0">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proofErr w:type="spellStart"/>
      <w:r w:rsidRPr="00580CB4">
        <w:rPr>
          <w:rFonts w:asciiTheme="majorBidi" w:hAnsiTheme="majorBidi" w:cstheme="majorBidi"/>
          <w:color w:val="000000" w:themeColor="text1"/>
          <w:sz w:val="20"/>
          <w:szCs w:val="20"/>
        </w:rPr>
        <w:t>Karimirad</w:t>
      </w:r>
      <w:proofErr w:type="spellEnd"/>
      <w:r w:rsidRPr="00580CB4">
        <w:rPr>
          <w:rFonts w:asciiTheme="majorBidi" w:hAnsiTheme="majorBidi" w:cstheme="majorBidi"/>
          <w:color w:val="000000" w:themeColor="text1"/>
          <w:sz w:val="20"/>
          <w:szCs w:val="20"/>
        </w:rPr>
        <w:t xml:space="preserve">, M.; </w:t>
      </w:r>
      <w:proofErr w:type="spellStart"/>
      <w:r w:rsidRPr="00580CB4">
        <w:rPr>
          <w:rFonts w:asciiTheme="majorBidi" w:hAnsiTheme="majorBidi" w:cstheme="majorBidi"/>
          <w:color w:val="000000" w:themeColor="text1"/>
          <w:sz w:val="20"/>
          <w:szCs w:val="20"/>
        </w:rPr>
        <w:t>Michailides</w:t>
      </w:r>
      <w:proofErr w:type="spellEnd"/>
      <w:r w:rsidRPr="00580CB4">
        <w:rPr>
          <w:rFonts w:asciiTheme="majorBidi" w:hAnsiTheme="majorBidi" w:cstheme="majorBidi"/>
          <w:color w:val="000000" w:themeColor="text1"/>
          <w:sz w:val="20"/>
          <w:szCs w:val="20"/>
        </w:rPr>
        <w:t xml:space="preserve">, C. V-shaped semisubmersible offshore wind turbine: An alternative concept. </w:t>
      </w:r>
      <w:r w:rsidRPr="00CC03FB">
        <w:rPr>
          <w:rFonts w:asciiTheme="majorBidi" w:hAnsiTheme="majorBidi" w:cstheme="majorBidi"/>
          <w:i/>
          <w:iCs/>
          <w:color w:val="000000" w:themeColor="text1"/>
          <w:sz w:val="20"/>
          <w:szCs w:val="20"/>
        </w:rPr>
        <w:t>In Proceedings of the ASME 2014 33rd International Conference on Ocean, Offshore and Arctic Engineering</w:t>
      </w:r>
      <w:r w:rsidRPr="00580CB4">
        <w:rPr>
          <w:rFonts w:asciiTheme="majorBidi" w:hAnsiTheme="majorBidi" w:cstheme="majorBidi"/>
          <w:color w:val="000000" w:themeColor="text1"/>
          <w:sz w:val="20"/>
          <w:szCs w:val="20"/>
        </w:rPr>
        <w:t xml:space="preserve">, San Francisco, CA, USA, 8–13 June 2014; Paper No. OMAE2014-23798. </w:t>
      </w:r>
      <w:hyperlink r:id="rId25" w:history="1">
        <w:r w:rsidRPr="000F37E2">
          <w:rPr>
            <w:rStyle w:val="Hyperlink"/>
            <w:rFonts w:asciiTheme="majorBidi" w:hAnsiTheme="majorBidi" w:cstheme="majorBidi"/>
            <w:sz w:val="20"/>
            <w:szCs w:val="20"/>
          </w:rPr>
          <w:t>https://doi.org/10.1115/OMAE2014-23798</w:t>
        </w:r>
      </w:hyperlink>
      <w:r w:rsidRPr="00580CB4">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5F94EACD" w14:textId="5B0BF816" w:rsidR="00A676A0" w:rsidRPr="00A676A0" w:rsidRDefault="00A676A0" w:rsidP="00A676A0">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proofErr w:type="spellStart"/>
      <w:r w:rsidRPr="00580CB4">
        <w:rPr>
          <w:rFonts w:asciiTheme="majorBidi" w:hAnsiTheme="majorBidi" w:cstheme="majorBidi"/>
          <w:color w:val="000000" w:themeColor="text1"/>
          <w:sz w:val="20"/>
          <w:szCs w:val="20"/>
        </w:rPr>
        <w:t>Astariz</w:t>
      </w:r>
      <w:proofErr w:type="spellEnd"/>
      <w:r w:rsidRPr="00580CB4">
        <w:rPr>
          <w:rFonts w:asciiTheme="majorBidi" w:hAnsiTheme="majorBidi" w:cstheme="majorBidi"/>
          <w:color w:val="000000" w:themeColor="text1"/>
          <w:sz w:val="20"/>
          <w:szCs w:val="20"/>
        </w:rPr>
        <w:t xml:space="preserve">, S.; Iglesias, G. The economics of wave energy: A review. </w:t>
      </w:r>
      <w:r w:rsidRPr="006668A0">
        <w:rPr>
          <w:rFonts w:asciiTheme="majorBidi" w:hAnsiTheme="majorBidi" w:cstheme="majorBidi"/>
          <w:i/>
          <w:iCs/>
          <w:color w:val="000000" w:themeColor="text1"/>
          <w:sz w:val="20"/>
          <w:szCs w:val="20"/>
        </w:rPr>
        <w:t>Renew. Sustain. Energy Rev</w:t>
      </w:r>
      <w:r w:rsidRPr="00580CB4">
        <w:rPr>
          <w:rFonts w:asciiTheme="majorBidi" w:hAnsiTheme="majorBidi" w:cstheme="majorBidi"/>
          <w:color w:val="000000" w:themeColor="text1"/>
          <w:sz w:val="20"/>
          <w:szCs w:val="20"/>
        </w:rPr>
        <w:t xml:space="preserve">. 2015, 45, 397–408. </w:t>
      </w:r>
      <w:hyperlink r:id="rId26" w:history="1">
        <w:r w:rsidRPr="000F37E2">
          <w:rPr>
            <w:rStyle w:val="Hyperlink"/>
            <w:rFonts w:asciiTheme="majorBidi" w:hAnsiTheme="majorBidi" w:cstheme="majorBidi"/>
            <w:sz w:val="20"/>
            <w:szCs w:val="20"/>
          </w:rPr>
          <w:t>https://doi.org/10.1016/j.rser.2015.01.061</w:t>
        </w:r>
      </w:hyperlink>
      <w:r w:rsidRPr="00580CB4">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078B0D1B" w14:textId="008DF8FA" w:rsidR="00A676A0" w:rsidRPr="00A676A0" w:rsidRDefault="00A676A0" w:rsidP="00A676A0">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580CB4">
        <w:rPr>
          <w:rFonts w:asciiTheme="majorBidi" w:hAnsiTheme="majorBidi" w:cstheme="majorBidi"/>
          <w:color w:val="000000" w:themeColor="text1"/>
          <w:sz w:val="20"/>
          <w:szCs w:val="20"/>
        </w:rPr>
        <w:t xml:space="preserve">Li, L.; Gao, Z.; Yuan, Z.; Day, S.; Hu, Z. Dynamic response and power production of a floating integrated wind, wave and tidal energy system. </w:t>
      </w:r>
      <w:r w:rsidRPr="00355EB1">
        <w:rPr>
          <w:rFonts w:asciiTheme="majorBidi" w:hAnsiTheme="majorBidi" w:cstheme="majorBidi"/>
          <w:i/>
          <w:iCs/>
          <w:color w:val="000000" w:themeColor="text1"/>
          <w:sz w:val="20"/>
          <w:szCs w:val="20"/>
        </w:rPr>
        <w:t>Renew. Energy</w:t>
      </w:r>
      <w:r w:rsidRPr="00580CB4">
        <w:rPr>
          <w:rFonts w:asciiTheme="majorBidi" w:hAnsiTheme="majorBidi" w:cstheme="majorBidi"/>
          <w:color w:val="000000" w:themeColor="text1"/>
          <w:sz w:val="20"/>
          <w:szCs w:val="20"/>
        </w:rPr>
        <w:t xml:space="preserve"> 2018, 116, 412–422. </w:t>
      </w:r>
      <w:hyperlink r:id="rId27" w:history="1">
        <w:r w:rsidRPr="000F37E2">
          <w:rPr>
            <w:rStyle w:val="Hyperlink"/>
            <w:rFonts w:asciiTheme="majorBidi" w:hAnsiTheme="majorBidi" w:cstheme="majorBidi"/>
            <w:sz w:val="20"/>
            <w:szCs w:val="20"/>
          </w:rPr>
          <w:t>https://doi.org/10.1016/j.renene.2017.09.080</w:t>
        </w:r>
      </w:hyperlink>
      <w:r w:rsidRPr="00580CB4">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32C0AC0A" w14:textId="1CDD6061" w:rsidR="00A676A0" w:rsidRPr="00A676A0" w:rsidRDefault="00A676A0" w:rsidP="00A676A0">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580CB4">
        <w:rPr>
          <w:rFonts w:asciiTheme="majorBidi" w:hAnsiTheme="majorBidi" w:cstheme="majorBidi"/>
          <w:color w:val="000000" w:themeColor="text1"/>
          <w:sz w:val="20"/>
          <w:szCs w:val="20"/>
        </w:rPr>
        <w:t xml:space="preserve">Ghafari, H.R.; Ghassemi, H.; He, G. Numerical study of the </w:t>
      </w:r>
      <w:proofErr w:type="spellStart"/>
      <w:r w:rsidRPr="00580CB4">
        <w:rPr>
          <w:rFonts w:asciiTheme="majorBidi" w:hAnsiTheme="majorBidi" w:cstheme="majorBidi"/>
          <w:color w:val="000000" w:themeColor="text1"/>
          <w:sz w:val="20"/>
          <w:szCs w:val="20"/>
        </w:rPr>
        <w:t>Wavestar</w:t>
      </w:r>
      <w:proofErr w:type="spellEnd"/>
      <w:r w:rsidRPr="00580CB4">
        <w:rPr>
          <w:rFonts w:asciiTheme="majorBidi" w:hAnsiTheme="majorBidi" w:cstheme="majorBidi"/>
          <w:color w:val="000000" w:themeColor="text1"/>
          <w:sz w:val="20"/>
          <w:szCs w:val="20"/>
        </w:rPr>
        <w:t xml:space="preserve"> wave energy converter with multi-point-absorber around </w:t>
      </w:r>
      <w:proofErr w:type="spellStart"/>
      <w:r w:rsidRPr="00580CB4">
        <w:rPr>
          <w:rFonts w:asciiTheme="majorBidi" w:hAnsiTheme="majorBidi" w:cstheme="majorBidi"/>
          <w:color w:val="000000" w:themeColor="text1"/>
          <w:sz w:val="20"/>
          <w:szCs w:val="20"/>
        </w:rPr>
        <w:t>DeepCwind</w:t>
      </w:r>
      <w:proofErr w:type="spellEnd"/>
      <w:r w:rsidRPr="00580CB4">
        <w:rPr>
          <w:rFonts w:asciiTheme="majorBidi" w:hAnsiTheme="majorBidi" w:cstheme="majorBidi"/>
          <w:color w:val="000000" w:themeColor="text1"/>
          <w:sz w:val="20"/>
          <w:szCs w:val="20"/>
        </w:rPr>
        <w:t xml:space="preserve"> semisubmersible floating platform. </w:t>
      </w:r>
      <w:r w:rsidRPr="00355EB1">
        <w:rPr>
          <w:rFonts w:asciiTheme="majorBidi" w:hAnsiTheme="majorBidi" w:cstheme="majorBidi"/>
          <w:i/>
          <w:iCs/>
          <w:color w:val="000000" w:themeColor="text1"/>
          <w:sz w:val="20"/>
          <w:szCs w:val="20"/>
        </w:rPr>
        <w:t>Ocean Eng</w:t>
      </w:r>
      <w:r w:rsidRPr="00580CB4">
        <w:rPr>
          <w:rFonts w:asciiTheme="majorBidi" w:hAnsiTheme="majorBidi" w:cstheme="majorBidi"/>
          <w:color w:val="000000" w:themeColor="text1"/>
          <w:sz w:val="20"/>
          <w:szCs w:val="20"/>
        </w:rPr>
        <w:t xml:space="preserve">. 2021, 232, 109177. </w:t>
      </w:r>
      <w:hyperlink r:id="rId28" w:history="1">
        <w:r w:rsidRPr="000F37E2">
          <w:rPr>
            <w:rStyle w:val="Hyperlink"/>
            <w:rFonts w:asciiTheme="majorBidi" w:hAnsiTheme="majorBidi" w:cstheme="majorBidi"/>
            <w:sz w:val="20"/>
            <w:szCs w:val="20"/>
          </w:rPr>
          <w:t>https://doi.org/10.1016/j.oceaneng.2021.109177</w:t>
        </w:r>
      </w:hyperlink>
      <w:r w:rsidRPr="00580CB4">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7BBA610A" w14:textId="3B61D987" w:rsidR="00A676A0" w:rsidRPr="00A676A0" w:rsidRDefault="00A676A0" w:rsidP="00A676A0">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580CB4">
        <w:rPr>
          <w:rFonts w:asciiTheme="majorBidi" w:hAnsiTheme="majorBidi" w:cstheme="majorBidi"/>
          <w:color w:val="000000" w:themeColor="text1"/>
          <w:sz w:val="20"/>
          <w:szCs w:val="20"/>
        </w:rPr>
        <w:t xml:space="preserve">Li, J.; Shi, W.; Zhang, L.; </w:t>
      </w:r>
      <w:proofErr w:type="spellStart"/>
      <w:r w:rsidRPr="00580CB4">
        <w:rPr>
          <w:rFonts w:asciiTheme="majorBidi" w:hAnsiTheme="majorBidi" w:cstheme="majorBidi"/>
          <w:color w:val="000000" w:themeColor="text1"/>
          <w:sz w:val="20"/>
          <w:szCs w:val="20"/>
        </w:rPr>
        <w:t>Michailides</w:t>
      </w:r>
      <w:proofErr w:type="spellEnd"/>
      <w:r w:rsidRPr="00580CB4">
        <w:rPr>
          <w:rFonts w:asciiTheme="majorBidi" w:hAnsiTheme="majorBidi" w:cstheme="majorBidi"/>
          <w:color w:val="000000" w:themeColor="text1"/>
          <w:sz w:val="20"/>
          <w:szCs w:val="20"/>
        </w:rPr>
        <w:t xml:space="preserve">, C.; Li, X. Wind–wave coupling effect on the dynamic response of a combined wind–wave energy converter. </w:t>
      </w:r>
      <w:r w:rsidRPr="00355EB1">
        <w:rPr>
          <w:rFonts w:asciiTheme="majorBidi" w:hAnsiTheme="majorBidi" w:cstheme="majorBidi"/>
          <w:i/>
          <w:iCs/>
          <w:color w:val="000000" w:themeColor="text1"/>
          <w:sz w:val="20"/>
          <w:szCs w:val="20"/>
        </w:rPr>
        <w:t>J. Mar. Sci. Eng.</w:t>
      </w:r>
      <w:r w:rsidRPr="00580CB4">
        <w:rPr>
          <w:rFonts w:asciiTheme="majorBidi" w:hAnsiTheme="majorBidi" w:cstheme="majorBidi"/>
          <w:color w:val="000000" w:themeColor="text1"/>
          <w:sz w:val="20"/>
          <w:szCs w:val="20"/>
        </w:rPr>
        <w:t xml:space="preserve"> 2021, 9, 1101. </w:t>
      </w:r>
      <w:hyperlink r:id="rId29" w:history="1">
        <w:r w:rsidRPr="000F37E2">
          <w:rPr>
            <w:rStyle w:val="Hyperlink"/>
            <w:rFonts w:asciiTheme="majorBidi" w:hAnsiTheme="majorBidi" w:cstheme="majorBidi"/>
            <w:sz w:val="20"/>
            <w:szCs w:val="20"/>
          </w:rPr>
          <w:t>https://doi.org/10.3390/jmse9101101</w:t>
        </w:r>
      </w:hyperlink>
      <w:r w:rsidRPr="00580CB4">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35F8DB93" w14:textId="242D6212" w:rsidR="00A676A0" w:rsidRPr="00A676A0" w:rsidRDefault="00A676A0" w:rsidP="00A676A0">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proofErr w:type="spellStart"/>
      <w:r w:rsidRPr="00580CB4">
        <w:rPr>
          <w:rFonts w:asciiTheme="majorBidi" w:hAnsiTheme="majorBidi" w:cstheme="majorBidi"/>
          <w:color w:val="000000" w:themeColor="text1"/>
          <w:sz w:val="20"/>
          <w:szCs w:val="20"/>
        </w:rPr>
        <w:t>Karimirad</w:t>
      </w:r>
      <w:proofErr w:type="spellEnd"/>
      <w:r w:rsidRPr="00580CB4">
        <w:rPr>
          <w:rFonts w:asciiTheme="majorBidi" w:hAnsiTheme="majorBidi" w:cstheme="majorBidi"/>
          <w:color w:val="000000" w:themeColor="text1"/>
          <w:sz w:val="20"/>
          <w:szCs w:val="20"/>
        </w:rPr>
        <w:t xml:space="preserve">, M.; </w:t>
      </w:r>
      <w:proofErr w:type="spellStart"/>
      <w:r w:rsidRPr="00580CB4">
        <w:rPr>
          <w:rFonts w:asciiTheme="majorBidi" w:hAnsiTheme="majorBidi" w:cstheme="majorBidi"/>
          <w:color w:val="000000" w:themeColor="text1"/>
          <w:sz w:val="20"/>
          <w:szCs w:val="20"/>
        </w:rPr>
        <w:t>Michailides</w:t>
      </w:r>
      <w:proofErr w:type="spellEnd"/>
      <w:r w:rsidRPr="00580CB4">
        <w:rPr>
          <w:rFonts w:asciiTheme="majorBidi" w:hAnsiTheme="majorBidi" w:cstheme="majorBidi"/>
          <w:color w:val="000000" w:themeColor="text1"/>
          <w:sz w:val="20"/>
          <w:szCs w:val="20"/>
        </w:rPr>
        <w:t xml:space="preserve">, C. V-shaped semisubmersible offshore wind turbine: An alternative concept for offshore wind technology. </w:t>
      </w:r>
      <w:r w:rsidRPr="00355EB1">
        <w:rPr>
          <w:rFonts w:asciiTheme="majorBidi" w:hAnsiTheme="majorBidi" w:cstheme="majorBidi"/>
          <w:i/>
          <w:iCs/>
          <w:color w:val="000000" w:themeColor="text1"/>
          <w:sz w:val="20"/>
          <w:szCs w:val="20"/>
        </w:rPr>
        <w:t>Renew. Energy</w:t>
      </w:r>
      <w:r w:rsidRPr="00580CB4">
        <w:rPr>
          <w:rFonts w:asciiTheme="majorBidi" w:hAnsiTheme="majorBidi" w:cstheme="majorBidi"/>
          <w:color w:val="000000" w:themeColor="text1"/>
          <w:sz w:val="20"/>
          <w:szCs w:val="20"/>
        </w:rPr>
        <w:t xml:space="preserve"> 2015, 83, 126–143. </w:t>
      </w:r>
      <w:hyperlink r:id="rId30" w:history="1">
        <w:r w:rsidRPr="000F37E2">
          <w:rPr>
            <w:rStyle w:val="Hyperlink"/>
            <w:rFonts w:asciiTheme="majorBidi" w:hAnsiTheme="majorBidi" w:cstheme="majorBidi"/>
            <w:sz w:val="20"/>
            <w:szCs w:val="20"/>
          </w:rPr>
          <w:t>https://doi.org/10.1016/j.renene.2015.04.033</w:t>
        </w:r>
      </w:hyperlink>
      <w:r w:rsidRPr="00580CB4">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2115C4E6" w14:textId="3BD4BE1D" w:rsidR="00A676A0" w:rsidRPr="00A676A0" w:rsidRDefault="00A676A0" w:rsidP="00A676A0">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580CB4">
        <w:rPr>
          <w:rFonts w:asciiTheme="majorBidi" w:hAnsiTheme="majorBidi" w:cstheme="majorBidi"/>
          <w:color w:val="000000" w:themeColor="text1"/>
          <w:sz w:val="20"/>
          <w:szCs w:val="20"/>
        </w:rPr>
        <w:t xml:space="preserve">Wang, L.; Robertson, A.; Jonkman, J.; Yu, Y.-H. OC6 Phase I: Improvements to the </w:t>
      </w:r>
      <w:proofErr w:type="spellStart"/>
      <w:r w:rsidRPr="00580CB4">
        <w:rPr>
          <w:rFonts w:asciiTheme="majorBidi" w:hAnsiTheme="majorBidi" w:cstheme="majorBidi"/>
          <w:color w:val="000000" w:themeColor="text1"/>
          <w:sz w:val="20"/>
          <w:szCs w:val="20"/>
        </w:rPr>
        <w:t>OpenFAST</w:t>
      </w:r>
      <w:proofErr w:type="spellEnd"/>
      <w:r w:rsidRPr="00580CB4">
        <w:rPr>
          <w:rFonts w:asciiTheme="majorBidi" w:hAnsiTheme="majorBidi" w:cstheme="majorBidi"/>
          <w:color w:val="000000" w:themeColor="text1"/>
          <w:sz w:val="20"/>
          <w:szCs w:val="20"/>
        </w:rPr>
        <w:t xml:space="preserve"> predictions of nonlinear, low-frequency responses of a floating offshore wind turbine platform. </w:t>
      </w:r>
      <w:r w:rsidRPr="00B569A6">
        <w:rPr>
          <w:rFonts w:asciiTheme="majorBidi" w:hAnsiTheme="majorBidi" w:cstheme="majorBidi"/>
          <w:i/>
          <w:iCs/>
          <w:color w:val="000000" w:themeColor="text1"/>
          <w:sz w:val="20"/>
          <w:szCs w:val="20"/>
        </w:rPr>
        <w:t>Renew. Energy</w:t>
      </w:r>
      <w:r w:rsidRPr="00580CB4">
        <w:rPr>
          <w:rFonts w:asciiTheme="majorBidi" w:hAnsiTheme="majorBidi" w:cstheme="majorBidi"/>
          <w:color w:val="000000" w:themeColor="text1"/>
          <w:sz w:val="20"/>
          <w:szCs w:val="20"/>
        </w:rPr>
        <w:t xml:space="preserve"> 2022, 187, 282–301. </w:t>
      </w:r>
      <w:hyperlink r:id="rId31" w:history="1">
        <w:r w:rsidRPr="000F37E2">
          <w:rPr>
            <w:rStyle w:val="Hyperlink"/>
            <w:rFonts w:asciiTheme="majorBidi" w:hAnsiTheme="majorBidi" w:cstheme="majorBidi"/>
            <w:sz w:val="20"/>
            <w:szCs w:val="20"/>
          </w:rPr>
          <w:t>https://doi.org/10.1016/j.renene.2022.01.053</w:t>
        </w:r>
      </w:hyperlink>
      <w:r w:rsidRPr="00580CB4">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46460615" w14:textId="6D2D61BA" w:rsidR="00A676A0" w:rsidRPr="00A676A0" w:rsidRDefault="00A676A0" w:rsidP="00A676A0">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580CB4">
        <w:rPr>
          <w:rFonts w:asciiTheme="majorBidi" w:hAnsiTheme="majorBidi" w:cstheme="majorBidi"/>
          <w:color w:val="000000" w:themeColor="text1"/>
          <w:sz w:val="20"/>
          <w:szCs w:val="20"/>
        </w:rPr>
        <w:t xml:space="preserve">Pérez-Collazo, C.; Pemberton, R.; Greaves, D.; Iglesias, G. Monopile-mounted wave energy converter for a hybrid wind–wave system. </w:t>
      </w:r>
      <w:r w:rsidRPr="00CB1F40">
        <w:rPr>
          <w:rFonts w:asciiTheme="majorBidi" w:hAnsiTheme="majorBidi" w:cstheme="majorBidi"/>
          <w:i/>
          <w:iCs/>
          <w:color w:val="000000" w:themeColor="text1"/>
          <w:sz w:val="20"/>
          <w:szCs w:val="20"/>
        </w:rPr>
        <w:t>Energy Convers. Manag.</w:t>
      </w:r>
      <w:r w:rsidRPr="00580CB4">
        <w:rPr>
          <w:rFonts w:asciiTheme="majorBidi" w:hAnsiTheme="majorBidi" w:cstheme="majorBidi"/>
          <w:color w:val="000000" w:themeColor="text1"/>
          <w:sz w:val="20"/>
          <w:szCs w:val="20"/>
        </w:rPr>
        <w:t xml:space="preserve"> 2019, 199, 111971. </w:t>
      </w:r>
      <w:hyperlink r:id="rId32" w:history="1">
        <w:r w:rsidRPr="000F37E2">
          <w:rPr>
            <w:rStyle w:val="Hyperlink"/>
            <w:rFonts w:asciiTheme="majorBidi" w:hAnsiTheme="majorBidi" w:cstheme="majorBidi"/>
            <w:sz w:val="20"/>
            <w:szCs w:val="20"/>
          </w:rPr>
          <w:t>https://doi.org/10.1016/j.enconman.2019.111971</w:t>
        </w:r>
      </w:hyperlink>
      <w:r w:rsidRPr="00580CB4">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2A257B46" w14:textId="1EDF0493" w:rsidR="00A676A0" w:rsidRPr="00A676A0" w:rsidRDefault="00A676A0" w:rsidP="00A676A0">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580CB4">
        <w:rPr>
          <w:rFonts w:asciiTheme="majorBidi" w:hAnsiTheme="majorBidi" w:cstheme="majorBidi"/>
          <w:color w:val="000000" w:themeColor="text1"/>
          <w:sz w:val="20"/>
          <w:szCs w:val="20"/>
        </w:rPr>
        <w:t xml:space="preserve">Mackay, E.B.L.; Bahaj, A.S.; Challenor, P.G. Uncertainty in wave energy resource assessment. Part 2: Variability and predictability. </w:t>
      </w:r>
      <w:r w:rsidRPr="00426736">
        <w:rPr>
          <w:rFonts w:asciiTheme="majorBidi" w:hAnsiTheme="majorBidi" w:cstheme="majorBidi"/>
          <w:i/>
          <w:iCs/>
          <w:color w:val="000000" w:themeColor="text1"/>
          <w:sz w:val="20"/>
          <w:szCs w:val="20"/>
        </w:rPr>
        <w:t>Renew. Energy</w:t>
      </w:r>
      <w:r w:rsidRPr="00580CB4">
        <w:rPr>
          <w:rFonts w:asciiTheme="majorBidi" w:hAnsiTheme="majorBidi" w:cstheme="majorBidi"/>
          <w:color w:val="000000" w:themeColor="text1"/>
          <w:sz w:val="20"/>
          <w:szCs w:val="20"/>
        </w:rPr>
        <w:t xml:space="preserve"> 2010, 35, 1809–1819. </w:t>
      </w:r>
      <w:hyperlink r:id="rId33" w:history="1">
        <w:r w:rsidRPr="000F37E2">
          <w:rPr>
            <w:rStyle w:val="Hyperlink"/>
            <w:rFonts w:asciiTheme="majorBidi" w:hAnsiTheme="majorBidi" w:cstheme="majorBidi"/>
            <w:sz w:val="20"/>
            <w:szCs w:val="20"/>
          </w:rPr>
          <w:t>https://doi.org/10.1016/j.renene.2009.10.027</w:t>
        </w:r>
      </w:hyperlink>
      <w:r w:rsidRPr="00580CB4">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70E6802D" w14:textId="10281E13" w:rsidR="00A676A0" w:rsidRPr="00A676A0" w:rsidRDefault="00A676A0" w:rsidP="00A676A0">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580CB4">
        <w:rPr>
          <w:rFonts w:asciiTheme="majorBidi" w:hAnsiTheme="majorBidi" w:cstheme="majorBidi"/>
          <w:color w:val="000000" w:themeColor="text1"/>
          <w:sz w:val="20"/>
          <w:szCs w:val="20"/>
        </w:rPr>
        <w:t xml:space="preserve">Cao, F.; Yu, M.; Liu, B.; Wei, Z.; Xue, L.; Han, M.; Shi, H. Progress of combined wind and wave energy harvesting devices and related coupling simulation techniques. </w:t>
      </w:r>
      <w:r w:rsidRPr="00426736">
        <w:rPr>
          <w:rFonts w:asciiTheme="majorBidi" w:hAnsiTheme="majorBidi" w:cstheme="majorBidi"/>
          <w:i/>
          <w:iCs/>
          <w:color w:val="000000" w:themeColor="text1"/>
          <w:sz w:val="20"/>
          <w:szCs w:val="20"/>
        </w:rPr>
        <w:t>J. Mar. Sci. Eng</w:t>
      </w:r>
      <w:r w:rsidRPr="00580CB4">
        <w:rPr>
          <w:rFonts w:asciiTheme="majorBidi" w:hAnsiTheme="majorBidi" w:cstheme="majorBidi"/>
          <w:color w:val="000000" w:themeColor="text1"/>
          <w:sz w:val="20"/>
          <w:szCs w:val="20"/>
        </w:rPr>
        <w:t xml:space="preserve">. 2023, 11, 212. </w:t>
      </w:r>
      <w:hyperlink r:id="rId34" w:history="1">
        <w:r w:rsidRPr="000F37E2">
          <w:rPr>
            <w:rStyle w:val="Hyperlink"/>
            <w:rFonts w:asciiTheme="majorBidi" w:hAnsiTheme="majorBidi" w:cstheme="majorBidi"/>
            <w:sz w:val="20"/>
            <w:szCs w:val="20"/>
          </w:rPr>
          <w:t>https://doi.org/10.3390/jmse11010212</w:t>
        </w:r>
      </w:hyperlink>
      <w:r w:rsidRPr="00580CB4">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30054418" w14:textId="07BAD2CD" w:rsidR="00A676A0" w:rsidRPr="00A676A0" w:rsidRDefault="00A676A0" w:rsidP="00A676A0">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580CB4">
        <w:rPr>
          <w:rFonts w:asciiTheme="majorBidi" w:hAnsiTheme="majorBidi" w:cstheme="majorBidi"/>
          <w:color w:val="000000" w:themeColor="text1"/>
          <w:sz w:val="20"/>
          <w:szCs w:val="20"/>
        </w:rPr>
        <w:lastRenderedPageBreak/>
        <w:t xml:space="preserve">Roddier, D.; </w:t>
      </w:r>
      <w:proofErr w:type="spellStart"/>
      <w:r w:rsidRPr="00580CB4">
        <w:rPr>
          <w:rFonts w:asciiTheme="majorBidi" w:hAnsiTheme="majorBidi" w:cstheme="majorBidi"/>
          <w:color w:val="000000" w:themeColor="text1"/>
          <w:sz w:val="20"/>
          <w:szCs w:val="20"/>
        </w:rPr>
        <w:t>Cermelli</w:t>
      </w:r>
      <w:proofErr w:type="spellEnd"/>
      <w:r w:rsidRPr="00580CB4">
        <w:rPr>
          <w:rFonts w:asciiTheme="majorBidi" w:hAnsiTheme="majorBidi" w:cstheme="majorBidi"/>
          <w:color w:val="000000" w:themeColor="text1"/>
          <w:sz w:val="20"/>
          <w:szCs w:val="20"/>
        </w:rPr>
        <w:t xml:space="preserve">, C.; Aubault, A.; Weinstein, A. </w:t>
      </w:r>
      <w:proofErr w:type="spellStart"/>
      <w:r w:rsidRPr="00580CB4">
        <w:rPr>
          <w:rFonts w:asciiTheme="majorBidi" w:hAnsiTheme="majorBidi" w:cstheme="majorBidi"/>
          <w:color w:val="000000" w:themeColor="text1"/>
          <w:sz w:val="20"/>
          <w:szCs w:val="20"/>
        </w:rPr>
        <w:t>WindFloat</w:t>
      </w:r>
      <w:proofErr w:type="spellEnd"/>
      <w:r w:rsidRPr="00580CB4">
        <w:rPr>
          <w:rFonts w:asciiTheme="majorBidi" w:hAnsiTheme="majorBidi" w:cstheme="majorBidi"/>
          <w:color w:val="000000" w:themeColor="text1"/>
          <w:sz w:val="20"/>
          <w:szCs w:val="20"/>
        </w:rPr>
        <w:t xml:space="preserve">: A floating foundation for offshore wind turbines. </w:t>
      </w:r>
      <w:r w:rsidRPr="00301122">
        <w:rPr>
          <w:rFonts w:asciiTheme="majorBidi" w:hAnsiTheme="majorBidi" w:cstheme="majorBidi"/>
          <w:i/>
          <w:iCs/>
          <w:color w:val="000000" w:themeColor="text1"/>
          <w:sz w:val="20"/>
          <w:szCs w:val="20"/>
        </w:rPr>
        <w:t>J. Renew. Sustain. Energy</w:t>
      </w:r>
      <w:r w:rsidRPr="00580CB4">
        <w:rPr>
          <w:rFonts w:asciiTheme="majorBidi" w:hAnsiTheme="majorBidi" w:cstheme="majorBidi"/>
          <w:color w:val="000000" w:themeColor="text1"/>
          <w:sz w:val="20"/>
          <w:szCs w:val="20"/>
        </w:rPr>
        <w:t xml:space="preserve"> 2010, 2, 033104. </w:t>
      </w:r>
      <w:hyperlink r:id="rId35" w:history="1">
        <w:r w:rsidRPr="000F37E2">
          <w:rPr>
            <w:rStyle w:val="Hyperlink"/>
            <w:rFonts w:asciiTheme="majorBidi" w:hAnsiTheme="majorBidi" w:cstheme="majorBidi"/>
            <w:sz w:val="20"/>
            <w:szCs w:val="20"/>
          </w:rPr>
          <w:t>https://doi.org/10.1063/1.3435339</w:t>
        </w:r>
      </w:hyperlink>
      <w:r w:rsidRPr="00580CB4">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30F714CF" w14:textId="2C8F8E23" w:rsidR="00A676A0" w:rsidRPr="00A676A0" w:rsidRDefault="00A676A0" w:rsidP="00A676A0">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proofErr w:type="spellStart"/>
      <w:r w:rsidRPr="00580CB4">
        <w:rPr>
          <w:rFonts w:asciiTheme="majorBidi" w:hAnsiTheme="majorBidi" w:cstheme="majorBidi"/>
          <w:color w:val="000000" w:themeColor="text1"/>
          <w:sz w:val="20"/>
          <w:szCs w:val="20"/>
        </w:rPr>
        <w:t>Karimirad</w:t>
      </w:r>
      <w:proofErr w:type="spellEnd"/>
      <w:r w:rsidRPr="00580CB4">
        <w:rPr>
          <w:rFonts w:asciiTheme="majorBidi" w:hAnsiTheme="majorBidi" w:cstheme="majorBidi"/>
          <w:color w:val="000000" w:themeColor="text1"/>
          <w:sz w:val="20"/>
          <w:szCs w:val="20"/>
        </w:rPr>
        <w:t xml:space="preserve">, M.; Moan, T. Wave- and wind-induced dynamic response of a spar-type offshore wind turbine. </w:t>
      </w:r>
      <w:r w:rsidRPr="00301122">
        <w:rPr>
          <w:rFonts w:asciiTheme="majorBidi" w:hAnsiTheme="majorBidi" w:cstheme="majorBidi"/>
          <w:i/>
          <w:iCs/>
          <w:color w:val="000000" w:themeColor="text1"/>
          <w:sz w:val="20"/>
          <w:szCs w:val="20"/>
        </w:rPr>
        <w:t xml:space="preserve">J. </w:t>
      </w:r>
      <w:proofErr w:type="spellStart"/>
      <w:r w:rsidRPr="00301122">
        <w:rPr>
          <w:rFonts w:asciiTheme="majorBidi" w:hAnsiTheme="majorBidi" w:cstheme="majorBidi"/>
          <w:i/>
          <w:iCs/>
          <w:color w:val="000000" w:themeColor="text1"/>
          <w:sz w:val="20"/>
          <w:szCs w:val="20"/>
        </w:rPr>
        <w:t>Waterw</w:t>
      </w:r>
      <w:proofErr w:type="spellEnd"/>
      <w:r w:rsidRPr="00301122">
        <w:rPr>
          <w:rFonts w:asciiTheme="majorBidi" w:hAnsiTheme="majorBidi" w:cstheme="majorBidi"/>
          <w:i/>
          <w:iCs/>
          <w:color w:val="000000" w:themeColor="text1"/>
          <w:sz w:val="20"/>
          <w:szCs w:val="20"/>
        </w:rPr>
        <w:t>. Port Coast. Ocean Eng.</w:t>
      </w:r>
      <w:r w:rsidRPr="00580CB4">
        <w:rPr>
          <w:rFonts w:asciiTheme="majorBidi" w:hAnsiTheme="majorBidi" w:cstheme="majorBidi"/>
          <w:color w:val="000000" w:themeColor="text1"/>
          <w:sz w:val="20"/>
          <w:szCs w:val="20"/>
        </w:rPr>
        <w:t xml:space="preserve"> 2012, 138, 9–20. </w:t>
      </w:r>
      <w:hyperlink r:id="rId36" w:history="1">
        <w:r w:rsidRPr="000F37E2">
          <w:rPr>
            <w:rStyle w:val="Hyperlink"/>
            <w:rFonts w:asciiTheme="majorBidi" w:hAnsiTheme="majorBidi" w:cstheme="majorBidi"/>
            <w:sz w:val="20"/>
            <w:szCs w:val="20"/>
          </w:rPr>
          <w:t>https://doi.org/10.1061/(ASCE)WW.1943-5460.0000087</w:t>
        </w:r>
      </w:hyperlink>
      <w:r w:rsidRPr="00580CB4">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4231C6F4" w14:textId="05C2AA52" w:rsidR="00A676A0" w:rsidRPr="00A676A0" w:rsidRDefault="00A676A0" w:rsidP="00A676A0">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580CB4">
        <w:rPr>
          <w:rFonts w:asciiTheme="majorBidi" w:hAnsiTheme="majorBidi" w:cstheme="majorBidi"/>
          <w:color w:val="000000" w:themeColor="text1"/>
          <w:sz w:val="20"/>
          <w:szCs w:val="20"/>
        </w:rPr>
        <w:t xml:space="preserve">Robertson, A.N.; Jonkman, J.M.; Masciola, M.D. </w:t>
      </w:r>
      <w:r w:rsidRPr="002B0B5C">
        <w:rPr>
          <w:rFonts w:asciiTheme="majorBidi" w:hAnsiTheme="majorBidi" w:cstheme="majorBidi"/>
          <w:i/>
          <w:iCs/>
          <w:color w:val="000000" w:themeColor="text1"/>
          <w:sz w:val="20"/>
          <w:szCs w:val="20"/>
        </w:rPr>
        <w:t>Definition of the Semisubmersible Floating System for Phase II of OC4</w:t>
      </w:r>
      <w:r w:rsidRPr="00580CB4">
        <w:rPr>
          <w:rFonts w:asciiTheme="majorBidi" w:hAnsiTheme="majorBidi" w:cstheme="majorBidi"/>
          <w:color w:val="000000" w:themeColor="text1"/>
          <w:sz w:val="20"/>
          <w:szCs w:val="20"/>
        </w:rPr>
        <w:t xml:space="preserve">; National Renewable Energy Laboratory: Golden, CO, USA, 2014; NREL/TP-5000-60601. Available online: https://docs.nrel.gov/docs/fy14osti/60601.pdf (accessed on </w:t>
      </w:r>
      <w:r w:rsidR="0040458A">
        <w:rPr>
          <w:rFonts w:asciiTheme="majorBidi" w:hAnsiTheme="majorBidi" w:cstheme="majorBidi"/>
          <w:color w:val="000000" w:themeColor="text1"/>
          <w:sz w:val="20"/>
          <w:szCs w:val="20"/>
        </w:rPr>
        <w:t>15</w:t>
      </w:r>
      <w:r w:rsidRPr="00580CB4">
        <w:rPr>
          <w:rFonts w:asciiTheme="majorBidi" w:hAnsiTheme="majorBidi" w:cstheme="majorBidi"/>
          <w:color w:val="000000" w:themeColor="text1"/>
          <w:sz w:val="20"/>
          <w:szCs w:val="20"/>
        </w:rPr>
        <w:t xml:space="preserve"> </w:t>
      </w:r>
      <w:r w:rsidR="0040458A">
        <w:rPr>
          <w:rFonts w:asciiTheme="majorBidi" w:hAnsiTheme="majorBidi" w:cstheme="majorBidi"/>
          <w:color w:val="000000" w:themeColor="text1"/>
          <w:sz w:val="20"/>
          <w:szCs w:val="20"/>
        </w:rPr>
        <w:t>April</w:t>
      </w:r>
      <w:r w:rsidRPr="00580CB4">
        <w:rPr>
          <w:rFonts w:asciiTheme="majorBidi" w:hAnsiTheme="majorBidi" w:cstheme="majorBidi"/>
          <w:color w:val="000000" w:themeColor="text1"/>
          <w:sz w:val="20"/>
          <w:szCs w:val="20"/>
        </w:rPr>
        <w:t xml:space="preserve"> 2026).</w:t>
      </w:r>
    </w:p>
    <w:p w14:paraId="46A37ABD" w14:textId="1EB6EA34" w:rsidR="00A676A0" w:rsidRPr="00A676A0" w:rsidRDefault="00A676A0" w:rsidP="00A676A0">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580CB4">
        <w:rPr>
          <w:rFonts w:asciiTheme="majorBidi" w:hAnsiTheme="majorBidi" w:cstheme="majorBidi"/>
          <w:color w:val="000000" w:themeColor="text1"/>
          <w:sz w:val="20"/>
          <w:szCs w:val="20"/>
        </w:rPr>
        <w:t xml:space="preserve">Nielsen, F.G.; Hanson, T.D.; Skaare, B. Integrated dynamic analysis of floating offshore wind turbines. In </w:t>
      </w:r>
      <w:r w:rsidRPr="001F60CB">
        <w:rPr>
          <w:rFonts w:asciiTheme="majorBidi" w:hAnsiTheme="majorBidi" w:cstheme="majorBidi"/>
          <w:i/>
          <w:iCs/>
          <w:color w:val="000000" w:themeColor="text1"/>
          <w:sz w:val="20"/>
          <w:szCs w:val="20"/>
        </w:rPr>
        <w:t>Proceedings of the ASME 2006 25th International Conference on Offshore Mechanics and Arctic Engineering</w:t>
      </w:r>
      <w:r w:rsidRPr="00580CB4">
        <w:rPr>
          <w:rFonts w:asciiTheme="majorBidi" w:hAnsiTheme="majorBidi" w:cstheme="majorBidi"/>
          <w:color w:val="000000" w:themeColor="text1"/>
          <w:sz w:val="20"/>
          <w:szCs w:val="20"/>
        </w:rPr>
        <w:t xml:space="preserve">, Hamburg, Germany, 4–9 June 2006; Paper No. OMAE2006-92291. </w:t>
      </w:r>
      <w:hyperlink r:id="rId37" w:history="1">
        <w:r w:rsidRPr="000F37E2">
          <w:rPr>
            <w:rStyle w:val="Hyperlink"/>
            <w:rFonts w:asciiTheme="majorBidi" w:hAnsiTheme="majorBidi" w:cstheme="majorBidi"/>
            <w:sz w:val="20"/>
            <w:szCs w:val="20"/>
          </w:rPr>
          <w:t>https://doi.org/10.1115/OMAE2006-92291</w:t>
        </w:r>
      </w:hyperlink>
      <w:r w:rsidRPr="00580CB4">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4545CC70" w14:textId="5607AD2C" w:rsidR="00A676A0" w:rsidRPr="00A676A0" w:rsidRDefault="00A676A0" w:rsidP="00A676A0">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580CB4">
        <w:rPr>
          <w:rFonts w:asciiTheme="majorBidi" w:hAnsiTheme="majorBidi" w:cstheme="majorBidi"/>
          <w:color w:val="000000" w:themeColor="text1"/>
          <w:sz w:val="20"/>
          <w:szCs w:val="20"/>
        </w:rPr>
        <w:t xml:space="preserve">Skaare, B.; Hanson, T.D.; Nielsen, F.G. Importance of control strategies on fatigue life of floating wind turbines. In </w:t>
      </w:r>
      <w:r w:rsidRPr="00D62FB9">
        <w:rPr>
          <w:rFonts w:asciiTheme="majorBidi" w:hAnsiTheme="majorBidi" w:cstheme="majorBidi"/>
          <w:i/>
          <w:iCs/>
          <w:color w:val="000000" w:themeColor="text1"/>
          <w:sz w:val="20"/>
          <w:szCs w:val="20"/>
        </w:rPr>
        <w:t>Proceedings of the ASME 2007 26th International Conference on Offshore Mechanics and Arctic Engineering</w:t>
      </w:r>
      <w:r w:rsidRPr="00580CB4">
        <w:rPr>
          <w:rFonts w:asciiTheme="majorBidi" w:hAnsiTheme="majorBidi" w:cstheme="majorBidi"/>
          <w:color w:val="000000" w:themeColor="text1"/>
          <w:sz w:val="20"/>
          <w:szCs w:val="20"/>
        </w:rPr>
        <w:t xml:space="preserve">, San Diego, CA, USA, 10–15 June 2007; Paper No. OMAE2007-29277. </w:t>
      </w:r>
      <w:hyperlink r:id="rId38" w:history="1">
        <w:r w:rsidRPr="000F37E2">
          <w:rPr>
            <w:rStyle w:val="Hyperlink"/>
            <w:rFonts w:asciiTheme="majorBidi" w:hAnsiTheme="majorBidi" w:cstheme="majorBidi"/>
            <w:sz w:val="20"/>
            <w:szCs w:val="20"/>
          </w:rPr>
          <w:t>https://doi.org/10.1115/OMAE2007-29277</w:t>
        </w:r>
      </w:hyperlink>
      <w:r w:rsidRPr="00580CB4">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781E0C73" w14:textId="6CBB4C46" w:rsidR="00A676A0" w:rsidRPr="00A676A0" w:rsidRDefault="00A676A0" w:rsidP="00A676A0">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proofErr w:type="spellStart"/>
      <w:r w:rsidRPr="00580CB4">
        <w:rPr>
          <w:rFonts w:asciiTheme="majorBidi" w:hAnsiTheme="majorBidi" w:cstheme="majorBidi"/>
          <w:color w:val="000000" w:themeColor="text1"/>
          <w:sz w:val="20"/>
          <w:szCs w:val="20"/>
        </w:rPr>
        <w:t>Muliawan</w:t>
      </w:r>
      <w:proofErr w:type="spellEnd"/>
      <w:r w:rsidRPr="00580CB4">
        <w:rPr>
          <w:rFonts w:asciiTheme="majorBidi" w:hAnsiTheme="majorBidi" w:cstheme="majorBidi"/>
          <w:color w:val="000000" w:themeColor="text1"/>
          <w:sz w:val="20"/>
          <w:szCs w:val="20"/>
        </w:rPr>
        <w:t xml:space="preserve">, M.J.; </w:t>
      </w:r>
      <w:proofErr w:type="spellStart"/>
      <w:r w:rsidRPr="00580CB4">
        <w:rPr>
          <w:rFonts w:asciiTheme="majorBidi" w:hAnsiTheme="majorBidi" w:cstheme="majorBidi"/>
          <w:color w:val="000000" w:themeColor="text1"/>
          <w:sz w:val="20"/>
          <w:szCs w:val="20"/>
        </w:rPr>
        <w:t>Karimirad</w:t>
      </w:r>
      <w:proofErr w:type="spellEnd"/>
      <w:r w:rsidRPr="00580CB4">
        <w:rPr>
          <w:rFonts w:asciiTheme="majorBidi" w:hAnsiTheme="majorBidi" w:cstheme="majorBidi"/>
          <w:color w:val="000000" w:themeColor="text1"/>
          <w:sz w:val="20"/>
          <w:szCs w:val="20"/>
        </w:rPr>
        <w:t xml:space="preserve">, M.; Moan, T.; Gao, Z. STC (Spar-Torus Combination): A combined spar-type floating wind turbine and large point absorber floating wave energy converter—promising and challenging. In </w:t>
      </w:r>
      <w:r w:rsidRPr="00541E59">
        <w:rPr>
          <w:rFonts w:asciiTheme="majorBidi" w:hAnsiTheme="majorBidi" w:cstheme="majorBidi"/>
          <w:i/>
          <w:iCs/>
          <w:color w:val="000000" w:themeColor="text1"/>
          <w:sz w:val="20"/>
          <w:szCs w:val="20"/>
        </w:rPr>
        <w:t>Proceedings of the ASME 2012 31st International Conference on Ocean, Offshore and Arctic Engineering</w:t>
      </w:r>
      <w:r w:rsidRPr="00580CB4">
        <w:rPr>
          <w:rFonts w:asciiTheme="majorBidi" w:hAnsiTheme="majorBidi" w:cstheme="majorBidi"/>
          <w:color w:val="000000" w:themeColor="text1"/>
          <w:sz w:val="20"/>
          <w:szCs w:val="20"/>
        </w:rPr>
        <w:t xml:space="preserve">, Rio de Janeiro, Brazil, 1–6 July 2012; pp. 667–676. </w:t>
      </w:r>
      <w:hyperlink r:id="rId39" w:history="1">
        <w:r w:rsidRPr="000F37E2">
          <w:rPr>
            <w:rStyle w:val="Hyperlink"/>
            <w:rFonts w:asciiTheme="majorBidi" w:hAnsiTheme="majorBidi" w:cstheme="majorBidi"/>
            <w:sz w:val="20"/>
            <w:szCs w:val="20"/>
          </w:rPr>
          <w:t>https://doi.org/10.1115/OMAE2012-84272</w:t>
        </w:r>
      </w:hyperlink>
      <w:r w:rsidRPr="00580CB4">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60BD1409" w14:textId="3614CC0A" w:rsidR="00A676A0" w:rsidRPr="00A676A0" w:rsidRDefault="00A676A0" w:rsidP="00A676A0">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580CB4">
        <w:rPr>
          <w:rFonts w:asciiTheme="majorBidi" w:hAnsiTheme="majorBidi" w:cstheme="majorBidi"/>
          <w:color w:val="000000" w:themeColor="text1"/>
          <w:sz w:val="20"/>
          <w:szCs w:val="20"/>
        </w:rPr>
        <w:t xml:space="preserve">Equinor. Hywind Scotland. Available online: https://www.equinor.com/energy/hywind-scotland (accessed on 26 </w:t>
      </w:r>
      <w:r w:rsidR="00BE6B29">
        <w:rPr>
          <w:rFonts w:asciiTheme="majorBidi" w:hAnsiTheme="majorBidi" w:cstheme="majorBidi"/>
          <w:color w:val="000000" w:themeColor="text1"/>
          <w:sz w:val="20"/>
          <w:szCs w:val="20"/>
        </w:rPr>
        <w:t>March</w:t>
      </w:r>
      <w:r w:rsidRPr="00580CB4">
        <w:rPr>
          <w:rFonts w:asciiTheme="majorBidi" w:hAnsiTheme="majorBidi" w:cstheme="majorBidi"/>
          <w:color w:val="000000" w:themeColor="text1"/>
          <w:sz w:val="20"/>
          <w:szCs w:val="20"/>
        </w:rPr>
        <w:t xml:space="preserve"> 2026).</w:t>
      </w:r>
    </w:p>
    <w:p w14:paraId="04884D64" w14:textId="7A9D3ED5" w:rsidR="00A676A0" w:rsidRPr="00A676A0" w:rsidRDefault="00A676A0" w:rsidP="00A676A0">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580CB4">
        <w:rPr>
          <w:rFonts w:asciiTheme="majorBidi" w:hAnsiTheme="majorBidi" w:cstheme="majorBidi"/>
          <w:color w:val="000000" w:themeColor="text1"/>
          <w:sz w:val="20"/>
          <w:szCs w:val="20"/>
        </w:rPr>
        <w:t xml:space="preserve">Cermelli, C.; </w:t>
      </w:r>
      <w:proofErr w:type="spellStart"/>
      <w:r w:rsidRPr="00580CB4">
        <w:rPr>
          <w:rFonts w:asciiTheme="majorBidi" w:hAnsiTheme="majorBidi" w:cstheme="majorBidi"/>
          <w:color w:val="000000" w:themeColor="text1"/>
          <w:sz w:val="20"/>
          <w:szCs w:val="20"/>
        </w:rPr>
        <w:t>Roddier</w:t>
      </w:r>
      <w:proofErr w:type="spellEnd"/>
      <w:r w:rsidRPr="00580CB4">
        <w:rPr>
          <w:rFonts w:asciiTheme="majorBidi" w:hAnsiTheme="majorBidi" w:cstheme="majorBidi"/>
          <w:color w:val="000000" w:themeColor="text1"/>
          <w:sz w:val="20"/>
          <w:szCs w:val="20"/>
        </w:rPr>
        <w:t xml:space="preserve">, D.; Aubault, A. </w:t>
      </w:r>
      <w:proofErr w:type="spellStart"/>
      <w:r w:rsidRPr="00580CB4">
        <w:rPr>
          <w:rFonts w:asciiTheme="majorBidi" w:hAnsiTheme="majorBidi" w:cstheme="majorBidi"/>
          <w:color w:val="000000" w:themeColor="text1"/>
          <w:sz w:val="20"/>
          <w:szCs w:val="20"/>
        </w:rPr>
        <w:t>WindFloat</w:t>
      </w:r>
      <w:proofErr w:type="spellEnd"/>
      <w:r w:rsidRPr="00580CB4">
        <w:rPr>
          <w:rFonts w:asciiTheme="majorBidi" w:hAnsiTheme="majorBidi" w:cstheme="majorBidi"/>
          <w:color w:val="000000" w:themeColor="text1"/>
          <w:sz w:val="20"/>
          <w:szCs w:val="20"/>
        </w:rPr>
        <w:t xml:space="preserve">: A floating foundation for offshore wind turbines—Part II: Hydrodynamic analysis. In </w:t>
      </w:r>
      <w:r w:rsidRPr="0089571A">
        <w:rPr>
          <w:rFonts w:asciiTheme="majorBidi" w:hAnsiTheme="majorBidi" w:cstheme="majorBidi"/>
          <w:i/>
          <w:iCs/>
          <w:color w:val="000000" w:themeColor="text1"/>
          <w:sz w:val="20"/>
          <w:szCs w:val="20"/>
        </w:rPr>
        <w:t>Proceedings of the ASME 2009 28th International Conference on Ocean, Offshore and Arctic Engineering</w:t>
      </w:r>
      <w:r w:rsidRPr="00580CB4">
        <w:rPr>
          <w:rFonts w:asciiTheme="majorBidi" w:hAnsiTheme="majorBidi" w:cstheme="majorBidi"/>
          <w:color w:val="000000" w:themeColor="text1"/>
          <w:sz w:val="20"/>
          <w:szCs w:val="20"/>
        </w:rPr>
        <w:t xml:space="preserve">, Honolulu, HI, USA, 31 May–5 June 2009; Paper No. OMAE2009-79231. </w:t>
      </w:r>
      <w:hyperlink r:id="rId40" w:history="1">
        <w:r w:rsidRPr="000F37E2">
          <w:rPr>
            <w:rStyle w:val="Hyperlink"/>
            <w:rFonts w:asciiTheme="majorBidi" w:hAnsiTheme="majorBidi" w:cstheme="majorBidi"/>
            <w:sz w:val="20"/>
            <w:szCs w:val="20"/>
          </w:rPr>
          <w:t>https://doi.org/10.1115/OMAE2009-79231</w:t>
        </w:r>
      </w:hyperlink>
      <w:r w:rsidRPr="00580CB4">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173021E5" w14:textId="4E70542E" w:rsidR="008226CB" w:rsidRDefault="00A676A0" w:rsidP="00DC2ACD">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580CB4">
        <w:rPr>
          <w:rFonts w:asciiTheme="majorBidi" w:hAnsiTheme="majorBidi" w:cstheme="majorBidi"/>
          <w:color w:val="000000" w:themeColor="text1"/>
          <w:sz w:val="20"/>
          <w:szCs w:val="20"/>
        </w:rPr>
        <w:t xml:space="preserve">Aubault, A.; </w:t>
      </w:r>
      <w:proofErr w:type="spellStart"/>
      <w:r w:rsidRPr="00580CB4">
        <w:rPr>
          <w:rFonts w:asciiTheme="majorBidi" w:hAnsiTheme="majorBidi" w:cstheme="majorBidi"/>
          <w:color w:val="000000" w:themeColor="text1"/>
          <w:sz w:val="20"/>
          <w:szCs w:val="20"/>
        </w:rPr>
        <w:t>Cermelli</w:t>
      </w:r>
      <w:proofErr w:type="spellEnd"/>
      <w:r w:rsidRPr="00580CB4">
        <w:rPr>
          <w:rFonts w:asciiTheme="majorBidi" w:hAnsiTheme="majorBidi" w:cstheme="majorBidi"/>
          <w:color w:val="000000" w:themeColor="text1"/>
          <w:sz w:val="20"/>
          <w:szCs w:val="20"/>
        </w:rPr>
        <w:t xml:space="preserve">, C.; </w:t>
      </w:r>
      <w:proofErr w:type="spellStart"/>
      <w:r w:rsidRPr="00580CB4">
        <w:rPr>
          <w:rFonts w:asciiTheme="majorBidi" w:hAnsiTheme="majorBidi" w:cstheme="majorBidi"/>
          <w:color w:val="000000" w:themeColor="text1"/>
          <w:sz w:val="20"/>
          <w:szCs w:val="20"/>
        </w:rPr>
        <w:t>Roddier</w:t>
      </w:r>
      <w:proofErr w:type="spellEnd"/>
      <w:r w:rsidRPr="00580CB4">
        <w:rPr>
          <w:rFonts w:asciiTheme="majorBidi" w:hAnsiTheme="majorBidi" w:cstheme="majorBidi"/>
          <w:color w:val="000000" w:themeColor="text1"/>
          <w:sz w:val="20"/>
          <w:szCs w:val="20"/>
        </w:rPr>
        <w:t xml:space="preserve">, D. </w:t>
      </w:r>
      <w:proofErr w:type="spellStart"/>
      <w:r w:rsidRPr="00580CB4">
        <w:rPr>
          <w:rFonts w:asciiTheme="majorBidi" w:hAnsiTheme="majorBidi" w:cstheme="majorBidi"/>
          <w:color w:val="000000" w:themeColor="text1"/>
          <w:sz w:val="20"/>
          <w:szCs w:val="20"/>
        </w:rPr>
        <w:t>WindFloat</w:t>
      </w:r>
      <w:proofErr w:type="spellEnd"/>
      <w:r w:rsidRPr="00580CB4">
        <w:rPr>
          <w:rFonts w:asciiTheme="majorBidi" w:hAnsiTheme="majorBidi" w:cstheme="majorBidi"/>
          <w:color w:val="000000" w:themeColor="text1"/>
          <w:sz w:val="20"/>
          <w:szCs w:val="20"/>
        </w:rPr>
        <w:t xml:space="preserve">: A floating foundation for offshore wind turbines—Part III: Structural analysis. In </w:t>
      </w:r>
      <w:r w:rsidRPr="00144245">
        <w:rPr>
          <w:rFonts w:asciiTheme="majorBidi" w:hAnsiTheme="majorBidi" w:cstheme="majorBidi"/>
          <w:i/>
          <w:iCs/>
          <w:color w:val="000000" w:themeColor="text1"/>
          <w:sz w:val="20"/>
          <w:szCs w:val="20"/>
        </w:rPr>
        <w:t>Proceedings of the ASME 2009 28th International Conference on Ocean, Offshore and Arctic Engineering</w:t>
      </w:r>
      <w:r w:rsidRPr="00580CB4">
        <w:rPr>
          <w:rFonts w:asciiTheme="majorBidi" w:hAnsiTheme="majorBidi" w:cstheme="majorBidi"/>
          <w:color w:val="000000" w:themeColor="text1"/>
          <w:sz w:val="20"/>
          <w:szCs w:val="20"/>
        </w:rPr>
        <w:t xml:space="preserve">, Honolulu, HI, USA, 31 May–5 June 2009; pp. 213–220. </w:t>
      </w:r>
      <w:hyperlink r:id="rId41" w:history="1">
        <w:r w:rsidR="00DC2ACD" w:rsidRPr="000F37E2">
          <w:rPr>
            <w:rStyle w:val="Hyperlink"/>
            <w:rFonts w:asciiTheme="majorBidi" w:hAnsiTheme="majorBidi" w:cstheme="majorBidi"/>
            <w:sz w:val="20"/>
            <w:szCs w:val="20"/>
          </w:rPr>
          <w:t>https://doi.org/10.1115/OMAE2009-79232</w:t>
        </w:r>
      </w:hyperlink>
      <w:r w:rsidRPr="00580CB4">
        <w:rPr>
          <w:rFonts w:asciiTheme="majorBidi" w:hAnsiTheme="majorBidi" w:cstheme="majorBidi"/>
          <w:color w:val="000000" w:themeColor="text1"/>
          <w:sz w:val="20"/>
          <w:szCs w:val="20"/>
        </w:rPr>
        <w:t>.</w:t>
      </w:r>
    </w:p>
    <w:p w14:paraId="1B788683" w14:textId="77777777" w:rsidR="00DC2ACD" w:rsidRPr="00691974" w:rsidRDefault="00DC2ACD" w:rsidP="00DC2ACD">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691974">
        <w:rPr>
          <w:rFonts w:asciiTheme="majorBidi" w:hAnsiTheme="majorBidi" w:cstheme="majorBidi"/>
          <w:color w:val="000000" w:themeColor="text1"/>
          <w:sz w:val="20"/>
          <w:szCs w:val="20"/>
        </w:rPr>
        <w:t xml:space="preserve">Principle Power. </w:t>
      </w:r>
      <w:proofErr w:type="spellStart"/>
      <w:r w:rsidRPr="00691974">
        <w:rPr>
          <w:rFonts w:asciiTheme="majorBidi" w:hAnsiTheme="majorBidi" w:cstheme="majorBidi"/>
          <w:color w:val="000000" w:themeColor="text1"/>
          <w:sz w:val="20"/>
          <w:szCs w:val="20"/>
        </w:rPr>
        <w:t>WindFloat</w:t>
      </w:r>
      <w:proofErr w:type="spellEnd"/>
      <w:r w:rsidRPr="00691974">
        <w:rPr>
          <w:rFonts w:asciiTheme="majorBidi" w:hAnsiTheme="majorBidi" w:cstheme="majorBidi"/>
          <w:color w:val="000000" w:themeColor="text1"/>
          <w:sz w:val="20"/>
          <w:szCs w:val="20"/>
        </w:rPr>
        <w:t xml:space="preserve"> Technology. Available online: https://www.principlepower.com (accessed on 12 October 2025).</w:t>
      </w:r>
    </w:p>
    <w:p w14:paraId="20BD8986" w14:textId="48FAE49F" w:rsidR="00DC2ACD" w:rsidRPr="00691974" w:rsidRDefault="00DC2ACD" w:rsidP="00DC2ACD">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proofErr w:type="spellStart"/>
      <w:r w:rsidRPr="00691974">
        <w:rPr>
          <w:rFonts w:asciiTheme="majorBidi" w:hAnsiTheme="majorBidi" w:cstheme="majorBidi"/>
          <w:color w:val="000000" w:themeColor="text1"/>
          <w:sz w:val="20"/>
          <w:szCs w:val="20"/>
        </w:rPr>
        <w:t>Michailides</w:t>
      </w:r>
      <w:proofErr w:type="spellEnd"/>
      <w:r w:rsidRPr="00691974">
        <w:rPr>
          <w:rFonts w:asciiTheme="majorBidi" w:hAnsiTheme="majorBidi" w:cstheme="majorBidi"/>
          <w:color w:val="000000" w:themeColor="text1"/>
          <w:sz w:val="20"/>
          <w:szCs w:val="20"/>
        </w:rPr>
        <w:t xml:space="preserve">, C.; Gao, Z.; Moan, T. Experimental study of the functionality of a semisubmersible wind turbine combined with flap-type wave energy converters. </w:t>
      </w:r>
      <w:r w:rsidRPr="00691974">
        <w:rPr>
          <w:rFonts w:asciiTheme="majorBidi" w:hAnsiTheme="majorBidi" w:cstheme="majorBidi"/>
          <w:i/>
          <w:iCs/>
          <w:color w:val="000000" w:themeColor="text1"/>
          <w:sz w:val="20"/>
          <w:szCs w:val="20"/>
        </w:rPr>
        <w:t>Renew. Energy</w:t>
      </w:r>
      <w:r w:rsidRPr="00691974">
        <w:rPr>
          <w:rFonts w:asciiTheme="majorBidi" w:hAnsiTheme="majorBidi" w:cstheme="majorBidi"/>
          <w:color w:val="000000" w:themeColor="text1"/>
          <w:sz w:val="20"/>
          <w:szCs w:val="20"/>
        </w:rPr>
        <w:t xml:space="preserve"> 2016, 93, 675–690. </w:t>
      </w:r>
      <w:hyperlink r:id="rId42" w:history="1">
        <w:r w:rsidRPr="00691974">
          <w:rPr>
            <w:rFonts w:asciiTheme="majorBidi" w:hAnsiTheme="majorBidi" w:cstheme="majorBidi"/>
            <w:color w:val="000000" w:themeColor="text1"/>
            <w:sz w:val="20"/>
            <w:szCs w:val="20"/>
          </w:rPr>
          <w:t>https://doi.org/10.1016/j.renene.2016.03.024</w:t>
        </w:r>
      </w:hyperlink>
      <w:r>
        <w:rPr>
          <w:rFonts w:asciiTheme="majorBidi" w:hAnsiTheme="majorBidi" w:cstheme="majorBidi"/>
          <w:color w:val="000000" w:themeColor="text1"/>
          <w:sz w:val="20"/>
          <w:szCs w:val="20"/>
        </w:rPr>
        <w:t>.</w:t>
      </w:r>
      <w:r w:rsidR="0020622C">
        <w:rPr>
          <w:rFonts w:asciiTheme="majorBidi" w:hAnsiTheme="majorBidi" w:cstheme="majorBidi"/>
          <w:color w:val="000000" w:themeColor="text1"/>
          <w:sz w:val="20"/>
          <w:szCs w:val="20"/>
        </w:rPr>
        <w:t xml:space="preserve"> </w:t>
      </w:r>
      <w:r>
        <w:rPr>
          <w:rFonts w:asciiTheme="majorBidi" w:hAnsiTheme="majorBidi" w:cstheme="majorBidi"/>
          <w:color w:val="000000" w:themeColor="text1"/>
          <w:sz w:val="20"/>
          <w:szCs w:val="20"/>
        </w:rPr>
        <w:t xml:space="preserve"> </w:t>
      </w:r>
    </w:p>
    <w:p w14:paraId="336A0D8C" w14:textId="06CD3E3F" w:rsidR="00DC2ACD" w:rsidRPr="00691974" w:rsidRDefault="00DC2ACD" w:rsidP="00DC2ACD">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691974">
        <w:rPr>
          <w:rFonts w:asciiTheme="majorBidi" w:hAnsiTheme="majorBidi" w:cstheme="majorBidi"/>
          <w:color w:val="000000" w:themeColor="text1"/>
          <w:sz w:val="20"/>
          <w:szCs w:val="20"/>
        </w:rPr>
        <w:t xml:space="preserve">Robertson, A.N.; Wendt, F.; Jonkman, J.M.; Popko, W.; Dagher, H.; </w:t>
      </w:r>
      <w:proofErr w:type="spellStart"/>
      <w:r w:rsidRPr="00691974">
        <w:rPr>
          <w:rFonts w:asciiTheme="majorBidi" w:hAnsiTheme="majorBidi" w:cstheme="majorBidi"/>
          <w:color w:val="000000" w:themeColor="text1"/>
          <w:sz w:val="20"/>
          <w:szCs w:val="20"/>
        </w:rPr>
        <w:t>Gueydon</w:t>
      </w:r>
      <w:proofErr w:type="spellEnd"/>
      <w:r w:rsidRPr="00691974">
        <w:rPr>
          <w:rFonts w:asciiTheme="majorBidi" w:hAnsiTheme="majorBidi" w:cstheme="majorBidi"/>
          <w:color w:val="000000" w:themeColor="text1"/>
          <w:sz w:val="20"/>
          <w:szCs w:val="20"/>
        </w:rPr>
        <w:t xml:space="preserve">, S.; Qvist, J.; Vittori, F.; Azcona, J.; </w:t>
      </w:r>
      <w:proofErr w:type="spellStart"/>
      <w:r w:rsidRPr="00691974">
        <w:rPr>
          <w:rFonts w:asciiTheme="majorBidi" w:hAnsiTheme="majorBidi" w:cstheme="majorBidi"/>
          <w:color w:val="000000" w:themeColor="text1"/>
          <w:sz w:val="20"/>
          <w:szCs w:val="20"/>
        </w:rPr>
        <w:t>Uzunoglu</w:t>
      </w:r>
      <w:proofErr w:type="spellEnd"/>
      <w:r w:rsidRPr="00691974">
        <w:rPr>
          <w:rFonts w:asciiTheme="majorBidi" w:hAnsiTheme="majorBidi" w:cstheme="majorBidi"/>
          <w:color w:val="000000" w:themeColor="text1"/>
          <w:sz w:val="20"/>
          <w:szCs w:val="20"/>
        </w:rPr>
        <w:t xml:space="preserve">, E.; et al. OC5 Project Phase II: Validation </w:t>
      </w:r>
      <w:r w:rsidRPr="00691974">
        <w:rPr>
          <w:rFonts w:asciiTheme="majorBidi" w:hAnsiTheme="majorBidi" w:cstheme="majorBidi"/>
          <w:color w:val="000000" w:themeColor="text1"/>
          <w:sz w:val="20"/>
          <w:szCs w:val="20"/>
        </w:rPr>
        <w:lastRenderedPageBreak/>
        <w:t xml:space="preserve">of global loads of the </w:t>
      </w:r>
      <w:proofErr w:type="spellStart"/>
      <w:r w:rsidRPr="00691974">
        <w:rPr>
          <w:rFonts w:asciiTheme="majorBidi" w:hAnsiTheme="majorBidi" w:cstheme="majorBidi"/>
          <w:color w:val="000000" w:themeColor="text1"/>
          <w:sz w:val="20"/>
          <w:szCs w:val="20"/>
        </w:rPr>
        <w:t>DeepCwind</w:t>
      </w:r>
      <w:proofErr w:type="spellEnd"/>
      <w:r w:rsidRPr="00691974">
        <w:rPr>
          <w:rFonts w:asciiTheme="majorBidi" w:hAnsiTheme="majorBidi" w:cstheme="majorBidi"/>
          <w:color w:val="000000" w:themeColor="text1"/>
          <w:sz w:val="20"/>
          <w:szCs w:val="20"/>
        </w:rPr>
        <w:t xml:space="preserve"> floating semisubmersible wind turbine. </w:t>
      </w:r>
      <w:r w:rsidRPr="00691974">
        <w:rPr>
          <w:rFonts w:asciiTheme="majorBidi" w:hAnsiTheme="majorBidi" w:cstheme="majorBidi"/>
          <w:i/>
          <w:iCs/>
          <w:color w:val="000000" w:themeColor="text1"/>
          <w:sz w:val="20"/>
          <w:szCs w:val="20"/>
        </w:rPr>
        <w:t>Energy Procedia</w:t>
      </w:r>
      <w:r w:rsidRPr="00691974">
        <w:rPr>
          <w:rFonts w:asciiTheme="majorBidi" w:hAnsiTheme="majorBidi" w:cstheme="majorBidi"/>
          <w:color w:val="000000" w:themeColor="text1"/>
          <w:sz w:val="20"/>
          <w:szCs w:val="20"/>
        </w:rPr>
        <w:t xml:space="preserve"> 2017, 137, 38–57. </w:t>
      </w:r>
      <w:hyperlink r:id="rId43" w:history="1">
        <w:r w:rsidRPr="00691974">
          <w:rPr>
            <w:rFonts w:asciiTheme="majorBidi" w:hAnsiTheme="majorBidi" w:cstheme="majorBidi"/>
            <w:color w:val="000000" w:themeColor="text1"/>
            <w:sz w:val="20"/>
            <w:szCs w:val="20"/>
          </w:rPr>
          <w:t>https://doi.org/10.1016/j.egypro.2017.10.333</w:t>
        </w:r>
      </w:hyperlink>
      <w:r>
        <w:rPr>
          <w:rFonts w:asciiTheme="majorBidi" w:hAnsiTheme="majorBidi" w:cstheme="majorBidi"/>
          <w:color w:val="000000" w:themeColor="text1"/>
          <w:sz w:val="20"/>
          <w:szCs w:val="20"/>
        </w:rPr>
        <w:t>.</w:t>
      </w:r>
      <w:r w:rsidR="0020622C">
        <w:rPr>
          <w:rFonts w:asciiTheme="majorBidi" w:hAnsiTheme="majorBidi" w:cstheme="majorBidi"/>
          <w:color w:val="000000" w:themeColor="text1"/>
          <w:sz w:val="20"/>
          <w:szCs w:val="20"/>
        </w:rPr>
        <w:t xml:space="preserve"> </w:t>
      </w:r>
      <w:r>
        <w:rPr>
          <w:rFonts w:asciiTheme="majorBidi" w:hAnsiTheme="majorBidi" w:cstheme="majorBidi"/>
          <w:color w:val="000000" w:themeColor="text1"/>
          <w:sz w:val="20"/>
          <w:szCs w:val="20"/>
        </w:rPr>
        <w:t xml:space="preserve"> </w:t>
      </w:r>
    </w:p>
    <w:p w14:paraId="73C48377" w14:textId="6247E64B" w:rsidR="00DC2ACD" w:rsidRPr="00691974" w:rsidRDefault="00DC2ACD" w:rsidP="00DC2ACD">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691974">
        <w:rPr>
          <w:rFonts w:asciiTheme="majorBidi" w:hAnsiTheme="majorBidi" w:cstheme="majorBidi"/>
          <w:color w:val="000000" w:themeColor="text1"/>
          <w:sz w:val="20"/>
          <w:szCs w:val="20"/>
        </w:rPr>
        <w:t>Bayati, I.; Jonkman, J.; Robertson, A.; Platt, A. The effects of second-order hydrodynamics on a semisubmersible floating wind turbine</w:t>
      </w:r>
      <w:r w:rsidRPr="00691974">
        <w:rPr>
          <w:rFonts w:asciiTheme="majorBidi" w:hAnsiTheme="majorBidi" w:cstheme="majorBidi"/>
          <w:i/>
          <w:iCs/>
          <w:color w:val="000000" w:themeColor="text1"/>
          <w:sz w:val="20"/>
          <w:szCs w:val="20"/>
        </w:rPr>
        <w:t>. J. Phys. Conf. Ser</w:t>
      </w:r>
      <w:r w:rsidRPr="00691974">
        <w:rPr>
          <w:rFonts w:asciiTheme="majorBidi" w:hAnsiTheme="majorBidi" w:cstheme="majorBidi"/>
          <w:color w:val="000000" w:themeColor="text1"/>
          <w:sz w:val="20"/>
          <w:szCs w:val="20"/>
        </w:rPr>
        <w:t xml:space="preserve">. 2014, 524, 012094. </w:t>
      </w:r>
      <w:hyperlink r:id="rId44" w:history="1">
        <w:r w:rsidRPr="00691974">
          <w:rPr>
            <w:rStyle w:val="Hyperlink"/>
            <w:rFonts w:asciiTheme="majorBidi" w:hAnsiTheme="majorBidi" w:cstheme="majorBidi"/>
            <w:sz w:val="20"/>
            <w:szCs w:val="20"/>
          </w:rPr>
          <w:t>https://doi.org/10.1088/1742-6596/524/1/012094</w:t>
        </w:r>
      </w:hyperlink>
      <w:r w:rsidRPr="00691974">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54F45CEC" w14:textId="1D2A4443" w:rsidR="00DC2ACD" w:rsidRPr="00691974" w:rsidRDefault="00DC2ACD" w:rsidP="00DC2ACD">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691974">
        <w:rPr>
          <w:rFonts w:asciiTheme="majorBidi" w:hAnsiTheme="majorBidi" w:cstheme="majorBidi"/>
          <w:color w:val="000000" w:themeColor="text1"/>
          <w:sz w:val="20"/>
          <w:szCs w:val="20"/>
        </w:rPr>
        <w:t xml:space="preserve">Aubault, A.; Alves, M.; Sarmento, A.; </w:t>
      </w:r>
      <w:proofErr w:type="spellStart"/>
      <w:r w:rsidRPr="00691974">
        <w:rPr>
          <w:rFonts w:asciiTheme="majorBidi" w:hAnsiTheme="majorBidi" w:cstheme="majorBidi"/>
          <w:color w:val="000000" w:themeColor="text1"/>
          <w:sz w:val="20"/>
          <w:szCs w:val="20"/>
        </w:rPr>
        <w:t>Roddier</w:t>
      </w:r>
      <w:proofErr w:type="spellEnd"/>
      <w:r w:rsidRPr="00691974">
        <w:rPr>
          <w:rFonts w:asciiTheme="majorBidi" w:hAnsiTheme="majorBidi" w:cstheme="majorBidi"/>
          <w:color w:val="000000" w:themeColor="text1"/>
          <w:sz w:val="20"/>
          <w:szCs w:val="20"/>
        </w:rPr>
        <w:t xml:space="preserve">, D.; Peiffer, A. </w:t>
      </w:r>
      <w:proofErr w:type="spellStart"/>
      <w:r w:rsidRPr="00691974">
        <w:rPr>
          <w:rFonts w:asciiTheme="majorBidi" w:hAnsiTheme="majorBidi" w:cstheme="majorBidi"/>
          <w:color w:val="000000" w:themeColor="text1"/>
          <w:sz w:val="20"/>
          <w:szCs w:val="20"/>
        </w:rPr>
        <w:t>Modeling</w:t>
      </w:r>
      <w:proofErr w:type="spellEnd"/>
      <w:r w:rsidRPr="00691974">
        <w:rPr>
          <w:rFonts w:asciiTheme="majorBidi" w:hAnsiTheme="majorBidi" w:cstheme="majorBidi"/>
          <w:color w:val="000000" w:themeColor="text1"/>
          <w:sz w:val="20"/>
          <w:szCs w:val="20"/>
        </w:rPr>
        <w:t xml:space="preserve"> of an oscillating water column on the floating foundation </w:t>
      </w:r>
      <w:proofErr w:type="spellStart"/>
      <w:r w:rsidRPr="00691974">
        <w:rPr>
          <w:rFonts w:asciiTheme="majorBidi" w:hAnsiTheme="majorBidi" w:cstheme="majorBidi"/>
          <w:color w:val="000000" w:themeColor="text1"/>
          <w:sz w:val="20"/>
          <w:szCs w:val="20"/>
        </w:rPr>
        <w:t>WindFloat</w:t>
      </w:r>
      <w:proofErr w:type="spellEnd"/>
      <w:r w:rsidRPr="00691974">
        <w:rPr>
          <w:rFonts w:asciiTheme="majorBidi" w:hAnsiTheme="majorBidi" w:cstheme="majorBidi"/>
          <w:color w:val="000000" w:themeColor="text1"/>
          <w:sz w:val="20"/>
          <w:szCs w:val="20"/>
        </w:rPr>
        <w:t xml:space="preserve">. In </w:t>
      </w:r>
      <w:r w:rsidRPr="00691974">
        <w:rPr>
          <w:rFonts w:asciiTheme="majorBidi" w:hAnsiTheme="majorBidi" w:cstheme="majorBidi"/>
          <w:i/>
          <w:iCs/>
          <w:color w:val="000000" w:themeColor="text1"/>
          <w:sz w:val="20"/>
          <w:szCs w:val="20"/>
        </w:rPr>
        <w:t>Proceedings of the ASME 2011 30th International Conference on Ocean, Offshore and Arctic Engineering</w:t>
      </w:r>
      <w:r w:rsidRPr="00691974">
        <w:rPr>
          <w:rFonts w:asciiTheme="majorBidi" w:hAnsiTheme="majorBidi" w:cstheme="majorBidi"/>
          <w:color w:val="000000" w:themeColor="text1"/>
          <w:sz w:val="20"/>
          <w:szCs w:val="20"/>
        </w:rPr>
        <w:t xml:space="preserve">, Rotterdam, The Netherlands, 19–24 June 2011; pp. 235–246. </w:t>
      </w:r>
      <w:hyperlink r:id="rId45" w:history="1">
        <w:r w:rsidRPr="00691974">
          <w:rPr>
            <w:rStyle w:val="Hyperlink"/>
            <w:rFonts w:asciiTheme="majorBidi" w:hAnsiTheme="majorBidi" w:cstheme="majorBidi"/>
            <w:sz w:val="20"/>
            <w:szCs w:val="20"/>
          </w:rPr>
          <w:t>https://doi.org/10.1115/OMAE2011-49014</w:t>
        </w:r>
      </w:hyperlink>
      <w:r w:rsidRPr="00691974">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3D9DAAC4" w14:textId="07826889" w:rsidR="00DC2ACD" w:rsidRPr="00691974" w:rsidRDefault="00DC2ACD" w:rsidP="00DC2ACD">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691974">
        <w:rPr>
          <w:rFonts w:asciiTheme="majorBidi" w:hAnsiTheme="majorBidi" w:cstheme="majorBidi"/>
          <w:color w:val="000000" w:themeColor="text1"/>
          <w:sz w:val="20"/>
          <w:szCs w:val="20"/>
        </w:rPr>
        <w:t xml:space="preserve">Jonkman, J.; Musial, W. Offshore Code Comparison Collaboration (OC3) for IEA Wind Task 23 Offshore Wind Technology and Deployment; </w:t>
      </w:r>
      <w:r w:rsidRPr="00691974">
        <w:rPr>
          <w:rFonts w:asciiTheme="majorBidi" w:hAnsiTheme="majorBidi" w:cstheme="majorBidi"/>
          <w:i/>
          <w:iCs/>
          <w:color w:val="000000" w:themeColor="text1"/>
          <w:sz w:val="20"/>
          <w:szCs w:val="20"/>
        </w:rPr>
        <w:t>National Renewable Energy Laboratory</w:t>
      </w:r>
      <w:r w:rsidRPr="00691974">
        <w:rPr>
          <w:rFonts w:asciiTheme="majorBidi" w:hAnsiTheme="majorBidi" w:cstheme="majorBidi"/>
          <w:color w:val="000000" w:themeColor="text1"/>
          <w:sz w:val="20"/>
          <w:szCs w:val="20"/>
        </w:rPr>
        <w:t xml:space="preserve">: Golden, CO, USA, 2010; NREL/TP-5000-48191. </w:t>
      </w:r>
      <w:hyperlink r:id="rId46" w:history="1">
        <w:r w:rsidRPr="00691974">
          <w:rPr>
            <w:rStyle w:val="Hyperlink"/>
            <w:rFonts w:asciiTheme="majorBidi" w:hAnsiTheme="majorBidi" w:cstheme="majorBidi"/>
            <w:sz w:val="20"/>
            <w:szCs w:val="20"/>
          </w:rPr>
          <w:t>https://doi.org/10.2172/1004009</w:t>
        </w:r>
      </w:hyperlink>
      <w:r w:rsidRPr="00691974">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64AD03A8" w14:textId="1E10E559" w:rsidR="00DC2ACD" w:rsidRPr="00691974" w:rsidRDefault="00DC2ACD" w:rsidP="00DC2ACD">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proofErr w:type="spellStart"/>
      <w:r w:rsidRPr="00691974">
        <w:rPr>
          <w:rFonts w:asciiTheme="majorBidi" w:hAnsiTheme="majorBidi" w:cstheme="majorBidi"/>
          <w:color w:val="000000" w:themeColor="text1"/>
          <w:sz w:val="20"/>
          <w:szCs w:val="20"/>
        </w:rPr>
        <w:t>Sclavounos</w:t>
      </w:r>
      <w:proofErr w:type="spellEnd"/>
      <w:r w:rsidRPr="00691974">
        <w:rPr>
          <w:rFonts w:asciiTheme="majorBidi" w:hAnsiTheme="majorBidi" w:cstheme="majorBidi"/>
          <w:color w:val="000000" w:themeColor="text1"/>
          <w:sz w:val="20"/>
          <w:szCs w:val="20"/>
        </w:rPr>
        <w:t xml:space="preserve">, P.D.; Tracy, C.; Lee, S. Floating offshore wind turbines: Responses in a </w:t>
      </w:r>
      <w:proofErr w:type="spellStart"/>
      <w:r w:rsidRPr="00691974">
        <w:rPr>
          <w:rFonts w:asciiTheme="majorBidi" w:hAnsiTheme="majorBidi" w:cstheme="majorBidi"/>
          <w:color w:val="000000" w:themeColor="text1"/>
          <w:sz w:val="20"/>
          <w:szCs w:val="20"/>
        </w:rPr>
        <w:t>seastate</w:t>
      </w:r>
      <w:proofErr w:type="spellEnd"/>
      <w:r w:rsidRPr="00691974">
        <w:rPr>
          <w:rFonts w:asciiTheme="majorBidi" w:hAnsiTheme="majorBidi" w:cstheme="majorBidi"/>
          <w:color w:val="000000" w:themeColor="text1"/>
          <w:sz w:val="20"/>
          <w:szCs w:val="20"/>
        </w:rPr>
        <w:t xml:space="preserve">, Pareto optimal designs and economic assessment. In </w:t>
      </w:r>
      <w:r w:rsidRPr="00691974">
        <w:rPr>
          <w:rFonts w:asciiTheme="majorBidi" w:hAnsiTheme="majorBidi" w:cstheme="majorBidi"/>
          <w:i/>
          <w:iCs/>
          <w:color w:val="000000" w:themeColor="text1"/>
          <w:sz w:val="20"/>
          <w:szCs w:val="20"/>
        </w:rPr>
        <w:t>Proceedings of the ASME 2008 27th International Conference on Offshore Mechanics and Arctic Engineering</w:t>
      </w:r>
      <w:r w:rsidRPr="00691974">
        <w:rPr>
          <w:rFonts w:asciiTheme="majorBidi" w:hAnsiTheme="majorBidi" w:cstheme="majorBidi"/>
          <w:color w:val="000000" w:themeColor="text1"/>
          <w:sz w:val="20"/>
          <w:szCs w:val="20"/>
        </w:rPr>
        <w:t xml:space="preserve">, Estoril, Portugal, 15–20 June 2008; pp. 31–41. </w:t>
      </w:r>
      <w:hyperlink r:id="rId47" w:history="1">
        <w:r w:rsidRPr="00691974">
          <w:rPr>
            <w:rStyle w:val="Hyperlink"/>
            <w:rFonts w:asciiTheme="majorBidi" w:hAnsiTheme="majorBidi" w:cstheme="majorBidi"/>
            <w:sz w:val="20"/>
            <w:szCs w:val="20"/>
          </w:rPr>
          <w:t>https://doi.org/10.1115/OMAE2008-57056</w:t>
        </w:r>
      </w:hyperlink>
      <w:r w:rsidRPr="00691974">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5C7237CB" w14:textId="5D248A0A" w:rsidR="00DC2ACD" w:rsidRPr="00691974" w:rsidRDefault="00DC2ACD" w:rsidP="00DC2ACD">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691974">
        <w:rPr>
          <w:rFonts w:asciiTheme="majorBidi" w:hAnsiTheme="majorBidi" w:cstheme="majorBidi"/>
          <w:color w:val="000000" w:themeColor="text1"/>
          <w:sz w:val="20"/>
          <w:szCs w:val="20"/>
        </w:rPr>
        <w:t xml:space="preserve">Wayman, E.N.; </w:t>
      </w:r>
      <w:proofErr w:type="spellStart"/>
      <w:r w:rsidRPr="00691974">
        <w:rPr>
          <w:rFonts w:asciiTheme="majorBidi" w:hAnsiTheme="majorBidi" w:cstheme="majorBidi"/>
          <w:color w:val="000000" w:themeColor="text1"/>
          <w:sz w:val="20"/>
          <w:szCs w:val="20"/>
        </w:rPr>
        <w:t>Sclavounos</w:t>
      </w:r>
      <w:proofErr w:type="spellEnd"/>
      <w:r w:rsidRPr="00691974">
        <w:rPr>
          <w:rFonts w:asciiTheme="majorBidi" w:hAnsiTheme="majorBidi" w:cstheme="majorBidi"/>
          <w:color w:val="000000" w:themeColor="text1"/>
          <w:sz w:val="20"/>
          <w:szCs w:val="20"/>
        </w:rPr>
        <w:t xml:space="preserve">, P.D.; Butterfield, S.; Jonkman, J.; Musial, W. Coupled dynamic </w:t>
      </w:r>
      <w:proofErr w:type="spellStart"/>
      <w:r w:rsidRPr="00691974">
        <w:rPr>
          <w:rFonts w:asciiTheme="majorBidi" w:hAnsiTheme="majorBidi" w:cstheme="majorBidi"/>
          <w:color w:val="000000" w:themeColor="text1"/>
          <w:sz w:val="20"/>
          <w:szCs w:val="20"/>
        </w:rPr>
        <w:t>modeling</w:t>
      </w:r>
      <w:proofErr w:type="spellEnd"/>
      <w:r w:rsidRPr="00691974">
        <w:rPr>
          <w:rFonts w:asciiTheme="majorBidi" w:hAnsiTheme="majorBidi" w:cstheme="majorBidi"/>
          <w:color w:val="000000" w:themeColor="text1"/>
          <w:sz w:val="20"/>
          <w:szCs w:val="20"/>
        </w:rPr>
        <w:t xml:space="preserve"> of floating wind turbine systems. In </w:t>
      </w:r>
      <w:r w:rsidRPr="00691974">
        <w:rPr>
          <w:rFonts w:asciiTheme="majorBidi" w:hAnsiTheme="majorBidi" w:cstheme="majorBidi"/>
          <w:i/>
          <w:iCs/>
          <w:color w:val="000000" w:themeColor="text1"/>
          <w:sz w:val="20"/>
          <w:szCs w:val="20"/>
        </w:rPr>
        <w:t>Proceedings of the Offshore Technology Conference</w:t>
      </w:r>
      <w:r w:rsidRPr="00691974">
        <w:rPr>
          <w:rFonts w:asciiTheme="majorBidi" w:hAnsiTheme="majorBidi" w:cstheme="majorBidi"/>
          <w:color w:val="000000" w:themeColor="text1"/>
          <w:sz w:val="20"/>
          <w:szCs w:val="20"/>
        </w:rPr>
        <w:t xml:space="preserve">, Houston, TX, USA, 1–4 May 2006; Paper No. OTC-18287-MS. </w:t>
      </w:r>
      <w:hyperlink r:id="rId48" w:history="1">
        <w:r w:rsidRPr="00691974">
          <w:rPr>
            <w:rStyle w:val="Hyperlink"/>
            <w:rFonts w:asciiTheme="majorBidi" w:hAnsiTheme="majorBidi" w:cstheme="majorBidi"/>
            <w:sz w:val="20"/>
            <w:szCs w:val="20"/>
          </w:rPr>
          <w:t>https://doi.org/10.4043/18287-MS</w:t>
        </w:r>
      </w:hyperlink>
      <w:r w:rsidRPr="00691974">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24D358F0" w14:textId="6210F27E" w:rsidR="00DC2ACD" w:rsidRPr="00691974" w:rsidRDefault="00DC2ACD" w:rsidP="00DC2ACD">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691974">
        <w:rPr>
          <w:rFonts w:asciiTheme="majorBidi" w:hAnsiTheme="majorBidi" w:cstheme="majorBidi"/>
          <w:color w:val="000000" w:themeColor="text1"/>
          <w:sz w:val="20"/>
          <w:szCs w:val="20"/>
        </w:rPr>
        <w:t xml:space="preserve">Bae, Y.H.; Kim, M.H. Coupled dynamic analysis of multiple wind turbines on a large single floater. </w:t>
      </w:r>
      <w:r w:rsidRPr="00691974">
        <w:rPr>
          <w:rFonts w:asciiTheme="majorBidi" w:hAnsiTheme="majorBidi" w:cstheme="majorBidi"/>
          <w:i/>
          <w:iCs/>
          <w:color w:val="000000" w:themeColor="text1"/>
          <w:sz w:val="20"/>
          <w:szCs w:val="20"/>
        </w:rPr>
        <w:t>Ocean Eng.</w:t>
      </w:r>
      <w:r w:rsidRPr="00691974">
        <w:rPr>
          <w:rFonts w:asciiTheme="majorBidi" w:hAnsiTheme="majorBidi" w:cstheme="majorBidi"/>
          <w:color w:val="000000" w:themeColor="text1"/>
          <w:sz w:val="20"/>
          <w:szCs w:val="20"/>
        </w:rPr>
        <w:t xml:space="preserve"> 2014, 92, 175–187. </w:t>
      </w:r>
      <w:hyperlink r:id="rId49" w:history="1">
        <w:r w:rsidRPr="00691974">
          <w:rPr>
            <w:rStyle w:val="Hyperlink"/>
            <w:rFonts w:asciiTheme="majorBidi" w:hAnsiTheme="majorBidi" w:cstheme="majorBidi"/>
            <w:sz w:val="20"/>
            <w:szCs w:val="20"/>
          </w:rPr>
          <w:t>https://doi.org/10.1016/j.oceaneng.2014.10.001</w:t>
        </w:r>
      </w:hyperlink>
      <w:r w:rsidRPr="00691974">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5B07C222" w14:textId="254A1BAC" w:rsidR="00DC2ACD" w:rsidRPr="00691974" w:rsidRDefault="00DC2ACD" w:rsidP="00DC2ACD">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proofErr w:type="spellStart"/>
      <w:r w:rsidRPr="00691974">
        <w:rPr>
          <w:rFonts w:asciiTheme="majorBidi" w:hAnsiTheme="majorBidi" w:cstheme="majorBidi"/>
          <w:color w:val="000000" w:themeColor="text1"/>
          <w:sz w:val="20"/>
          <w:szCs w:val="20"/>
        </w:rPr>
        <w:t>Falnes</w:t>
      </w:r>
      <w:proofErr w:type="spellEnd"/>
      <w:r w:rsidRPr="00691974">
        <w:rPr>
          <w:rFonts w:asciiTheme="majorBidi" w:hAnsiTheme="majorBidi" w:cstheme="majorBidi"/>
          <w:color w:val="000000" w:themeColor="text1"/>
          <w:sz w:val="20"/>
          <w:szCs w:val="20"/>
        </w:rPr>
        <w:t xml:space="preserve">, J. A review of wave-energy extraction. </w:t>
      </w:r>
      <w:r w:rsidRPr="00691974">
        <w:rPr>
          <w:rFonts w:asciiTheme="majorBidi" w:hAnsiTheme="majorBidi" w:cstheme="majorBidi"/>
          <w:i/>
          <w:iCs/>
          <w:color w:val="000000" w:themeColor="text1"/>
          <w:sz w:val="20"/>
          <w:szCs w:val="20"/>
        </w:rPr>
        <w:t>Mar. Struct.</w:t>
      </w:r>
      <w:r w:rsidRPr="00691974">
        <w:rPr>
          <w:rFonts w:asciiTheme="majorBidi" w:hAnsiTheme="majorBidi" w:cstheme="majorBidi"/>
          <w:color w:val="000000" w:themeColor="text1"/>
          <w:sz w:val="20"/>
          <w:szCs w:val="20"/>
        </w:rPr>
        <w:t xml:space="preserve"> 2007, 20, 185–201. </w:t>
      </w:r>
      <w:hyperlink r:id="rId50" w:history="1">
        <w:r w:rsidRPr="00691974">
          <w:rPr>
            <w:rStyle w:val="Hyperlink"/>
            <w:rFonts w:asciiTheme="majorBidi" w:hAnsiTheme="majorBidi" w:cstheme="majorBidi"/>
            <w:sz w:val="20"/>
            <w:szCs w:val="20"/>
          </w:rPr>
          <w:t>https://doi.org/10.1016/j.marstruc.2007.09.001</w:t>
        </w:r>
      </w:hyperlink>
      <w:r w:rsidRPr="00691974">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53AF6F1D" w14:textId="2DF096C3" w:rsidR="00DC2ACD" w:rsidRPr="00691974" w:rsidRDefault="00DC2ACD" w:rsidP="00DC2ACD">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proofErr w:type="spellStart"/>
      <w:r w:rsidRPr="00691974">
        <w:rPr>
          <w:rFonts w:asciiTheme="majorBidi" w:hAnsiTheme="majorBidi" w:cstheme="majorBidi"/>
          <w:color w:val="000000" w:themeColor="text1"/>
          <w:sz w:val="20"/>
          <w:szCs w:val="20"/>
        </w:rPr>
        <w:t>Muliawan</w:t>
      </w:r>
      <w:proofErr w:type="spellEnd"/>
      <w:r w:rsidRPr="00691974">
        <w:rPr>
          <w:rFonts w:asciiTheme="majorBidi" w:hAnsiTheme="majorBidi" w:cstheme="majorBidi"/>
          <w:color w:val="000000" w:themeColor="text1"/>
          <w:sz w:val="20"/>
          <w:szCs w:val="20"/>
        </w:rPr>
        <w:t xml:space="preserve">, M.J.; </w:t>
      </w:r>
      <w:proofErr w:type="spellStart"/>
      <w:r w:rsidRPr="00691974">
        <w:rPr>
          <w:rFonts w:asciiTheme="majorBidi" w:hAnsiTheme="majorBidi" w:cstheme="majorBidi"/>
          <w:color w:val="000000" w:themeColor="text1"/>
          <w:sz w:val="20"/>
          <w:szCs w:val="20"/>
        </w:rPr>
        <w:t>Karimirad</w:t>
      </w:r>
      <w:proofErr w:type="spellEnd"/>
      <w:r w:rsidRPr="00691974">
        <w:rPr>
          <w:rFonts w:asciiTheme="majorBidi" w:hAnsiTheme="majorBidi" w:cstheme="majorBidi"/>
          <w:color w:val="000000" w:themeColor="text1"/>
          <w:sz w:val="20"/>
          <w:szCs w:val="20"/>
        </w:rPr>
        <w:t xml:space="preserve">, M.; Moan, T. Dynamic response and power performance of a combined spar-type floating wind turbine and coaxial floating wave energy converter. </w:t>
      </w:r>
      <w:r w:rsidRPr="00691974">
        <w:rPr>
          <w:rFonts w:asciiTheme="majorBidi" w:hAnsiTheme="majorBidi" w:cstheme="majorBidi"/>
          <w:i/>
          <w:iCs/>
          <w:color w:val="000000" w:themeColor="text1"/>
          <w:sz w:val="20"/>
          <w:szCs w:val="20"/>
        </w:rPr>
        <w:t>Renew. Energy</w:t>
      </w:r>
      <w:r w:rsidRPr="00691974">
        <w:rPr>
          <w:rFonts w:asciiTheme="majorBidi" w:hAnsiTheme="majorBidi" w:cstheme="majorBidi"/>
          <w:color w:val="000000" w:themeColor="text1"/>
          <w:sz w:val="20"/>
          <w:szCs w:val="20"/>
        </w:rPr>
        <w:t xml:space="preserve"> 2013, 50, 47–57. </w:t>
      </w:r>
      <w:hyperlink r:id="rId51" w:history="1">
        <w:r w:rsidR="00C9712A" w:rsidRPr="00691974">
          <w:rPr>
            <w:rStyle w:val="Hyperlink"/>
            <w:rFonts w:asciiTheme="majorBidi" w:hAnsiTheme="majorBidi" w:cstheme="majorBidi"/>
            <w:sz w:val="20"/>
            <w:szCs w:val="20"/>
          </w:rPr>
          <w:t>https://doi.org/10.1016/j.renene.2012.05.025</w:t>
        </w:r>
      </w:hyperlink>
      <w:r w:rsidRPr="00691974">
        <w:rPr>
          <w:rFonts w:asciiTheme="majorBidi" w:hAnsiTheme="majorBidi" w:cstheme="majorBidi"/>
          <w:color w:val="000000" w:themeColor="text1"/>
          <w:sz w:val="20"/>
          <w:szCs w:val="20"/>
        </w:rPr>
        <w:t>.</w:t>
      </w:r>
      <w:r w:rsidR="00C9712A">
        <w:rPr>
          <w:rFonts w:asciiTheme="majorBidi" w:hAnsiTheme="majorBidi" w:cstheme="majorBidi"/>
          <w:color w:val="000000" w:themeColor="text1"/>
          <w:sz w:val="20"/>
          <w:szCs w:val="20"/>
        </w:rPr>
        <w:t xml:space="preserve"> </w:t>
      </w:r>
    </w:p>
    <w:p w14:paraId="0C46806F" w14:textId="4BD340E0" w:rsidR="00DC2ACD" w:rsidRPr="00691974" w:rsidRDefault="00DC2ACD" w:rsidP="00DC2ACD">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691974">
        <w:rPr>
          <w:rFonts w:asciiTheme="majorBidi" w:hAnsiTheme="majorBidi" w:cstheme="majorBidi"/>
          <w:color w:val="000000" w:themeColor="text1"/>
          <w:sz w:val="20"/>
          <w:szCs w:val="20"/>
        </w:rPr>
        <w:t xml:space="preserve">Hals, J.; </w:t>
      </w:r>
      <w:proofErr w:type="spellStart"/>
      <w:r w:rsidRPr="00691974">
        <w:rPr>
          <w:rFonts w:asciiTheme="majorBidi" w:hAnsiTheme="majorBidi" w:cstheme="majorBidi"/>
          <w:color w:val="000000" w:themeColor="text1"/>
          <w:sz w:val="20"/>
          <w:szCs w:val="20"/>
        </w:rPr>
        <w:t>Falnes</w:t>
      </w:r>
      <w:proofErr w:type="spellEnd"/>
      <w:r w:rsidRPr="00691974">
        <w:rPr>
          <w:rFonts w:asciiTheme="majorBidi" w:hAnsiTheme="majorBidi" w:cstheme="majorBidi"/>
          <w:color w:val="000000" w:themeColor="text1"/>
          <w:sz w:val="20"/>
          <w:szCs w:val="20"/>
        </w:rPr>
        <w:t xml:space="preserve">, J.; Moan, T. A comparison of selected strategies for adaptive control of wave energy converters. </w:t>
      </w:r>
      <w:r w:rsidRPr="00691974">
        <w:rPr>
          <w:rFonts w:asciiTheme="majorBidi" w:hAnsiTheme="majorBidi" w:cstheme="majorBidi"/>
          <w:i/>
          <w:iCs/>
          <w:color w:val="000000" w:themeColor="text1"/>
          <w:sz w:val="20"/>
          <w:szCs w:val="20"/>
        </w:rPr>
        <w:t xml:space="preserve">J. Offshore Mech. </w:t>
      </w:r>
      <w:proofErr w:type="spellStart"/>
      <w:r w:rsidRPr="00691974">
        <w:rPr>
          <w:rFonts w:asciiTheme="majorBidi" w:hAnsiTheme="majorBidi" w:cstheme="majorBidi"/>
          <w:i/>
          <w:iCs/>
          <w:color w:val="000000" w:themeColor="text1"/>
          <w:sz w:val="20"/>
          <w:szCs w:val="20"/>
        </w:rPr>
        <w:t>Arct</w:t>
      </w:r>
      <w:proofErr w:type="spellEnd"/>
      <w:r w:rsidRPr="00691974">
        <w:rPr>
          <w:rFonts w:asciiTheme="majorBidi" w:hAnsiTheme="majorBidi" w:cstheme="majorBidi"/>
          <w:i/>
          <w:iCs/>
          <w:color w:val="000000" w:themeColor="text1"/>
          <w:sz w:val="20"/>
          <w:szCs w:val="20"/>
        </w:rPr>
        <w:t>. Eng</w:t>
      </w:r>
      <w:r w:rsidRPr="00691974">
        <w:rPr>
          <w:rFonts w:asciiTheme="majorBidi" w:hAnsiTheme="majorBidi" w:cstheme="majorBidi"/>
          <w:color w:val="000000" w:themeColor="text1"/>
          <w:sz w:val="20"/>
          <w:szCs w:val="20"/>
        </w:rPr>
        <w:t xml:space="preserve">. 2011, 133, 031101. </w:t>
      </w:r>
      <w:hyperlink r:id="rId52" w:history="1">
        <w:r w:rsidRPr="00691974">
          <w:rPr>
            <w:rStyle w:val="Hyperlink"/>
            <w:rFonts w:asciiTheme="majorBidi" w:hAnsiTheme="majorBidi" w:cstheme="majorBidi"/>
            <w:sz w:val="20"/>
            <w:szCs w:val="20"/>
          </w:rPr>
          <w:t>https://doi.org/10.1115/1.4002735</w:t>
        </w:r>
      </w:hyperlink>
      <w:r w:rsidRPr="00691974">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07B9CE16" w14:textId="779CD755" w:rsidR="00DC2ACD" w:rsidRPr="00691974" w:rsidRDefault="00DC2ACD" w:rsidP="00DC2ACD">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proofErr w:type="spellStart"/>
      <w:r w:rsidRPr="00691974">
        <w:rPr>
          <w:rFonts w:asciiTheme="majorBidi" w:hAnsiTheme="majorBidi" w:cstheme="majorBidi"/>
          <w:color w:val="000000" w:themeColor="text1"/>
          <w:sz w:val="20"/>
          <w:szCs w:val="20"/>
        </w:rPr>
        <w:t>Muliawan</w:t>
      </w:r>
      <w:proofErr w:type="spellEnd"/>
      <w:r w:rsidRPr="00691974">
        <w:rPr>
          <w:rFonts w:asciiTheme="majorBidi" w:hAnsiTheme="majorBidi" w:cstheme="majorBidi"/>
          <w:color w:val="000000" w:themeColor="text1"/>
          <w:sz w:val="20"/>
          <w:szCs w:val="20"/>
        </w:rPr>
        <w:t xml:space="preserve">, M.J.; </w:t>
      </w:r>
      <w:proofErr w:type="spellStart"/>
      <w:r w:rsidRPr="00691974">
        <w:rPr>
          <w:rFonts w:asciiTheme="majorBidi" w:hAnsiTheme="majorBidi" w:cstheme="majorBidi"/>
          <w:color w:val="000000" w:themeColor="text1"/>
          <w:sz w:val="20"/>
          <w:szCs w:val="20"/>
        </w:rPr>
        <w:t>Karimirad</w:t>
      </w:r>
      <w:proofErr w:type="spellEnd"/>
      <w:r w:rsidRPr="00691974">
        <w:rPr>
          <w:rFonts w:asciiTheme="majorBidi" w:hAnsiTheme="majorBidi" w:cstheme="majorBidi"/>
          <w:color w:val="000000" w:themeColor="text1"/>
          <w:sz w:val="20"/>
          <w:szCs w:val="20"/>
        </w:rPr>
        <w:t xml:space="preserve">, M.; Gao, Z.; Moan, T. Extreme responses of a combined spar-type floating wind turbine and floating wave energy converter (STC) system with survival modes. </w:t>
      </w:r>
      <w:r w:rsidRPr="00691974">
        <w:rPr>
          <w:rFonts w:asciiTheme="majorBidi" w:hAnsiTheme="majorBidi" w:cstheme="majorBidi"/>
          <w:i/>
          <w:iCs/>
          <w:color w:val="000000" w:themeColor="text1"/>
          <w:sz w:val="20"/>
          <w:szCs w:val="20"/>
        </w:rPr>
        <w:t>Ocean Eng</w:t>
      </w:r>
      <w:r w:rsidRPr="00691974">
        <w:rPr>
          <w:rFonts w:asciiTheme="majorBidi" w:hAnsiTheme="majorBidi" w:cstheme="majorBidi"/>
          <w:color w:val="000000" w:themeColor="text1"/>
          <w:sz w:val="20"/>
          <w:szCs w:val="20"/>
        </w:rPr>
        <w:t xml:space="preserve">. 2013, 65, 71–82. </w:t>
      </w:r>
      <w:hyperlink r:id="rId53" w:history="1">
        <w:r w:rsidRPr="00691974">
          <w:rPr>
            <w:rStyle w:val="Hyperlink"/>
            <w:rFonts w:asciiTheme="majorBidi" w:hAnsiTheme="majorBidi" w:cstheme="majorBidi"/>
            <w:sz w:val="20"/>
            <w:szCs w:val="20"/>
          </w:rPr>
          <w:t>https://doi.org/10.1016/j.oceaneng.2013.03.002</w:t>
        </w:r>
      </w:hyperlink>
      <w:r w:rsidRPr="00691974">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7E23D876" w14:textId="77777777" w:rsidR="00DC2ACD" w:rsidRPr="00691974" w:rsidRDefault="00DC2ACD" w:rsidP="00DC2ACD">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691974">
        <w:rPr>
          <w:rFonts w:asciiTheme="majorBidi" w:hAnsiTheme="majorBidi" w:cstheme="majorBidi"/>
          <w:color w:val="000000" w:themeColor="text1"/>
          <w:sz w:val="20"/>
          <w:szCs w:val="20"/>
        </w:rPr>
        <w:t>Ocean Plug—</w:t>
      </w:r>
      <w:r w:rsidRPr="00691974">
        <w:rPr>
          <w:rFonts w:asciiTheme="majorBidi" w:hAnsiTheme="majorBidi" w:cstheme="majorBidi"/>
          <w:i/>
          <w:iCs/>
          <w:color w:val="000000" w:themeColor="text1"/>
          <w:sz w:val="20"/>
          <w:szCs w:val="20"/>
        </w:rPr>
        <w:t>Portuguese Pilot Zone</w:t>
      </w:r>
      <w:r w:rsidRPr="00691974">
        <w:rPr>
          <w:rFonts w:asciiTheme="majorBidi" w:hAnsiTheme="majorBidi" w:cstheme="majorBidi"/>
          <w:color w:val="000000" w:themeColor="text1"/>
          <w:sz w:val="20"/>
          <w:szCs w:val="20"/>
        </w:rPr>
        <w:t>. Available online: https://tethys.pnnl.gov/project-sites/ocean-plug-portuguese-pilot-zone (accessed on 4 November 2025).</w:t>
      </w:r>
    </w:p>
    <w:p w14:paraId="40342918" w14:textId="49A5EEE4" w:rsidR="00DC2ACD" w:rsidRPr="00691974" w:rsidRDefault="00DC2ACD" w:rsidP="00DC2ACD">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691974">
        <w:rPr>
          <w:rFonts w:asciiTheme="majorBidi" w:hAnsiTheme="majorBidi" w:cstheme="majorBidi"/>
          <w:color w:val="000000" w:themeColor="text1"/>
          <w:sz w:val="20"/>
          <w:szCs w:val="20"/>
        </w:rPr>
        <w:lastRenderedPageBreak/>
        <w:t xml:space="preserve">Falcão, A.F.O.; Henriques, J.C.C. Oscillating-water-column wave energy converters and air turbines: </w:t>
      </w:r>
      <w:r w:rsidRPr="00691974">
        <w:rPr>
          <w:rFonts w:asciiTheme="majorBidi" w:hAnsiTheme="majorBidi" w:cstheme="majorBidi"/>
          <w:i/>
          <w:iCs/>
          <w:color w:val="000000" w:themeColor="text1"/>
          <w:sz w:val="20"/>
          <w:szCs w:val="20"/>
        </w:rPr>
        <w:t>A review. Renew. Energy</w:t>
      </w:r>
      <w:r w:rsidRPr="00691974">
        <w:rPr>
          <w:rFonts w:asciiTheme="majorBidi" w:hAnsiTheme="majorBidi" w:cstheme="majorBidi"/>
          <w:color w:val="000000" w:themeColor="text1"/>
          <w:sz w:val="20"/>
          <w:szCs w:val="20"/>
        </w:rPr>
        <w:t xml:space="preserve"> 2016, 85, 1391–1424. </w:t>
      </w:r>
      <w:hyperlink r:id="rId54" w:history="1">
        <w:r w:rsidRPr="00691974">
          <w:rPr>
            <w:rStyle w:val="Hyperlink"/>
            <w:rFonts w:asciiTheme="majorBidi" w:hAnsiTheme="majorBidi" w:cstheme="majorBidi"/>
            <w:sz w:val="20"/>
            <w:szCs w:val="20"/>
          </w:rPr>
          <w:t>https://doi.org/10.1016/j.renene.2015.07.086</w:t>
        </w:r>
      </w:hyperlink>
      <w:r w:rsidRPr="00691974">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2C194BDF" w14:textId="16EEDA5F" w:rsidR="00DC2ACD" w:rsidRPr="00691974" w:rsidRDefault="00DC2ACD" w:rsidP="00DC2ACD">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proofErr w:type="spellStart"/>
      <w:r w:rsidRPr="00691974">
        <w:rPr>
          <w:rFonts w:asciiTheme="majorBidi" w:hAnsiTheme="majorBidi" w:cstheme="majorBidi"/>
          <w:color w:val="000000" w:themeColor="text1"/>
          <w:sz w:val="20"/>
          <w:szCs w:val="20"/>
        </w:rPr>
        <w:t>Vyzikas</w:t>
      </w:r>
      <w:proofErr w:type="spellEnd"/>
      <w:r w:rsidRPr="00691974">
        <w:rPr>
          <w:rFonts w:asciiTheme="majorBidi" w:hAnsiTheme="majorBidi" w:cstheme="majorBidi"/>
          <w:color w:val="000000" w:themeColor="text1"/>
          <w:sz w:val="20"/>
          <w:szCs w:val="20"/>
        </w:rPr>
        <w:t xml:space="preserve">, T.; </w:t>
      </w:r>
      <w:proofErr w:type="spellStart"/>
      <w:r w:rsidRPr="00691974">
        <w:rPr>
          <w:rFonts w:asciiTheme="majorBidi" w:hAnsiTheme="majorBidi" w:cstheme="majorBidi"/>
          <w:color w:val="000000" w:themeColor="text1"/>
          <w:sz w:val="20"/>
          <w:szCs w:val="20"/>
        </w:rPr>
        <w:t>Deshoulières</w:t>
      </w:r>
      <w:proofErr w:type="spellEnd"/>
      <w:r w:rsidRPr="00691974">
        <w:rPr>
          <w:rFonts w:asciiTheme="majorBidi" w:hAnsiTheme="majorBidi" w:cstheme="majorBidi"/>
          <w:color w:val="000000" w:themeColor="text1"/>
          <w:sz w:val="20"/>
          <w:szCs w:val="20"/>
        </w:rPr>
        <w:t xml:space="preserve">, S.; Barton, M.; Giroux, O.; Greaves, D.; Simmonds, D. Experimental investigation of different geometries of fixed oscillating water column devices for wave energy generation. </w:t>
      </w:r>
      <w:r w:rsidRPr="00691974">
        <w:rPr>
          <w:rFonts w:asciiTheme="majorBidi" w:hAnsiTheme="majorBidi" w:cstheme="majorBidi"/>
          <w:i/>
          <w:iCs/>
          <w:color w:val="000000" w:themeColor="text1"/>
          <w:sz w:val="20"/>
          <w:szCs w:val="20"/>
        </w:rPr>
        <w:t>Renew. Energy</w:t>
      </w:r>
      <w:r w:rsidRPr="00691974">
        <w:rPr>
          <w:rFonts w:asciiTheme="majorBidi" w:hAnsiTheme="majorBidi" w:cstheme="majorBidi"/>
          <w:color w:val="000000" w:themeColor="text1"/>
          <w:sz w:val="20"/>
          <w:szCs w:val="20"/>
        </w:rPr>
        <w:t xml:space="preserve"> 2017, 104, 248–258. </w:t>
      </w:r>
      <w:hyperlink r:id="rId55" w:history="1">
        <w:r w:rsidRPr="00691974">
          <w:rPr>
            <w:rStyle w:val="Hyperlink"/>
            <w:rFonts w:asciiTheme="majorBidi" w:hAnsiTheme="majorBidi" w:cstheme="majorBidi"/>
            <w:sz w:val="20"/>
            <w:szCs w:val="20"/>
          </w:rPr>
          <w:t>https://doi.org/10.1016/j.renene.2016.11.061</w:t>
        </w:r>
      </w:hyperlink>
      <w:r w:rsidRPr="00691974">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61806ECB" w14:textId="4F8E512C" w:rsidR="00DC2ACD" w:rsidRPr="00691974" w:rsidRDefault="00DC2ACD" w:rsidP="00DC2ACD">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691974">
        <w:rPr>
          <w:rFonts w:asciiTheme="majorBidi" w:hAnsiTheme="majorBidi" w:cstheme="majorBidi"/>
          <w:color w:val="000000" w:themeColor="text1"/>
          <w:sz w:val="20"/>
          <w:szCs w:val="20"/>
        </w:rPr>
        <w:t xml:space="preserve">Evans, D.V. The oscillating water column wave-energy device. </w:t>
      </w:r>
      <w:r w:rsidRPr="00691974">
        <w:rPr>
          <w:rFonts w:asciiTheme="majorBidi" w:hAnsiTheme="majorBidi" w:cstheme="majorBidi"/>
          <w:i/>
          <w:iCs/>
          <w:color w:val="000000" w:themeColor="text1"/>
          <w:sz w:val="20"/>
          <w:szCs w:val="20"/>
        </w:rPr>
        <w:t>IMA J. Appl. Math.</w:t>
      </w:r>
      <w:r w:rsidRPr="00691974">
        <w:rPr>
          <w:rFonts w:asciiTheme="majorBidi" w:hAnsiTheme="majorBidi" w:cstheme="majorBidi"/>
          <w:color w:val="000000" w:themeColor="text1"/>
          <w:sz w:val="20"/>
          <w:szCs w:val="20"/>
        </w:rPr>
        <w:t xml:space="preserve"> 1978, 22, 423–433. </w:t>
      </w:r>
      <w:hyperlink r:id="rId56" w:history="1">
        <w:r w:rsidRPr="00691974">
          <w:rPr>
            <w:rStyle w:val="Hyperlink"/>
            <w:rFonts w:asciiTheme="majorBidi" w:hAnsiTheme="majorBidi" w:cstheme="majorBidi"/>
            <w:sz w:val="20"/>
            <w:szCs w:val="20"/>
          </w:rPr>
          <w:t>https://doi.org/10.1093/imamat/22.4.423</w:t>
        </w:r>
      </w:hyperlink>
      <w:r w:rsidRPr="00691974">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17275836" w14:textId="77777777" w:rsidR="00DC2ACD" w:rsidRPr="00691974" w:rsidRDefault="00DC2ACD" w:rsidP="00DC2ACD">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691974">
        <w:rPr>
          <w:rFonts w:asciiTheme="majorBidi" w:hAnsiTheme="majorBidi" w:cstheme="majorBidi"/>
          <w:color w:val="000000" w:themeColor="text1"/>
          <w:sz w:val="20"/>
          <w:szCs w:val="20"/>
        </w:rPr>
        <w:t xml:space="preserve">Lewis, T.; Mauer, E. </w:t>
      </w:r>
      <w:r w:rsidRPr="00691974">
        <w:rPr>
          <w:rFonts w:asciiTheme="majorBidi" w:hAnsiTheme="majorBidi" w:cstheme="majorBidi"/>
          <w:i/>
          <w:iCs/>
          <w:color w:val="000000" w:themeColor="text1"/>
          <w:sz w:val="20"/>
          <w:szCs w:val="20"/>
        </w:rPr>
        <w:t>Demonstration of the Ocean Energy (OE) Buoy at U.S. Navy’s Wave Energy Test Site</w:t>
      </w:r>
      <w:r w:rsidRPr="00691974">
        <w:rPr>
          <w:rFonts w:asciiTheme="majorBidi" w:hAnsiTheme="majorBidi" w:cstheme="majorBidi"/>
          <w:color w:val="000000" w:themeColor="text1"/>
          <w:sz w:val="20"/>
          <w:szCs w:val="20"/>
        </w:rPr>
        <w:t>. Available online: https://www.energy.gov/sites/prod/files/2019/12/f69/07_EE0006924_OceanEnergy_Lewis_%20Mauer_Final.pdf (accessed on 18 November 2025).</w:t>
      </w:r>
    </w:p>
    <w:p w14:paraId="581ABFC2" w14:textId="7F7323F5" w:rsidR="005E0140" w:rsidRPr="005E0140" w:rsidRDefault="005E0140" w:rsidP="005E0140">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AF09A8">
        <w:rPr>
          <w:rFonts w:asciiTheme="majorBidi" w:hAnsiTheme="majorBidi" w:cstheme="majorBidi"/>
          <w:color w:val="000000" w:themeColor="text1"/>
          <w:sz w:val="20"/>
          <w:szCs w:val="20"/>
        </w:rPr>
        <w:t xml:space="preserve">Pols, A.; </w:t>
      </w:r>
      <w:proofErr w:type="spellStart"/>
      <w:r w:rsidRPr="00AF09A8">
        <w:rPr>
          <w:rFonts w:asciiTheme="majorBidi" w:hAnsiTheme="majorBidi" w:cstheme="majorBidi"/>
          <w:color w:val="000000" w:themeColor="text1"/>
          <w:sz w:val="20"/>
          <w:szCs w:val="20"/>
        </w:rPr>
        <w:t>Causon</w:t>
      </w:r>
      <w:proofErr w:type="spellEnd"/>
      <w:r w:rsidRPr="00AF09A8">
        <w:rPr>
          <w:rFonts w:asciiTheme="majorBidi" w:hAnsiTheme="majorBidi" w:cstheme="majorBidi"/>
          <w:color w:val="000000" w:themeColor="text1"/>
          <w:sz w:val="20"/>
          <w:szCs w:val="20"/>
        </w:rPr>
        <w:t xml:space="preserve">, D.; </w:t>
      </w:r>
      <w:proofErr w:type="spellStart"/>
      <w:r w:rsidRPr="00AF09A8">
        <w:rPr>
          <w:rFonts w:asciiTheme="majorBidi" w:hAnsiTheme="majorBidi" w:cstheme="majorBidi"/>
          <w:color w:val="000000" w:themeColor="text1"/>
          <w:sz w:val="20"/>
          <w:szCs w:val="20"/>
        </w:rPr>
        <w:t>Mingham</w:t>
      </w:r>
      <w:proofErr w:type="spellEnd"/>
      <w:r w:rsidRPr="00AF09A8">
        <w:rPr>
          <w:rFonts w:asciiTheme="majorBidi" w:hAnsiTheme="majorBidi" w:cstheme="majorBidi"/>
          <w:color w:val="000000" w:themeColor="text1"/>
          <w:sz w:val="20"/>
          <w:szCs w:val="20"/>
        </w:rPr>
        <w:t>, C.; Qian, L.; Martínez Ferrer</w:t>
      </w:r>
      <w:r w:rsidRPr="005E0140">
        <w:rPr>
          <w:rFonts w:asciiTheme="majorBidi" w:hAnsiTheme="majorBidi" w:cstheme="majorBidi"/>
          <w:color w:val="000000" w:themeColor="text1"/>
          <w:sz w:val="20"/>
          <w:szCs w:val="20"/>
        </w:rPr>
        <w:t xml:space="preserve">, P.J. Mooring analysis of a floating OWC wave energy converter. </w:t>
      </w:r>
      <w:r w:rsidRPr="005E0140">
        <w:rPr>
          <w:rFonts w:asciiTheme="majorBidi" w:hAnsiTheme="majorBidi" w:cstheme="majorBidi"/>
          <w:i/>
          <w:iCs/>
          <w:color w:val="000000" w:themeColor="text1"/>
          <w:sz w:val="20"/>
          <w:szCs w:val="20"/>
        </w:rPr>
        <w:t>J. Mar. Sci. Eng.</w:t>
      </w:r>
      <w:r w:rsidRPr="005E0140">
        <w:rPr>
          <w:rFonts w:asciiTheme="majorBidi" w:hAnsiTheme="majorBidi" w:cstheme="majorBidi"/>
          <w:color w:val="000000" w:themeColor="text1"/>
          <w:sz w:val="20"/>
          <w:szCs w:val="20"/>
        </w:rPr>
        <w:t xml:space="preserve"> 2021, 9, 228. </w:t>
      </w:r>
      <w:hyperlink r:id="rId57" w:history="1">
        <w:r w:rsidRPr="000F37E2">
          <w:rPr>
            <w:rStyle w:val="Hyperlink"/>
            <w:rFonts w:asciiTheme="majorBidi" w:hAnsiTheme="majorBidi" w:cstheme="majorBidi"/>
            <w:sz w:val="20"/>
            <w:szCs w:val="20"/>
          </w:rPr>
          <w:t>https://doi.org/10.3390/jmse9020228</w:t>
        </w:r>
      </w:hyperlink>
      <w:r w:rsidRPr="005E0140">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6A9C15E1" w14:textId="664ED421" w:rsidR="00DC2ACD" w:rsidRPr="00691974" w:rsidRDefault="00DC2ACD" w:rsidP="00DC2ACD">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691974">
        <w:rPr>
          <w:rFonts w:asciiTheme="majorBidi" w:hAnsiTheme="majorBidi" w:cstheme="majorBidi"/>
          <w:color w:val="000000" w:themeColor="text1"/>
          <w:sz w:val="20"/>
          <w:szCs w:val="20"/>
        </w:rPr>
        <w:t xml:space="preserve">Whittaker, T.; Folley, M. Nearshore oscillating wave surge converters and the development of Oyster. Philos. Trans. R. Soc. A 2012, 370, 345–364. </w:t>
      </w:r>
      <w:hyperlink r:id="rId58" w:history="1">
        <w:r w:rsidRPr="00691974">
          <w:rPr>
            <w:rStyle w:val="Hyperlink"/>
            <w:rFonts w:asciiTheme="majorBidi" w:hAnsiTheme="majorBidi" w:cstheme="majorBidi"/>
            <w:sz w:val="20"/>
            <w:szCs w:val="20"/>
          </w:rPr>
          <w:t>https://doi.org/10.1098/rsta.2011.0152</w:t>
        </w:r>
      </w:hyperlink>
      <w:r w:rsidRPr="00691974">
        <w:rPr>
          <w:rFonts w:asciiTheme="majorBidi" w:hAnsiTheme="majorBidi" w:cstheme="majorBidi"/>
          <w:color w:val="000000" w:themeColor="text1"/>
          <w:sz w:val="20"/>
          <w:szCs w:val="20"/>
        </w:rPr>
        <w:t>.</w:t>
      </w:r>
    </w:p>
    <w:p w14:paraId="1F9BCC0F" w14:textId="267B0B32" w:rsidR="009C261E" w:rsidRPr="002E7798" w:rsidRDefault="009C261E" w:rsidP="009C261E">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AF09A8">
        <w:rPr>
          <w:rFonts w:asciiTheme="majorBidi" w:hAnsiTheme="majorBidi" w:cstheme="majorBidi"/>
          <w:color w:val="000000" w:themeColor="text1"/>
          <w:sz w:val="20"/>
          <w:szCs w:val="20"/>
        </w:rPr>
        <w:t>Henry, A.; Rafiee, A.; Schmitt, P.; Dias, F.; Whittaker, T. T</w:t>
      </w:r>
      <w:r w:rsidRPr="002E7798">
        <w:rPr>
          <w:rFonts w:asciiTheme="majorBidi" w:hAnsiTheme="majorBidi" w:cstheme="majorBidi"/>
          <w:color w:val="000000" w:themeColor="text1"/>
          <w:sz w:val="20"/>
          <w:szCs w:val="20"/>
        </w:rPr>
        <w:t xml:space="preserve">he characteristics of wave impacts on an oscillating wave surge converter. </w:t>
      </w:r>
      <w:r w:rsidRPr="002E7798">
        <w:rPr>
          <w:rFonts w:asciiTheme="majorBidi" w:hAnsiTheme="majorBidi" w:cstheme="majorBidi"/>
          <w:i/>
          <w:iCs/>
          <w:color w:val="000000" w:themeColor="text1"/>
          <w:sz w:val="20"/>
          <w:szCs w:val="20"/>
        </w:rPr>
        <w:t>J. Ocean Wind Energy</w:t>
      </w:r>
      <w:r w:rsidRPr="002E7798">
        <w:rPr>
          <w:rFonts w:asciiTheme="majorBidi" w:hAnsiTheme="majorBidi" w:cstheme="majorBidi"/>
          <w:color w:val="000000" w:themeColor="text1"/>
          <w:sz w:val="20"/>
          <w:szCs w:val="20"/>
        </w:rPr>
        <w:t xml:space="preserve"> 2014, 1, 101–110. Available online: https://publications.isope.org/jowe/jowe-01-2/JOWE-01-2-p101-asr01-Henry.pdf (accessed on 10 March 2026).</w:t>
      </w:r>
    </w:p>
    <w:p w14:paraId="0216AD1F" w14:textId="61FE21F4" w:rsidR="00DC2ACD" w:rsidRPr="00691974" w:rsidRDefault="00DC2ACD" w:rsidP="00DC2ACD">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691974">
        <w:rPr>
          <w:rFonts w:asciiTheme="majorBidi" w:hAnsiTheme="majorBidi" w:cstheme="majorBidi"/>
          <w:color w:val="000000" w:themeColor="text1"/>
          <w:sz w:val="20"/>
          <w:szCs w:val="20"/>
        </w:rPr>
        <w:t xml:space="preserve">Van Rij, J.; Yu, Y.-H.; Coe, R.G. Design load analysis for wave energy converters. In </w:t>
      </w:r>
      <w:r w:rsidRPr="00691974">
        <w:rPr>
          <w:rFonts w:asciiTheme="majorBidi" w:hAnsiTheme="majorBidi" w:cstheme="majorBidi"/>
          <w:i/>
          <w:iCs/>
          <w:color w:val="000000" w:themeColor="text1"/>
          <w:sz w:val="20"/>
          <w:szCs w:val="20"/>
        </w:rPr>
        <w:t>Proceedings of the ASME 2018 37th International Conference on Ocean, Offshore and Arctic Engineering</w:t>
      </w:r>
      <w:r w:rsidRPr="00691974">
        <w:rPr>
          <w:rFonts w:asciiTheme="majorBidi" w:hAnsiTheme="majorBidi" w:cstheme="majorBidi"/>
          <w:color w:val="000000" w:themeColor="text1"/>
          <w:sz w:val="20"/>
          <w:szCs w:val="20"/>
        </w:rPr>
        <w:t xml:space="preserve">, Madrid, Spain, 17–22 June 2018; Paper No. OMAE2018-78178. </w:t>
      </w:r>
      <w:hyperlink r:id="rId59" w:history="1">
        <w:r w:rsidRPr="00691974">
          <w:rPr>
            <w:rStyle w:val="Hyperlink"/>
            <w:rFonts w:asciiTheme="majorBidi" w:hAnsiTheme="majorBidi" w:cstheme="majorBidi"/>
            <w:sz w:val="20"/>
            <w:szCs w:val="20"/>
          </w:rPr>
          <w:t>https://doi.org/10.1115/OMAE2018-78178</w:t>
        </w:r>
      </w:hyperlink>
      <w:r w:rsidRPr="00691974">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3AFC1D22" w14:textId="77777777" w:rsidR="00DC2ACD" w:rsidRPr="00691974" w:rsidRDefault="00DC2ACD" w:rsidP="00DC2ACD">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691974">
        <w:rPr>
          <w:rFonts w:asciiTheme="majorBidi" w:hAnsiTheme="majorBidi" w:cstheme="majorBidi"/>
          <w:color w:val="000000" w:themeColor="text1"/>
          <w:sz w:val="20"/>
          <w:szCs w:val="20"/>
        </w:rPr>
        <w:t xml:space="preserve">Henry, A.; Doherty, K.; Cameron, L.; Whittaker, T.J.T.; Doherty, R. Advances in the design of the Oyster wave energy converter. In </w:t>
      </w:r>
      <w:r w:rsidRPr="00691974">
        <w:rPr>
          <w:rFonts w:asciiTheme="majorBidi" w:hAnsiTheme="majorBidi" w:cstheme="majorBidi"/>
          <w:i/>
          <w:iCs/>
          <w:color w:val="000000" w:themeColor="text1"/>
          <w:sz w:val="20"/>
          <w:szCs w:val="20"/>
        </w:rPr>
        <w:t>Proceedings of the Marine and Offshore Renewable Energy Conference</w:t>
      </w:r>
      <w:r w:rsidRPr="00691974">
        <w:rPr>
          <w:rFonts w:asciiTheme="majorBidi" w:hAnsiTheme="majorBidi" w:cstheme="majorBidi"/>
          <w:color w:val="000000" w:themeColor="text1"/>
          <w:sz w:val="20"/>
          <w:szCs w:val="20"/>
        </w:rPr>
        <w:t>, London, UK, April 2010. Available online: https://pure.qub.ac.uk/en/publications/advances-in-the-design-of-the-oyster-wave-energy-converter (accessed on 20 January 2026).</w:t>
      </w:r>
    </w:p>
    <w:p w14:paraId="74F68065" w14:textId="0C31FF45" w:rsidR="00DC2ACD" w:rsidRPr="00691974" w:rsidRDefault="00DC2ACD" w:rsidP="00DC2ACD">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proofErr w:type="spellStart"/>
      <w:r w:rsidRPr="00691974">
        <w:rPr>
          <w:rFonts w:asciiTheme="majorBidi" w:hAnsiTheme="majorBidi" w:cstheme="majorBidi"/>
          <w:color w:val="000000" w:themeColor="text1"/>
          <w:sz w:val="20"/>
          <w:szCs w:val="20"/>
        </w:rPr>
        <w:t>Michailides</w:t>
      </w:r>
      <w:proofErr w:type="spellEnd"/>
      <w:r w:rsidRPr="00691974">
        <w:rPr>
          <w:rFonts w:asciiTheme="majorBidi" w:hAnsiTheme="majorBidi" w:cstheme="majorBidi"/>
          <w:color w:val="000000" w:themeColor="text1"/>
          <w:sz w:val="20"/>
          <w:szCs w:val="20"/>
        </w:rPr>
        <w:t xml:space="preserve">, C.; Luan, C.; Gao, Z.; Moan, T. Effect of flap type wave energy converters on the response of a semi-submersible wind turbine in operational conditions. In </w:t>
      </w:r>
      <w:r w:rsidRPr="00691974">
        <w:rPr>
          <w:rFonts w:asciiTheme="majorBidi" w:hAnsiTheme="majorBidi" w:cstheme="majorBidi"/>
          <w:i/>
          <w:iCs/>
          <w:color w:val="000000" w:themeColor="text1"/>
          <w:sz w:val="20"/>
          <w:szCs w:val="20"/>
        </w:rPr>
        <w:t>Proceedings of the ASME 2014 33rd International Conference on Ocean, Offshore and Arctic Engineering</w:t>
      </w:r>
      <w:r w:rsidRPr="00691974">
        <w:rPr>
          <w:rFonts w:asciiTheme="majorBidi" w:hAnsiTheme="majorBidi" w:cstheme="majorBidi"/>
          <w:color w:val="000000" w:themeColor="text1"/>
          <w:sz w:val="20"/>
          <w:szCs w:val="20"/>
        </w:rPr>
        <w:t xml:space="preserve">, San Francisco, CA, USA, 8–13 June 2014; Paper No. OMAE2014-24065. </w:t>
      </w:r>
      <w:hyperlink r:id="rId60" w:history="1">
        <w:r w:rsidRPr="00691974">
          <w:rPr>
            <w:rStyle w:val="Hyperlink"/>
            <w:rFonts w:asciiTheme="majorBidi" w:hAnsiTheme="majorBidi" w:cstheme="majorBidi"/>
            <w:sz w:val="20"/>
            <w:szCs w:val="20"/>
          </w:rPr>
          <w:t>https://doi.org/10.1115/OMAE2014-24065</w:t>
        </w:r>
      </w:hyperlink>
      <w:r w:rsidRPr="00691974">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2FA88885" w14:textId="1E5528A0" w:rsidR="00DC2ACD" w:rsidRPr="00691974" w:rsidRDefault="00DC2ACD" w:rsidP="00DC2ACD">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proofErr w:type="spellStart"/>
      <w:r w:rsidRPr="00691974">
        <w:rPr>
          <w:rFonts w:asciiTheme="majorBidi" w:hAnsiTheme="majorBidi" w:cstheme="majorBidi"/>
          <w:color w:val="000000" w:themeColor="text1"/>
          <w:sz w:val="20"/>
          <w:szCs w:val="20"/>
        </w:rPr>
        <w:t>Margheritini</w:t>
      </w:r>
      <w:proofErr w:type="spellEnd"/>
      <w:r w:rsidRPr="00691974">
        <w:rPr>
          <w:rFonts w:asciiTheme="majorBidi" w:hAnsiTheme="majorBidi" w:cstheme="majorBidi"/>
          <w:color w:val="000000" w:themeColor="text1"/>
          <w:sz w:val="20"/>
          <w:szCs w:val="20"/>
        </w:rPr>
        <w:t xml:space="preserve">, L.; Vicinanza, D.; Frigaard, P. SSG wave energy converter: Design, reliability and hydraulic performance of an innovative overtopping device. </w:t>
      </w:r>
      <w:r w:rsidRPr="00691974">
        <w:rPr>
          <w:rFonts w:asciiTheme="majorBidi" w:hAnsiTheme="majorBidi" w:cstheme="majorBidi"/>
          <w:i/>
          <w:iCs/>
          <w:color w:val="000000" w:themeColor="text1"/>
          <w:sz w:val="20"/>
          <w:szCs w:val="20"/>
        </w:rPr>
        <w:t>Renew. Energy</w:t>
      </w:r>
      <w:r w:rsidRPr="00691974">
        <w:rPr>
          <w:rFonts w:asciiTheme="majorBidi" w:hAnsiTheme="majorBidi" w:cstheme="majorBidi"/>
          <w:color w:val="000000" w:themeColor="text1"/>
          <w:sz w:val="20"/>
          <w:szCs w:val="20"/>
        </w:rPr>
        <w:t xml:space="preserve"> 2009, 34, 1371–1380. </w:t>
      </w:r>
      <w:hyperlink r:id="rId61" w:history="1">
        <w:r w:rsidRPr="00691974">
          <w:rPr>
            <w:rStyle w:val="Hyperlink"/>
            <w:rFonts w:asciiTheme="majorBidi" w:hAnsiTheme="majorBidi" w:cstheme="majorBidi"/>
            <w:sz w:val="20"/>
            <w:szCs w:val="20"/>
          </w:rPr>
          <w:t>https://doi.org/10.1016/j.renene.2008.09.009</w:t>
        </w:r>
      </w:hyperlink>
      <w:r w:rsidRPr="00691974">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6F8A2A75" w14:textId="77777777" w:rsidR="00DC2ACD" w:rsidRPr="00691974" w:rsidRDefault="00DC2ACD" w:rsidP="00DC2ACD">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691974">
        <w:rPr>
          <w:rFonts w:asciiTheme="majorBidi" w:hAnsiTheme="majorBidi" w:cstheme="majorBidi"/>
          <w:color w:val="000000" w:themeColor="text1"/>
          <w:sz w:val="20"/>
          <w:szCs w:val="20"/>
        </w:rPr>
        <w:lastRenderedPageBreak/>
        <w:t xml:space="preserve">Sørensen, H.C.; Kofoed, J.P. The Wave Dragon: A slack-moored wave energy converter. In </w:t>
      </w:r>
      <w:r w:rsidRPr="00691974">
        <w:rPr>
          <w:rFonts w:asciiTheme="majorBidi" w:hAnsiTheme="majorBidi" w:cstheme="majorBidi"/>
          <w:i/>
          <w:iCs/>
          <w:color w:val="000000" w:themeColor="text1"/>
          <w:sz w:val="20"/>
          <w:szCs w:val="20"/>
        </w:rPr>
        <w:t>Ocean Wave Energy: Current Status and Future Perspectives</w:t>
      </w:r>
      <w:r w:rsidRPr="00691974">
        <w:rPr>
          <w:rFonts w:asciiTheme="majorBidi" w:hAnsiTheme="majorBidi" w:cstheme="majorBidi"/>
          <w:color w:val="000000" w:themeColor="text1"/>
          <w:sz w:val="20"/>
          <w:szCs w:val="20"/>
        </w:rPr>
        <w:t>; Cruz, J., Ed.; Springer: Berlin/Heidelberg, Germany, 2008; pp. 219–237.</w:t>
      </w:r>
    </w:p>
    <w:p w14:paraId="228BCA09" w14:textId="15B0701D" w:rsidR="00DC2ACD" w:rsidRPr="00691974" w:rsidRDefault="00DC2ACD" w:rsidP="00DC2ACD">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691974">
        <w:rPr>
          <w:rFonts w:asciiTheme="majorBidi" w:hAnsiTheme="majorBidi" w:cstheme="majorBidi"/>
          <w:color w:val="000000" w:themeColor="text1"/>
          <w:sz w:val="20"/>
          <w:szCs w:val="20"/>
        </w:rPr>
        <w:t xml:space="preserve">Kofoed, J.P.; Frigaard, P.; Friis-Madsen, E.; Sørensen, H.C. Prototype testing of the wave energy converter </w:t>
      </w:r>
      <w:r w:rsidRPr="00691974">
        <w:rPr>
          <w:rFonts w:asciiTheme="majorBidi" w:hAnsiTheme="majorBidi" w:cstheme="majorBidi"/>
          <w:i/>
          <w:iCs/>
          <w:color w:val="000000" w:themeColor="text1"/>
          <w:sz w:val="20"/>
          <w:szCs w:val="20"/>
        </w:rPr>
        <w:t>Wave Dragon. Renew. Energy</w:t>
      </w:r>
      <w:r w:rsidRPr="00691974">
        <w:rPr>
          <w:rFonts w:asciiTheme="majorBidi" w:hAnsiTheme="majorBidi" w:cstheme="majorBidi"/>
          <w:color w:val="000000" w:themeColor="text1"/>
          <w:sz w:val="20"/>
          <w:szCs w:val="20"/>
        </w:rPr>
        <w:t xml:space="preserve"> 2006, 31, 181–189. </w:t>
      </w:r>
      <w:hyperlink r:id="rId62" w:history="1">
        <w:r w:rsidRPr="00691974">
          <w:rPr>
            <w:rStyle w:val="Hyperlink"/>
            <w:rFonts w:asciiTheme="majorBidi" w:hAnsiTheme="majorBidi" w:cstheme="majorBidi"/>
            <w:sz w:val="20"/>
            <w:szCs w:val="20"/>
          </w:rPr>
          <w:t>https://doi.org/10.1016/j.renene.2005.09.005</w:t>
        </w:r>
      </w:hyperlink>
      <w:r w:rsidRPr="00691974">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67D274BD" w14:textId="77777777" w:rsidR="00DC2ACD" w:rsidRPr="00691974" w:rsidRDefault="00DC2ACD" w:rsidP="00DC2ACD">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691974">
        <w:rPr>
          <w:rFonts w:asciiTheme="majorBidi" w:hAnsiTheme="majorBidi" w:cstheme="majorBidi"/>
          <w:color w:val="000000" w:themeColor="text1"/>
          <w:sz w:val="20"/>
          <w:szCs w:val="20"/>
        </w:rPr>
        <w:t xml:space="preserve">Pérez-Collazo, C.; Greaves, D.; Iglesias, G. Hydrodynamic response of the WEC sub-system of a novel hybrid wind–wave energy converter. In </w:t>
      </w:r>
      <w:r w:rsidRPr="00691974">
        <w:rPr>
          <w:rFonts w:asciiTheme="majorBidi" w:hAnsiTheme="majorBidi" w:cstheme="majorBidi"/>
          <w:i/>
          <w:iCs/>
          <w:color w:val="000000" w:themeColor="text1"/>
          <w:sz w:val="20"/>
          <w:szCs w:val="20"/>
        </w:rPr>
        <w:t>Proceedings of the 11th European Wave and Tidal Energy Conference</w:t>
      </w:r>
      <w:r w:rsidRPr="00691974">
        <w:rPr>
          <w:rFonts w:asciiTheme="majorBidi" w:hAnsiTheme="majorBidi" w:cstheme="majorBidi"/>
          <w:color w:val="000000" w:themeColor="text1"/>
          <w:sz w:val="20"/>
          <w:szCs w:val="20"/>
        </w:rPr>
        <w:t>, Nantes, France, 6–11 September 2015. Available online: https://www.semanticscholar.org/paper/Hydrodynamic-response-of-the-WEC-sub-system-of-a-Collazo-Conversion/c9f7521167a1707df93c3a79f3b4c9020bb7c829 (accessed on 14 February 2026).</w:t>
      </w:r>
    </w:p>
    <w:p w14:paraId="0FD55CB7" w14:textId="0FE1DD88" w:rsidR="00DC2ACD" w:rsidRPr="00691974" w:rsidRDefault="00DC2ACD" w:rsidP="00DC2ACD">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691974">
        <w:rPr>
          <w:rFonts w:asciiTheme="majorBidi" w:hAnsiTheme="majorBidi" w:cstheme="majorBidi"/>
          <w:color w:val="000000" w:themeColor="text1"/>
          <w:sz w:val="20"/>
          <w:szCs w:val="20"/>
        </w:rPr>
        <w:t xml:space="preserve">Da Silva, L.S.P.; </w:t>
      </w:r>
      <w:proofErr w:type="spellStart"/>
      <w:r w:rsidRPr="00691974">
        <w:rPr>
          <w:rFonts w:asciiTheme="majorBidi" w:hAnsiTheme="majorBidi" w:cstheme="majorBidi"/>
          <w:color w:val="000000" w:themeColor="text1"/>
          <w:sz w:val="20"/>
          <w:szCs w:val="20"/>
        </w:rPr>
        <w:t>Sergiienko</w:t>
      </w:r>
      <w:proofErr w:type="spellEnd"/>
      <w:r w:rsidRPr="00691974">
        <w:rPr>
          <w:rFonts w:asciiTheme="majorBidi" w:hAnsiTheme="majorBidi" w:cstheme="majorBidi"/>
          <w:color w:val="000000" w:themeColor="text1"/>
          <w:sz w:val="20"/>
          <w:szCs w:val="20"/>
        </w:rPr>
        <w:t xml:space="preserve">, N.Y.; </w:t>
      </w:r>
      <w:proofErr w:type="spellStart"/>
      <w:r w:rsidRPr="00691974">
        <w:rPr>
          <w:rFonts w:asciiTheme="majorBidi" w:hAnsiTheme="majorBidi" w:cstheme="majorBidi"/>
          <w:color w:val="000000" w:themeColor="text1"/>
          <w:sz w:val="20"/>
          <w:szCs w:val="20"/>
        </w:rPr>
        <w:t>Cazzolato</w:t>
      </w:r>
      <w:proofErr w:type="spellEnd"/>
      <w:r w:rsidRPr="00691974">
        <w:rPr>
          <w:rFonts w:asciiTheme="majorBidi" w:hAnsiTheme="majorBidi" w:cstheme="majorBidi"/>
          <w:color w:val="000000" w:themeColor="text1"/>
          <w:sz w:val="20"/>
          <w:szCs w:val="20"/>
        </w:rPr>
        <w:t xml:space="preserve">, B.; Ding, B.; </w:t>
      </w:r>
      <w:proofErr w:type="spellStart"/>
      <w:r w:rsidRPr="00691974">
        <w:rPr>
          <w:rFonts w:asciiTheme="majorBidi" w:hAnsiTheme="majorBidi" w:cstheme="majorBidi"/>
          <w:color w:val="000000" w:themeColor="text1"/>
          <w:sz w:val="20"/>
          <w:szCs w:val="20"/>
        </w:rPr>
        <w:t>Arjomandi</w:t>
      </w:r>
      <w:proofErr w:type="spellEnd"/>
      <w:r w:rsidRPr="00691974">
        <w:rPr>
          <w:rFonts w:asciiTheme="majorBidi" w:hAnsiTheme="majorBidi" w:cstheme="majorBidi"/>
          <w:color w:val="000000" w:themeColor="text1"/>
          <w:sz w:val="20"/>
          <w:szCs w:val="20"/>
        </w:rPr>
        <w:t xml:space="preserve">, M. Dynamics of hybrid offshore renewable energy platforms: Heaving point absorbers connected to a semi-submersible floating offshore wind turbine. </w:t>
      </w:r>
      <w:r w:rsidRPr="00691974">
        <w:rPr>
          <w:rFonts w:asciiTheme="majorBidi" w:hAnsiTheme="majorBidi" w:cstheme="majorBidi"/>
          <w:i/>
          <w:iCs/>
          <w:color w:val="000000" w:themeColor="text1"/>
          <w:sz w:val="20"/>
          <w:szCs w:val="20"/>
        </w:rPr>
        <w:t>Renew. Energy</w:t>
      </w:r>
      <w:r w:rsidRPr="00691974">
        <w:rPr>
          <w:rFonts w:asciiTheme="majorBidi" w:hAnsiTheme="majorBidi" w:cstheme="majorBidi"/>
          <w:color w:val="000000" w:themeColor="text1"/>
          <w:sz w:val="20"/>
          <w:szCs w:val="20"/>
        </w:rPr>
        <w:t xml:space="preserve"> 2022, 199, 1424–1439. </w:t>
      </w:r>
      <w:hyperlink r:id="rId63" w:history="1">
        <w:r w:rsidRPr="00691974">
          <w:rPr>
            <w:rStyle w:val="Hyperlink"/>
            <w:rFonts w:asciiTheme="majorBidi" w:hAnsiTheme="majorBidi" w:cstheme="majorBidi"/>
            <w:sz w:val="20"/>
            <w:szCs w:val="20"/>
          </w:rPr>
          <w:t>https://doi.org/10.1016/j.renene.2022.09.014</w:t>
        </w:r>
      </w:hyperlink>
      <w:r w:rsidRPr="00691974">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037E3DD5" w14:textId="7E9EAB8A" w:rsidR="005E7E08" w:rsidRPr="00A34038" w:rsidRDefault="00DC2ACD" w:rsidP="00A34038">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691974">
        <w:rPr>
          <w:rFonts w:asciiTheme="majorBidi" w:hAnsiTheme="majorBidi" w:cstheme="majorBidi"/>
          <w:color w:val="000000" w:themeColor="text1"/>
          <w:sz w:val="20"/>
          <w:szCs w:val="20"/>
        </w:rPr>
        <w:t xml:space="preserve">Cheng, Z.; Wen, T.; Ong, M.C.; Wang, K. Power performance and dynamic responses of a combined floating vertical axis wind turbine and wave energy converter concept. </w:t>
      </w:r>
      <w:r w:rsidRPr="00691974">
        <w:rPr>
          <w:rFonts w:asciiTheme="majorBidi" w:hAnsiTheme="majorBidi" w:cstheme="majorBidi"/>
          <w:i/>
          <w:iCs/>
          <w:color w:val="000000" w:themeColor="text1"/>
          <w:sz w:val="20"/>
          <w:szCs w:val="20"/>
        </w:rPr>
        <w:t>Energy</w:t>
      </w:r>
      <w:r w:rsidRPr="00691974">
        <w:rPr>
          <w:rFonts w:asciiTheme="majorBidi" w:hAnsiTheme="majorBidi" w:cstheme="majorBidi"/>
          <w:color w:val="000000" w:themeColor="text1"/>
          <w:sz w:val="20"/>
          <w:szCs w:val="20"/>
        </w:rPr>
        <w:t xml:space="preserve"> 2019, 171, 190–204. </w:t>
      </w:r>
      <w:hyperlink r:id="rId64" w:history="1">
        <w:r w:rsidRPr="00691974">
          <w:rPr>
            <w:rStyle w:val="Hyperlink"/>
            <w:rFonts w:asciiTheme="majorBidi" w:hAnsiTheme="majorBidi" w:cstheme="majorBidi"/>
            <w:sz w:val="20"/>
            <w:szCs w:val="20"/>
          </w:rPr>
          <w:t>https://doi.org/10.1016/j.energy.2019.01.018</w:t>
        </w:r>
      </w:hyperlink>
      <w:r w:rsidRPr="00691974">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7319285B" w14:textId="7BC6B577" w:rsidR="00A34038" w:rsidRPr="00A34038" w:rsidRDefault="00A34038" w:rsidP="00A34038">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0D1D4A">
        <w:rPr>
          <w:rFonts w:asciiTheme="majorBidi" w:hAnsiTheme="majorBidi" w:cstheme="majorBidi"/>
          <w:color w:val="000000" w:themeColor="text1"/>
          <w:sz w:val="20"/>
          <w:szCs w:val="20"/>
        </w:rPr>
        <w:t xml:space="preserve">Kamarlouei, M.; Gaspar, J.F.; </w:t>
      </w:r>
      <w:proofErr w:type="spellStart"/>
      <w:r w:rsidRPr="000D1D4A">
        <w:rPr>
          <w:rFonts w:asciiTheme="majorBidi" w:hAnsiTheme="majorBidi" w:cstheme="majorBidi"/>
          <w:color w:val="000000" w:themeColor="text1"/>
          <w:sz w:val="20"/>
          <w:szCs w:val="20"/>
        </w:rPr>
        <w:t>Calvário</w:t>
      </w:r>
      <w:proofErr w:type="spellEnd"/>
      <w:r w:rsidRPr="000D1D4A">
        <w:rPr>
          <w:rFonts w:asciiTheme="majorBidi" w:hAnsiTheme="majorBidi" w:cstheme="majorBidi"/>
          <w:color w:val="000000" w:themeColor="text1"/>
          <w:sz w:val="20"/>
          <w:szCs w:val="20"/>
        </w:rPr>
        <w:t xml:space="preserve">, M.; Hallak, T.S.; Mendes, M.J.G.C.; Thiebaut, F.; Guedes Soares, C. Experimental analysis of wave energy converters concentrically attached on a floating offshore platform. </w:t>
      </w:r>
      <w:r w:rsidRPr="00372EF6">
        <w:rPr>
          <w:rFonts w:asciiTheme="majorBidi" w:hAnsiTheme="majorBidi" w:cstheme="majorBidi"/>
          <w:i/>
          <w:iCs/>
          <w:color w:val="000000" w:themeColor="text1"/>
          <w:sz w:val="20"/>
          <w:szCs w:val="20"/>
        </w:rPr>
        <w:t>Renew. Energy</w:t>
      </w:r>
      <w:r w:rsidRPr="000D1D4A">
        <w:rPr>
          <w:rFonts w:asciiTheme="majorBidi" w:hAnsiTheme="majorBidi" w:cstheme="majorBidi"/>
          <w:color w:val="000000" w:themeColor="text1"/>
          <w:sz w:val="20"/>
          <w:szCs w:val="20"/>
        </w:rPr>
        <w:t xml:space="preserve"> 2020, 152, 1171–1185. </w:t>
      </w:r>
      <w:hyperlink r:id="rId65" w:history="1">
        <w:r w:rsidRPr="000F37E2">
          <w:rPr>
            <w:rStyle w:val="Hyperlink"/>
            <w:rFonts w:asciiTheme="majorBidi" w:hAnsiTheme="majorBidi" w:cstheme="majorBidi"/>
            <w:sz w:val="20"/>
            <w:szCs w:val="20"/>
          </w:rPr>
          <w:t>https://doi.org/10.1016/j.renene.2020.01.078</w:t>
        </w:r>
      </w:hyperlink>
      <w:r w:rsidRPr="000D1D4A">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30E55F06" w14:textId="7EA74163" w:rsidR="00A34038" w:rsidRPr="00A34038" w:rsidRDefault="00A34038" w:rsidP="00A34038">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0D1D4A">
        <w:rPr>
          <w:rFonts w:asciiTheme="majorBidi" w:hAnsiTheme="majorBidi" w:cstheme="majorBidi"/>
          <w:color w:val="000000" w:themeColor="text1"/>
          <w:sz w:val="20"/>
          <w:szCs w:val="20"/>
        </w:rPr>
        <w:t xml:space="preserve">Si, Y.; Chen, Z.; Zeng, W.; Sun, J.; Zhang, D.; Ma, X.; Qian, P. The influence of power-take-off control on the dynamic response and power output of combined semi-submersible floating wind turbine and point-absorber wave energy converters. </w:t>
      </w:r>
      <w:r w:rsidRPr="00372EF6">
        <w:rPr>
          <w:rFonts w:asciiTheme="majorBidi" w:hAnsiTheme="majorBidi" w:cstheme="majorBidi"/>
          <w:i/>
          <w:iCs/>
          <w:color w:val="000000" w:themeColor="text1"/>
          <w:sz w:val="20"/>
          <w:szCs w:val="20"/>
        </w:rPr>
        <w:t>Ocean Eng.</w:t>
      </w:r>
      <w:r w:rsidRPr="000D1D4A">
        <w:rPr>
          <w:rFonts w:asciiTheme="majorBidi" w:hAnsiTheme="majorBidi" w:cstheme="majorBidi"/>
          <w:color w:val="000000" w:themeColor="text1"/>
          <w:sz w:val="20"/>
          <w:szCs w:val="20"/>
        </w:rPr>
        <w:t xml:space="preserve"> 2021, 227, 108835. </w:t>
      </w:r>
      <w:hyperlink r:id="rId66" w:history="1">
        <w:r w:rsidRPr="000F37E2">
          <w:rPr>
            <w:rStyle w:val="Hyperlink"/>
            <w:rFonts w:asciiTheme="majorBidi" w:hAnsiTheme="majorBidi" w:cstheme="majorBidi"/>
            <w:sz w:val="20"/>
            <w:szCs w:val="20"/>
          </w:rPr>
          <w:t>https://doi.org/10.1016/j.oceaneng.2021.108835</w:t>
        </w:r>
      </w:hyperlink>
      <w:r w:rsidRPr="000D1D4A">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11DBB5A0" w14:textId="303B3613" w:rsidR="00A34038" w:rsidRPr="00A34038" w:rsidRDefault="00A34038" w:rsidP="00A34038">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0D1D4A">
        <w:rPr>
          <w:rFonts w:asciiTheme="majorBidi" w:hAnsiTheme="majorBidi" w:cstheme="majorBidi"/>
          <w:color w:val="000000" w:themeColor="text1"/>
          <w:sz w:val="20"/>
          <w:szCs w:val="20"/>
        </w:rPr>
        <w:t xml:space="preserve">Hu, J.; Zhou, B.; Vogel, C.; Liu, P.; Willden, R.; Sun, K.; Zang, J.; Geng, J.; Jin, P.; Cui, L.; Jiang, B.; </w:t>
      </w:r>
      <w:proofErr w:type="spellStart"/>
      <w:r w:rsidRPr="000D1D4A">
        <w:rPr>
          <w:rFonts w:asciiTheme="majorBidi" w:hAnsiTheme="majorBidi" w:cstheme="majorBidi"/>
          <w:color w:val="000000" w:themeColor="text1"/>
          <w:sz w:val="20"/>
          <w:szCs w:val="20"/>
        </w:rPr>
        <w:t>Collu</w:t>
      </w:r>
      <w:proofErr w:type="spellEnd"/>
      <w:r w:rsidRPr="000D1D4A">
        <w:rPr>
          <w:rFonts w:asciiTheme="majorBidi" w:hAnsiTheme="majorBidi" w:cstheme="majorBidi"/>
          <w:color w:val="000000" w:themeColor="text1"/>
          <w:sz w:val="20"/>
          <w:szCs w:val="20"/>
        </w:rPr>
        <w:t xml:space="preserve">, M. Optimal design and performance analysis of a hybrid system combining a floating wind platform and wave energy converters. </w:t>
      </w:r>
      <w:r w:rsidRPr="00274CDC">
        <w:rPr>
          <w:rFonts w:asciiTheme="majorBidi" w:hAnsiTheme="majorBidi" w:cstheme="majorBidi"/>
          <w:i/>
          <w:iCs/>
          <w:color w:val="000000" w:themeColor="text1"/>
          <w:sz w:val="20"/>
          <w:szCs w:val="20"/>
        </w:rPr>
        <w:t>Appl. Energy</w:t>
      </w:r>
      <w:r w:rsidRPr="000D1D4A">
        <w:rPr>
          <w:rFonts w:asciiTheme="majorBidi" w:hAnsiTheme="majorBidi" w:cstheme="majorBidi"/>
          <w:color w:val="000000" w:themeColor="text1"/>
          <w:sz w:val="20"/>
          <w:szCs w:val="20"/>
        </w:rPr>
        <w:t xml:space="preserve"> 2020, 269, 114998. </w:t>
      </w:r>
      <w:hyperlink r:id="rId67" w:history="1">
        <w:r w:rsidRPr="000F37E2">
          <w:rPr>
            <w:rStyle w:val="Hyperlink"/>
            <w:rFonts w:asciiTheme="majorBidi" w:hAnsiTheme="majorBidi" w:cstheme="majorBidi"/>
            <w:sz w:val="20"/>
            <w:szCs w:val="20"/>
          </w:rPr>
          <w:t>https://doi.org/10.1016/j.apenergy.2020.114998</w:t>
        </w:r>
      </w:hyperlink>
      <w:r w:rsidRPr="000D1D4A">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31071BEF" w14:textId="05EFDB34" w:rsidR="00A34038" w:rsidRPr="00A34038" w:rsidRDefault="00A34038" w:rsidP="00A34038">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0D1D4A">
        <w:rPr>
          <w:rFonts w:asciiTheme="majorBidi" w:hAnsiTheme="majorBidi" w:cstheme="majorBidi"/>
          <w:color w:val="000000" w:themeColor="text1"/>
          <w:sz w:val="20"/>
          <w:szCs w:val="20"/>
        </w:rPr>
        <w:t xml:space="preserve">Zheng, S.; Zhu, G.; Simmonds, D.; Greaves, D.; Iglesias, G. Wave power extraction from a tubular structure integrated oscillating water column. </w:t>
      </w:r>
      <w:r w:rsidRPr="00342736">
        <w:rPr>
          <w:rFonts w:asciiTheme="majorBidi" w:hAnsiTheme="majorBidi" w:cstheme="majorBidi"/>
          <w:i/>
          <w:iCs/>
          <w:color w:val="000000" w:themeColor="text1"/>
          <w:sz w:val="20"/>
          <w:szCs w:val="20"/>
        </w:rPr>
        <w:t>Renew. Energy</w:t>
      </w:r>
      <w:r w:rsidRPr="000D1D4A">
        <w:rPr>
          <w:rFonts w:asciiTheme="majorBidi" w:hAnsiTheme="majorBidi" w:cstheme="majorBidi"/>
          <w:color w:val="000000" w:themeColor="text1"/>
          <w:sz w:val="20"/>
          <w:szCs w:val="20"/>
        </w:rPr>
        <w:t xml:space="preserve"> 2020, 150, 342–355. </w:t>
      </w:r>
      <w:hyperlink r:id="rId68" w:history="1">
        <w:r w:rsidRPr="000F37E2">
          <w:rPr>
            <w:rStyle w:val="Hyperlink"/>
            <w:rFonts w:asciiTheme="majorBidi" w:hAnsiTheme="majorBidi" w:cstheme="majorBidi"/>
            <w:sz w:val="20"/>
            <w:szCs w:val="20"/>
          </w:rPr>
          <w:t>https://doi.org/10.1016/j.renene.2020.01.009</w:t>
        </w:r>
      </w:hyperlink>
      <w:r w:rsidRPr="000D1D4A">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15AD764A" w14:textId="11FA0374" w:rsidR="00A34038" w:rsidRPr="00A34038" w:rsidRDefault="00A34038" w:rsidP="00A34038">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0D1D4A">
        <w:rPr>
          <w:rFonts w:asciiTheme="majorBidi" w:hAnsiTheme="majorBidi" w:cstheme="majorBidi"/>
          <w:color w:val="000000" w:themeColor="text1"/>
          <w:sz w:val="20"/>
          <w:szCs w:val="20"/>
        </w:rPr>
        <w:t xml:space="preserve">Hallak, T.S.; Gaspar, J.F.; </w:t>
      </w:r>
      <w:proofErr w:type="spellStart"/>
      <w:r w:rsidRPr="000D1D4A">
        <w:rPr>
          <w:rFonts w:asciiTheme="majorBidi" w:hAnsiTheme="majorBidi" w:cstheme="majorBidi"/>
          <w:color w:val="000000" w:themeColor="text1"/>
          <w:sz w:val="20"/>
          <w:szCs w:val="20"/>
        </w:rPr>
        <w:t>Kamarlouei</w:t>
      </w:r>
      <w:proofErr w:type="spellEnd"/>
      <w:r w:rsidRPr="000D1D4A">
        <w:rPr>
          <w:rFonts w:asciiTheme="majorBidi" w:hAnsiTheme="majorBidi" w:cstheme="majorBidi"/>
          <w:color w:val="000000" w:themeColor="text1"/>
          <w:sz w:val="20"/>
          <w:szCs w:val="20"/>
        </w:rPr>
        <w:t xml:space="preserve">, M.; Mendes, M.J.G.C.; Thiebaut, F.; Guedes Soares, C. Numerical and experimental analysis of a hybrid wind–wave offshore floating platform’s hull. In </w:t>
      </w:r>
      <w:r w:rsidRPr="00342736">
        <w:rPr>
          <w:rFonts w:asciiTheme="majorBidi" w:hAnsiTheme="majorBidi" w:cstheme="majorBidi"/>
          <w:i/>
          <w:iCs/>
          <w:color w:val="000000" w:themeColor="text1"/>
          <w:sz w:val="20"/>
          <w:szCs w:val="20"/>
        </w:rPr>
        <w:t>Proceedings of the ASME 2018 37th International Conference on Ocean, Offshore and Arctic Engineering</w:t>
      </w:r>
      <w:r w:rsidRPr="000D1D4A">
        <w:rPr>
          <w:rFonts w:asciiTheme="majorBidi" w:hAnsiTheme="majorBidi" w:cstheme="majorBidi"/>
          <w:color w:val="000000" w:themeColor="text1"/>
          <w:sz w:val="20"/>
          <w:szCs w:val="20"/>
        </w:rPr>
        <w:t xml:space="preserve">, Madrid, Spain, 17–22 June 2018; Paper No. OMAE2018-77501. </w:t>
      </w:r>
      <w:hyperlink r:id="rId69" w:history="1">
        <w:r w:rsidRPr="000F37E2">
          <w:rPr>
            <w:rStyle w:val="Hyperlink"/>
            <w:rFonts w:asciiTheme="majorBidi" w:hAnsiTheme="majorBidi" w:cstheme="majorBidi"/>
            <w:sz w:val="20"/>
            <w:szCs w:val="20"/>
          </w:rPr>
          <w:t>https://doi.org/10.1115/OMAE2018-77501</w:t>
        </w:r>
      </w:hyperlink>
      <w:r w:rsidRPr="000D1D4A">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1ADF5987" w14:textId="76161FA4" w:rsidR="00A34038" w:rsidRPr="00A34038" w:rsidRDefault="00A34038" w:rsidP="00A34038">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0D1D4A">
        <w:rPr>
          <w:rFonts w:asciiTheme="majorBidi" w:hAnsiTheme="majorBidi" w:cstheme="majorBidi"/>
          <w:color w:val="000000" w:themeColor="text1"/>
          <w:sz w:val="20"/>
          <w:szCs w:val="20"/>
        </w:rPr>
        <w:t xml:space="preserve">Henriques, J.C.C.; Portillo, J.C.C.; Sheng, W.; Gato, L.M.C.; Falcão, A.F.O. Dynamics and control of air turbines in oscillating-water-column wave energy converters: </w:t>
      </w:r>
      <w:r w:rsidRPr="000D1D4A">
        <w:rPr>
          <w:rFonts w:asciiTheme="majorBidi" w:hAnsiTheme="majorBidi" w:cstheme="majorBidi"/>
          <w:color w:val="000000" w:themeColor="text1"/>
          <w:sz w:val="20"/>
          <w:szCs w:val="20"/>
        </w:rPr>
        <w:lastRenderedPageBreak/>
        <w:t xml:space="preserve">Analyses and case study. </w:t>
      </w:r>
      <w:r w:rsidRPr="00084523">
        <w:rPr>
          <w:rFonts w:asciiTheme="majorBidi" w:hAnsiTheme="majorBidi" w:cstheme="majorBidi"/>
          <w:i/>
          <w:iCs/>
          <w:color w:val="000000" w:themeColor="text1"/>
          <w:sz w:val="20"/>
          <w:szCs w:val="20"/>
        </w:rPr>
        <w:t>Renew. Sustain. Energy Rev</w:t>
      </w:r>
      <w:r w:rsidRPr="000D1D4A">
        <w:rPr>
          <w:rFonts w:asciiTheme="majorBidi" w:hAnsiTheme="majorBidi" w:cstheme="majorBidi"/>
          <w:color w:val="000000" w:themeColor="text1"/>
          <w:sz w:val="20"/>
          <w:szCs w:val="20"/>
        </w:rPr>
        <w:t xml:space="preserve">. 2019, 112, 571–589. </w:t>
      </w:r>
      <w:hyperlink r:id="rId70" w:history="1">
        <w:r w:rsidRPr="000F37E2">
          <w:rPr>
            <w:rStyle w:val="Hyperlink"/>
            <w:rFonts w:asciiTheme="majorBidi" w:hAnsiTheme="majorBidi" w:cstheme="majorBidi"/>
            <w:sz w:val="20"/>
            <w:szCs w:val="20"/>
          </w:rPr>
          <w:t>https://doi.org/10.1016/j.rser.2019.05.010</w:t>
        </w:r>
      </w:hyperlink>
      <w:r w:rsidRPr="000D1D4A">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3EB69467" w14:textId="69B7BE5E" w:rsidR="00A34038" w:rsidRPr="00A34038" w:rsidRDefault="00A34038" w:rsidP="00A34038">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0D1D4A">
        <w:rPr>
          <w:rFonts w:asciiTheme="majorBidi" w:hAnsiTheme="majorBidi" w:cstheme="majorBidi"/>
          <w:color w:val="000000" w:themeColor="text1"/>
          <w:sz w:val="20"/>
          <w:szCs w:val="20"/>
        </w:rPr>
        <w:t xml:space="preserve">Falcão, A.F.O.; Henriques, J.C.C.; Gato, L.M.C. Self-rectifying air turbines for wave energy conversion: A comparative analysis. </w:t>
      </w:r>
      <w:r w:rsidRPr="00F03F37">
        <w:rPr>
          <w:rFonts w:asciiTheme="majorBidi" w:hAnsiTheme="majorBidi" w:cstheme="majorBidi"/>
          <w:i/>
          <w:iCs/>
          <w:color w:val="000000" w:themeColor="text1"/>
          <w:sz w:val="20"/>
          <w:szCs w:val="20"/>
        </w:rPr>
        <w:t>Renew. Sustain. Energy Rev</w:t>
      </w:r>
      <w:r w:rsidRPr="000D1D4A">
        <w:rPr>
          <w:rFonts w:asciiTheme="majorBidi" w:hAnsiTheme="majorBidi" w:cstheme="majorBidi"/>
          <w:color w:val="000000" w:themeColor="text1"/>
          <w:sz w:val="20"/>
          <w:szCs w:val="20"/>
        </w:rPr>
        <w:t xml:space="preserve">. 2018, 91, 1231–1241. </w:t>
      </w:r>
      <w:hyperlink r:id="rId71" w:history="1">
        <w:r w:rsidRPr="000F37E2">
          <w:rPr>
            <w:rStyle w:val="Hyperlink"/>
            <w:rFonts w:asciiTheme="majorBidi" w:hAnsiTheme="majorBidi" w:cstheme="majorBidi"/>
            <w:sz w:val="20"/>
            <w:szCs w:val="20"/>
          </w:rPr>
          <w:t>https://doi.org/10.1016/j.rser.2018.04.019</w:t>
        </w:r>
      </w:hyperlink>
      <w:r w:rsidRPr="000D1D4A">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1AE5B941" w14:textId="165528A9" w:rsidR="00A34038" w:rsidRPr="00A34038" w:rsidRDefault="00A34038" w:rsidP="00A34038">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0D1D4A">
        <w:rPr>
          <w:rFonts w:asciiTheme="majorBidi" w:hAnsiTheme="majorBidi" w:cstheme="majorBidi"/>
          <w:color w:val="000000" w:themeColor="text1"/>
          <w:sz w:val="20"/>
          <w:szCs w:val="20"/>
        </w:rPr>
        <w:t xml:space="preserve">Elhanafi, A.; Fleming, A.; Macfarlane, G.; Leong, Z. Numerical hydrodynamic analysis of an offshore stationary–floating oscillating water column–wave energy converter using CFD. Int. J. Nav. Archit. </w:t>
      </w:r>
      <w:r w:rsidRPr="007D47E1">
        <w:rPr>
          <w:rFonts w:asciiTheme="majorBidi" w:hAnsiTheme="majorBidi" w:cstheme="majorBidi"/>
          <w:i/>
          <w:iCs/>
          <w:color w:val="000000" w:themeColor="text1"/>
          <w:sz w:val="20"/>
          <w:szCs w:val="20"/>
        </w:rPr>
        <w:t>Ocean Eng.</w:t>
      </w:r>
      <w:r w:rsidRPr="000D1D4A">
        <w:rPr>
          <w:rFonts w:asciiTheme="majorBidi" w:hAnsiTheme="majorBidi" w:cstheme="majorBidi"/>
          <w:color w:val="000000" w:themeColor="text1"/>
          <w:sz w:val="20"/>
          <w:szCs w:val="20"/>
        </w:rPr>
        <w:t xml:space="preserve"> 2017, 9, 77–99. </w:t>
      </w:r>
      <w:hyperlink r:id="rId72" w:history="1">
        <w:r w:rsidRPr="000F37E2">
          <w:rPr>
            <w:rStyle w:val="Hyperlink"/>
            <w:rFonts w:asciiTheme="majorBidi" w:hAnsiTheme="majorBidi" w:cstheme="majorBidi"/>
            <w:sz w:val="20"/>
            <w:szCs w:val="20"/>
          </w:rPr>
          <w:t>https://doi.org/10.1016/j.ijnaoe.2016.08.002</w:t>
        </w:r>
      </w:hyperlink>
      <w:r w:rsidRPr="000D1D4A">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0A855D44" w14:textId="157690BD" w:rsidR="00A34038" w:rsidRPr="00A34038" w:rsidRDefault="00A34038" w:rsidP="00A34038">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0D1D4A">
        <w:rPr>
          <w:rFonts w:asciiTheme="majorBidi" w:hAnsiTheme="majorBidi" w:cstheme="majorBidi"/>
          <w:color w:val="000000" w:themeColor="text1"/>
          <w:sz w:val="20"/>
          <w:szCs w:val="20"/>
        </w:rPr>
        <w:t xml:space="preserve">Folley, M.; Whittaker, T.J.T.; Henry, A. The effect of water depth on the performance of a small surging wave energy converter. </w:t>
      </w:r>
      <w:r w:rsidRPr="004761AA">
        <w:rPr>
          <w:rFonts w:asciiTheme="majorBidi" w:hAnsiTheme="majorBidi" w:cstheme="majorBidi"/>
          <w:i/>
          <w:iCs/>
          <w:color w:val="000000" w:themeColor="text1"/>
          <w:sz w:val="20"/>
          <w:szCs w:val="20"/>
        </w:rPr>
        <w:t>Ocean Eng.</w:t>
      </w:r>
      <w:r w:rsidRPr="000D1D4A">
        <w:rPr>
          <w:rFonts w:asciiTheme="majorBidi" w:hAnsiTheme="majorBidi" w:cstheme="majorBidi"/>
          <w:color w:val="000000" w:themeColor="text1"/>
          <w:sz w:val="20"/>
          <w:szCs w:val="20"/>
        </w:rPr>
        <w:t xml:space="preserve"> 2007, 34, 1265–1274. </w:t>
      </w:r>
      <w:hyperlink r:id="rId73" w:history="1">
        <w:r w:rsidRPr="000F37E2">
          <w:rPr>
            <w:rStyle w:val="Hyperlink"/>
            <w:rFonts w:asciiTheme="majorBidi" w:hAnsiTheme="majorBidi" w:cstheme="majorBidi"/>
            <w:sz w:val="20"/>
            <w:szCs w:val="20"/>
          </w:rPr>
          <w:t>https://doi.org/10.1016/j.oceaneng.2006.05.015</w:t>
        </w:r>
      </w:hyperlink>
      <w:r w:rsidRPr="000D1D4A">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748D0484" w14:textId="3E4979EB" w:rsidR="00A34038" w:rsidRPr="00A34038" w:rsidRDefault="00A34038" w:rsidP="00A34038">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0D1D4A">
        <w:rPr>
          <w:rFonts w:asciiTheme="majorBidi" w:hAnsiTheme="majorBidi" w:cstheme="majorBidi"/>
          <w:color w:val="000000" w:themeColor="text1"/>
          <w:sz w:val="20"/>
          <w:szCs w:val="20"/>
        </w:rPr>
        <w:t xml:space="preserve">Penalba, M.; Giorgi, G.; Ringwood, J.V. A review of non-linear approaches for wave energy converter modelling. In </w:t>
      </w:r>
      <w:r w:rsidRPr="004761AA">
        <w:rPr>
          <w:rFonts w:asciiTheme="majorBidi" w:hAnsiTheme="majorBidi" w:cstheme="majorBidi"/>
          <w:i/>
          <w:iCs/>
          <w:color w:val="000000" w:themeColor="text1"/>
          <w:sz w:val="20"/>
          <w:szCs w:val="20"/>
        </w:rPr>
        <w:t>Proceedings of the 11th European Wave and Tidal Energy Conference</w:t>
      </w:r>
      <w:r w:rsidRPr="000D1D4A">
        <w:rPr>
          <w:rFonts w:asciiTheme="majorBidi" w:hAnsiTheme="majorBidi" w:cstheme="majorBidi"/>
          <w:color w:val="000000" w:themeColor="text1"/>
          <w:sz w:val="20"/>
          <w:szCs w:val="20"/>
        </w:rPr>
        <w:t>, Nantes, France, 6–11 September 2015. Available online: https://mural.maynoothuniversity.ie/id/eprint/6678/ (accessed on 7 October 2025).</w:t>
      </w:r>
      <w:r>
        <w:rPr>
          <w:rFonts w:asciiTheme="majorBidi" w:hAnsiTheme="majorBidi" w:cstheme="majorBidi"/>
          <w:color w:val="000000" w:themeColor="text1"/>
          <w:sz w:val="20"/>
          <w:szCs w:val="20"/>
        </w:rPr>
        <w:t xml:space="preserve"> </w:t>
      </w:r>
    </w:p>
    <w:p w14:paraId="6E23DE9A" w14:textId="350DC884" w:rsidR="00A34038" w:rsidRPr="00A34038" w:rsidRDefault="00A34038" w:rsidP="00A34038">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proofErr w:type="spellStart"/>
      <w:r w:rsidRPr="000D1D4A">
        <w:rPr>
          <w:rFonts w:asciiTheme="majorBidi" w:hAnsiTheme="majorBidi" w:cstheme="majorBidi"/>
          <w:color w:val="000000" w:themeColor="text1"/>
          <w:sz w:val="20"/>
          <w:szCs w:val="20"/>
        </w:rPr>
        <w:t>Karimirad</w:t>
      </w:r>
      <w:proofErr w:type="spellEnd"/>
      <w:r w:rsidRPr="000D1D4A">
        <w:rPr>
          <w:rFonts w:asciiTheme="majorBidi" w:hAnsiTheme="majorBidi" w:cstheme="majorBidi"/>
          <w:color w:val="000000" w:themeColor="text1"/>
          <w:sz w:val="20"/>
          <w:szCs w:val="20"/>
        </w:rPr>
        <w:t xml:space="preserve">, M.; Moan, T. A simplified method for coupled analysis of floating offshore wind turbines. Mar. Struct. 2012, 27, 45–63. </w:t>
      </w:r>
      <w:hyperlink r:id="rId74" w:history="1">
        <w:r w:rsidRPr="000F37E2">
          <w:rPr>
            <w:rStyle w:val="Hyperlink"/>
            <w:rFonts w:asciiTheme="majorBidi" w:hAnsiTheme="majorBidi" w:cstheme="majorBidi"/>
            <w:sz w:val="20"/>
            <w:szCs w:val="20"/>
          </w:rPr>
          <w:t>https://doi.org/10.1016/j.marstruc.2012.03.003</w:t>
        </w:r>
      </w:hyperlink>
      <w:r w:rsidRPr="000D1D4A">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69CD6E9F" w14:textId="1B4F9872" w:rsidR="00A34038" w:rsidRPr="00A34038" w:rsidRDefault="00A34038" w:rsidP="00A34038">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0D1D4A">
        <w:rPr>
          <w:rFonts w:asciiTheme="majorBidi" w:hAnsiTheme="majorBidi" w:cstheme="majorBidi"/>
          <w:color w:val="000000" w:themeColor="text1"/>
          <w:sz w:val="20"/>
          <w:szCs w:val="20"/>
        </w:rPr>
        <w:t xml:space="preserve">Whittaker, T.; Folley, M. Nearshore oscillating wave surge converters and the development of Oyster. </w:t>
      </w:r>
      <w:r w:rsidRPr="00FF630E">
        <w:rPr>
          <w:rFonts w:asciiTheme="majorBidi" w:hAnsiTheme="majorBidi" w:cstheme="majorBidi"/>
          <w:i/>
          <w:iCs/>
          <w:color w:val="000000" w:themeColor="text1"/>
          <w:sz w:val="20"/>
          <w:szCs w:val="20"/>
        </w:rPr>
        <w:t>Philos. Trans. R. Soc</w:t>
      </w:r>
      <w:r w:rsidRPr="000D1D4A">
        <w:rPr>
          <w:rFonts w:asciiTheme="majorBidi" w:hAnsiTheme="majorBidi" w:cstheme="majorBidi"/>
          <w:color w:val="000000" w:themeColor="text1"/>
          <w:sz w:val="20"/>
          <w:szCs w:val="20"/>
        </w:rPr>
        <w:t xml:space="preserve">. A 2012, 370, 345–364. </w:t>
      </w:r>
      <w:hyperlink r:id="rId75" w:history="1">
        <w:r w:rsidRPr="000F37E2">
          <w:rPr>
            <w:rStyle w:val="Hyperlink"/>
            <w:rFonts w:asciiTheme="majorBidi" w:hAnsiTheme="majorBidi" w:cstheme="majorBidi"/>
            <w:sz w:val="20"/>
            <w:szCs w:val="20"/>
          </w:rPr>
          <w:t>https://doi.org/10.1098/rsta.2011.0152</w:t>
        </w:r>
      </w:hyperlink>
      <w:r w:rsidRPr="000D1D4A">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395B08F6" w14:textId="4B5BC347" w:rsidR="00A34038" w:rsidRPr="00A34038" w:rsidRDefault="00A34038" w:rsidP="00A34038">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proofErr w:type="spellStart"/>
      <w:r w:rsidRPr="000D1D4A">
        <w:rPr>
          <w:rFonts w:asciiTheme="majorBidi" w:hAnsiTheme="majorBidi" w:cstheme="majorBidi"/>
          <w:color w:val="000000" w:themeColor="text1"/>
          <w:sz w:val="20"/>
          <w:szCs w:val="20"/>
        </w:rPr>
        <w:t>Babarit</w:t>
      </w:r>
      <w:proofErr w:type="spellEnd"/>
      <w:r w:rsidRPr="000D1D4A">
        <w:rPr>
          <w:rFonts w:asciiTheme="majorBidi" w:hAnsiTheme="majorBidi" w:cstheme="majorBidi"/>
          <w:color w:val="000000" w:themeColor="text1"/>
          <w:sz w:val="20"/>
          <w:szCs w:val="20"/>
        </w:rPr>
        <w:t xml:space="preserve">, A.; Hals, J.; </w:t>
      </w:r>
      <w:proofErr w:type="spellStart"/>
      <w:r w:rsidRPr="000D1D4A">
        <w:rPr>
          <w:rFonts w:asciiTheme="majorBidi" w:hAnsiTheme="majorBidi" w:cstheme="majorBidi"/>
          <w:color w:val="000000" w:themeColor="text1"/>
          <w:sz w:val="20"/>
          <w:szCs w:val="20"/>
        </w:rPr>
        <w:t>Muliawan</w:t>
      </w:r>
      <w:proofErr w:type="spellEnd"/>
      <w:r w:rsidRPr="000D1D4A">
        <w:rPr>
          <w:rFonts w:asciiTheme="majorBidi" w:hAnsiTheme="majorBidi" w:cstheme="majorBidi"/>
          <w:color w:val="000000" w:themeColor="text1"/>
          <w:sz w:val="20"/>
          <w:szCs w:val="20"/>
        </w:rPr>
        <w:t xml:space="preserve">, M.J.; Kurniawan, A.; Moan, T.; </w:t>
      </w:r>
      <w:proofErr w:type="spellStart"/>
      <w:r w:rsidRPr="000D1D4A">
        <w:rPr>
          <w:rFonts w:asciiTheme="majorBidi" w:hAnsiTheme="majorBidi" w:cstheme="majorBidi"/>
          <w:color w:val="000000" w:themeColor="text1"/>
          <w:sz w:val="20"/>
          <w:szCs w:val="20"/>
        </w:rPr>
        <w:t>Krokstad</w:t>
      </w:r>
      <w:proofErr w:type="spellEnd"/>
      <w:r w:rsidRPr="000D1D4A">
        <w:rPr>
          <w:rFonts w:asciiTheme="majorBidi" w:hAnsiTheme="majorBidi" w:cstheme="majorBidi"/>
          <w:color w:val="000000" w:themeColor="text1"/>
          <w:sz w:val="20"/>
          <w:szCs w:val="20"/>
        </w:rPr>
        <w:t xml:space="preserve">, J. Numerical benchmarking study of a selection of wave energy converters. </w:t>
      </w:r>
      <w:r w:rsidRPr="005537E9">
        <w:rPr>
          <w:rFonts w:asciiTheme="majorBidi" w:hAnsiTheme="majorBidi" w:cstheme="majorBidi"/>
          <w:i/>
          <w:iCs/>
          <w:color w:val="000000" w:themeColor="text1"/>
          <w:sz w:val="20"/>
          <w:szCs w:val="20"/>
        </w:rPr>
        <w:t>Renew. Energy</w:t>
      </w:r>
      <w:r w:rsidRPr="000D1D4A">
        <w:rPr>
          <w:rFonts w:asciiTheme="majorBidi" w:hAnsiTheme="majorBidi" w:cstheme="majorBidi"/>
          <w:color w:val="000000" w:themeColor="text1"/>
          <w:sz w:val="20"/>
          <w:szCs w:val="20"/>
        </w:rPr>
        <w:t xml:space="preserve"> 2012, 41, 44–63. </w:t>
      </w:r>
      <w:hyperlink r:id="rId76" w:history="1">
        <w:r w:rsidRPr="000F37E2">
          <w:rPr>
            <w:rStyle w:val="Hyperlink"/>
            <w:rFonts w:asciiTheme="majorBidi" w:hAnsiTheme="majorBidi" w:cstheme="majorBidi"/>
            <w:sz w:val="20"/>
            <w:szCs w:val="20"/>
          </w:rPr>
          <w:t>https://doi.org/10.1016/j.renene.2011.10.002</w:t>
        </w:r>
      </w:hyperlink>
      <w:r w:rsidRPr="000D1D4A">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10BB5C6F" w14:textId="02E0C6B5" w:rsidR="00A34038" w:rsidRPr="00A34038" w:rsidRDefault="00A34038" w:rsidP="00A34038">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0D1D4A">
        <w:rPr>
          <w:rFonts w:asciiTheme="majorBidi" w:hAnsiTheme="majorBidi" w:cstheme="majorBidi"/>
          <w:color w:val="000000" w:themeColor="text1"/>
          <w:sz w:val="20"/>
          <w:szCs w:val="20"/>
        </w:rPr>
        <w:t xml:space="preserve">Li, Q.; </w:t>
      </w:r>
      <w:proofErr w:type="spellStart"/>
      <w:r w:rsidRPr="000D1D4A">
        <w:rPr>
          <w:rFonts w:asciiTheme="majorBidi" w:hAnsiTheme="majorBidi" w:cstheme="majorBidi"/>
          <w:color w:val="000000" w:themeColor="text1"/>
          <w:sz w:val="20"/>
          <w:szCs w:val="20"/>
        </w:rPr>
        <w:t>Michailides</w:t>
      </w:r>
      <w:proofErr w:type="spellEnd"/>
      <w:r w:rsidRPr="000D1D4A">
        <w:rPr>
          <w:rFonts w:asciiTheme="majorBidi" w:hAnsiTheme="majorBidi" w:cstheme="majorBidi"/>
          <w:color w:val="000000" w:themeColor="text1"/>
          <w:sz w:val="20"/>
          <w:szCs w:val="20"/>
        </w:rPr>
        <w:t xml:space="preserve">, C.; Gao, Z.; Moan, T. A comparative study of different methods for predicting the long-term extreme structural responses of the combined wind and wave energy concept semisubmersible wind energy and flap-type wave energy converter. Proc. </w:t>
      </w:r>
      <w:r w:rsidRPr="00B67111">
        <w:rPr>
          <w:rFonts w:asciiTheme="majorBidi" w:hAnsiTheme="majorBidi" w:cstheme="majorBidi"/>
          <w:i/>
          <w:iCs/>
          <w:color w:val="000000" w:themeColor="text1"/>
          <w:sz w:val="20"/>
          <w:szCs w:val="20"/>
        </w:rPr>
        <w:t>Inst. Mech. Eng. Part M J. Eng. Marit. Environ</w:t>
      </w:r>
      <w:r w:rsidRPr="000D1D4A">
        <w:rPr>
          <w:rFonts w:asciiTheme="majorBidi" w:hAnsiTheme="majorBidi" w:cstheme="majorBidi"/>
          <w:color w:val="000000" w:themeColor="text1"/>
          <w:sz w:val="20"/>
          <w:szCs w:val="20"/>
        </w:rPr>
        <w:t xml:space="preserve">. 2018, 232, 85–96. </w:t>
      </w:r>
      <w:hyperlink r:id="rId77" w:history="1">
        <w:r w:rsidRPr="000F37E2">
          <w:rPr>
            <w:rStyle w:val="Hyperlink"/>
            <w:rFonts w:asciiTheme="majorBidi" w:hAnsiTheme="majorBidi" w:cstheme="majorBidi"/>
            <w:sz w:val="20"/>
            <w:szCs w:val="20"/>
          </w:rPr>
          <w:t>https://doi.org/10.1177/1475090217726886</w:t>
        </w:r>
      </w:hyperlink>
      <w:r w:rsidRPr="000D1D4A">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67A13C5A" w14:textId="77DA5293" w:rsidR="00A34038" w:rsidRPr="00A34038" w:rsidRDefault="00A34038" w:rsidP="00A34038">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0D1D4A">
        <w:rPr>
          <w:rFonts w:asciiTheme="majorBidi" w:hAnsiTheme="majorBidi" w:cstheme="majorBidi"/>
          <w:color w:val="000000" w:themeColor="text1"/>
          <w:sz w:val="20"/>
          <w:szCs w:val="20"/>
        </w:rPr>
        <w:t>Newman, J.N. Marine Hydrodynamics; MIT Press: Cambridge, MA, USA, 1977.</w:t>
      </w:r>
      <w:r>
        <w:rPr>
          <w:rFonts w:asciiTheme="majorBidi" w:hAnsiTheme="majorBidi" w:cstheme="majorBidi"/>
          <w:color w:val="000000" w:themeColor="text1"/>
          <w:sz w:val="20"/>
          <w:szCs w:val="20"/>
        </w:rPr>
        <w:t xml:space="preserve"> </w:t>
      </w:r>
    </w:p>
    <w:p w14:paraId="0ADB8B18" w14:textId="7AAEA627" w:rsidR="00A34038" w:rsidRPr="00A34038" w:rsidRDefault="00A34038" w:rsidP="00A34038">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0D1D4A">
        <w:rPr>
          <w:rFonts w:asciiTheme="majorBidi" w:hAnsiTheme="majorBidi" w:cstheme="majorBidi"/>
          <w:color w:val="000000" w:themeColor="text1"/>
          <w:sz w:val="20"/>
          <w:szCs w:val="20"/>
        </w:rPr>
        <w:t xml:space="preserve">Cummins, W.E. </w:t>
      </w:r>
      <w:r w:rsidRPr="00C225D1">
        <w:rPr>
          <w:rFonts w:asciiTheme="majorBidi" w:hAnsiTheme="majorBidi" w:cstheme="majorBidi"/>
          <w:i/>
          <w:iCs/>
          <w:color w:val="000000" w:themeColor="text1"/>
          <w:sz w:val="20"/>
          <w:szCs w:val="20"/>
        </w:rPr>
        <w:t>The impulse response function and ship motions</w:t>
      </w:r>
      <w:r w:rsidRPr="000D1D4A">
        <w:rPr>
          <w:rFonts w:asciiTheme="majorBidi" w:hAnsiTheme="majorBidi" w:cstheme="majorBidi"/>
          <w:color w:val="000000" w:themeColor="text1"/>
          <w:sz w:val="20"/>
          <w:szCs w:val="20"/>
        </w:rPr>
        <w:t xml:space="preserve">. </w:t>
      </w:r>
      <w:proofErr w:type="spellStart"/>
      <w:r w:rsidRPr="000D1D4A">
        <w:rPr>
          <w:rFonts w:asciiTheme="majorBidi" w:hAnsiTheme="majorBidi" w:cstheme="majorBidi"/>
          <w:color w:val="000000" w:themeColor="text1"/>
          <w:sz w:val="20"/>
          <w:szCs w:val="20"/>
        </w:rPr>
        <w:t>Schiffstechnik</w:t>
      </w:r>
      <w:proofErr w:type="spellEnd"/>
      <w:r w:rsidRPr="000D1D4A">
        <w:rPr>
          <w:rFonts w:asciiTheme="majorBidi" w:hAnsiTheme="majorBidi" w:cstheme="majorBidi"/>
          <w:color w:val="000000" w:themeColor="text1"/>
          <w:sz w:val="20"/>
          <w:szCs w:val="20"/>
        </w:rPr>
        <w:t xml:space="preserve"> 1962, 9, 101–109. Available online: https://apps.dtic.mil/sti/trecms/pdf/AD0288277.pdf (accessed on 19 October 2025).</w:t>
      </w:r>
    </w:p>
    <w:p w14:paraId="2EFEAF8A" w14:textId="1D82E928" w:rsidR="00A34038" w:rsidRPr="00A34038" w:rsidRDefault="00A34038" w:rsidP="00A34038">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0D1D4A">
        <w:rPr>
          <w:rFonts w:asciiTheme="majorBidi" w:hAnsiTheme="majorBidi" w:cstheme="majorBidi"/>
          <w:color w:val="000000" w:themeColor="text1"/>
          <w:sz w:val="20"/>
          <w:szCs w:val="20"/>
        </w:rPr>
        <w:t xml:space="preserve">Newman, J.N. The theory of ship motions. </w:t>
      </w:r>
      <w:r w:rsidRPr="005D24F2">
        <w:rPr>
          <w:rFonts w:asciiTheme="majorBidi" w:hAnsiTheme="majorBidi" w:cstheme="majorBidi"/>
          <w:i/>
          <w:iCs/>
          <w:color w:val="000000" w:themeColor="text1"/>
          <w:sz w:val="20"/>
          <w:szCs w:val="20"/>
        </w:rPr>
        <w:t>Adv. Appl. Mech.</w:t>
      </w:r>
      <w:r w:rsidRPr="000D1D4A">
        <w:rPr>
          <w:rFonts w:asciiTheme="majorBidi" w:hAnsiTheme="majorBidi" w:cstheme="majorBidi"/>
          <w:color w:val="000000" w:themeColor="text1"/>
          <w:sz w:val="20"/>
          <w:szCs w:val="20"/>
        </w:rPr>
        <w:t xml:space="preserve"> 1978, 18, 221–283. </w:t>
      </w:r>
      <w:hyperlink r:id="rId78" w:history="1">
        <w:r w:rsidRPr="000F37E2">
          <w:rPr>
            <w:rStyle w:val="Hyperlink"/>
            <w:rFonts w:asciiTheme="majorBidi" w:hAnsiTheme="majorBidi" w:cstheme="majorBidi"/>
            <w:sz w:val="20"/>
            <w:szCs w:val="20"/>
          </w:rPr>
          <w:t>https://doi.org/10.1016/S0065-2156(08)70268-0</w:t>
        </w:r>
      </w:hyperlink>
      <w:r w:rsidRPr="000D1D4A">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6E8914A5" w14:textId="154D572F" w:rsidR="00A34038" w:rsidRPr="00A34038" w:rsidRDefault="00A34038" w:rsidP="00A34038">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proofErr w:type="spellStart"/>
      <w:r w:rsidRPr="000D1D4A">
        <w:rPr>
          <w:rFonts w:asciiTheme="majorBidi" w:hAnsiTheme="majorBidi" w:cstheme="majorBidi"/>
          <w:color w:val="000000" w:themeColor="text1"/>
          <w:sz w:val="20"/>
          <w:szCs w:val="20"/>
        </w:rPr>
        <w:t>Falnes</w:t>
      </w:r>
      <w:proofErr w:type="spellEnd"/>
      <w:r w:rsidRPr="000D1D4A">
        <w:rPr>
          <w:rFonts w:asciiTheme="majorBidi" w:hAnsiTheme="majorBidi" w:cstheme="majorBidi"/>
          <w:color w:val="000000" w:themeColor="text1"/>
          <w:sz w:val="20"/>
          <w:szCs w:val="20"/>
        </w:rPr>
        <w:t xml:space="preserve">, J. Ocean Waves and Oscillating Systems: Linear Interactions Including Wave-Energy Extraction; </w:t>
      </w:r>
      <w:r w:rsidRPr="00C239AD">
        <w:rPr>
          <w:rFonts w:asciiTheme="majorBidi" w:hAnsiTheme="majorBidi" w:cstheme="majorBidi"/>
          <w:i/>
          <w:iCs/>
          <w:color w:val="000000" w:themeColor="text1"/>
          <w:sz w:val="20"/>
          <w:szCs w:val="20"/>
        </w:rPr>
        <w:t>Cambridge University Press</w:t>
      </w:r>
      <w:r w:rsidRPr="000D1D4A">
        <w:rPr>
          <w:rFonts w:asciiTheme="majorBidi" w:hAnsiTheme="majorBidi" w:cstheme="majorBidi"/>
          <w:color w:val="000000" w:themeColor="text1"/>
          <w:sz w:val="20"/>
          <w:szCs w:val="20"/>
        </w:rPr>
        <w:t xml:space="preserve">: Cambridge, UK, 2002. </w:t>
      </w:r>
      <w:hyperlink r:id="rId79" w:history="1">
        <w:r w:rsidRPr="000F37E2">
          <w:rPr>
            <w:rStyle w:val="Hyperlink"/>
            <w:rFonts w:asciiTheme="majorBidi" w:hAnsiTheme="majorBidi" w:cstheme="majorBidi"/>
            <w:sz w:val="20"/>
            <w:szCs w:val="20"/>
          </w:rPr>
          <w:t>https://doi.org/10.1017/CBO9780511754630</w:t>
        </w:r>
      </w:hyperlink>
      <w:r w:rsidRPr="000D1D4A">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7774C977" w14:textId="1D5DAC14" w:rsidR="00A34038" w:rsidRPr="00A34038" w:rsidRDefault="00A34038" w:rsidP="00A34038">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proofErr w:type="spellStart"/>
      <w:r w:rsidRPr="000D1D4A">
        <w:rPr>
          <w:rFonts w:asciiTheme="majorBidi" w:hAnsiTheme="majorBidi" w:cstheme="majorBidi"/>
          <w:color w:val="000000" w:themeColor="text1"/>
          <w:sz w:val="20"/>
          <w:szCs w:val="20"/>
        </w:rPr>
        <w:t>Astariz</w:t>
      </w:r>
      <w:proofErr w:type="spellEnd"/>
      <w:r w:rsidRPr="000D1D4A">
        <w:rPr>
          <w:rFonts w:asciiTheme="majorBidi" w:hAnsiTheme="majorBidi" w:cstheme="majorBidi"/>
          <w:color w:val="000000" w:themeColor="text1"/>
          <w:sz w:val="20"/>
          <w:szCs w:val="20"/>
        </w:rPr>
        <w:t xml:space="preserve">, S.; Iglesias, G. Enhancing wave energy competitiveness through co-located wind and wave energy farms. </w:t>
      </w:r>
      <w:r w:rsidRPr="00BE7801">
        <w:rPr>
          <w:rFonts w:asciiTheme="majorBidi" w:hAnsiTheme="majorBidi" w:cstheme="majorBidi"/>
          <w:i/>
          <w:iCs/>
          <w:color w:val="000000" w:themeColor="text1"/>
          <w:sz w:val="20"/>
          <w:szCs w:val="20"/>
        </w:rPr>
        <w:t>A review on the shadow effect. Energies</w:t>
      </w:r>
      <w:r w:rsidRPr="000D1D4A">
        <w:rPr>
          <w:rFonts w:asciiTheme="majorBidi" w:hAnsiTheme="majorBidi" w:cstheme="majorBidi"/>
          <w:color w:val="000000" w:themeColor="text1"/>
          <w:sz w:val="20"/>
          <w:szCs w:val="20"/>
        </w:rPr>
        <w:t xml:space="preserve"> 2015, 8, 7344–7366. </w:t>
      </w:r>
      <w:hyperlink r:id="rId80" w:history="1">
        <w:r w:rsidRPr="000F37E2">
          <w:rPr>
            <w:rStyle w:val="Hyperlink"/>
            <w:rFonts w:asciiTheme="majorBidi" w:hAnsiTheme="majorBidi" w:cstheme="majorBidi"/>
            <w:sz w:val="20"/>
            <w:szCs w:val="20"/>
          </w:rPr>
          <w:t>https://doi.org/10.3390/en8077344</w:t>
        </w:r>
      </w:hyperlink>
      <w:r w:rsidRPr="000D1D4A">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02D4C859" w14:textId="7BC7ABE9" w:rsidR="00A34038" w:rsidRPr="00A34038" w:rsidRDefault="00A34038" w:rsidP="00A34038">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proofErr w:type="spellStart"/>
      <w:r w:rsidRPr="000D1D4A">
        <w:rPr>
          <w:rFonts w:asciiTheme="majorBidi" w:hAnsiTheme="majorBidi" w:cstheme="majorBidi"/>
          <w:color w:val="000000" w:themeColor="text1"/>
          <w:sz w:val="20"/>
          <w:szCs w:val="20"/>
        </w:rPr>
        <w:lastRenderedPageBreak/>
        <w:t>Babarit</w:t>
      </w:r>
      <w:proofErr w:type="spellEnd"/>
      <w:r w:rsidRPr="000D1D4A">
        <w:rPr>
          <w:rFonts w:asciiTheme="majorBidi" w:hAnsiTheme="majorBidi" w:cstheme="majorBidi"/>
          <w:color w:val="000000" w:themeColor="text1"/>
          <w:sz w:val="20"/>
          <w:szCs w:val="20"/>
        </w:rPr>
        <w:t xml:space="preserve">, A. A database of capture width ratio of wave energy converters. </w:t>
      </w:r>
      <w:r w:rsidRPr="009B44F3">
        <w:rPr>
          <w:rFonts w:asciiTheme="majorBidi" w:hAnsiTheme="majorBidi" w:cstheme="majorBidi"/>
          <w:i/>
          <w:iCs/>
          <w:color w:val="000000" w:themeColor="text1"/>
          <w:sz w:val="20"/>
          <w:szCs w:val="20"/>
        </w:rPr>
        <w:t>Renew. Energy</w:t>
      </w:r>
      <w:r w:rsidRPr="000D1D4A">
        <w:rPr>
          <w:rFonts w:asciiTheme="majorBidi" w:hAnsiTheme="majorBidi" w:cstheme="majorBidi"/>
          <w:color w:val="000000" w:themeColor="text1"/>
          <w:sz w:val="20"/>
          <w:szCs w:val="20"/>
        </w:rPr>
        <w:t xml:space="preserve"> 2015, 80, 610–628. </w:t>
      </w:r>
      <w:hyperlink r:id="rId81" w:history="1">
        <w:r w:rsidRPr="000F37E2">
          <w:rPr>
            <w:rStyle w:val="Hyperlink"/>
            <w:rFonts w:asciiTheme="majorBidi" w:hAnsiTheme="majorBidi" w:cstheme="majorBidi"/>
            <w:sz w:val="20"/>
            <w:szCs w:val="20"/>
          </w:rPr>
          <w:t>https://doi.org/10.1016/j.renene.2015.02.049</w:t>
        </w:r>
      </w:hyperlink>
      <w:r w:rsidRPr="000D1D4A">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5AB5B81A" w14:textId="3E1A9129" w:rsidR="00A34038" w:rsidRPr="00A34038" w:rsidRDefault="00A34038" w:rsidP="00A34038">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proofErr w:type="spellStart"/>
      <w:r w:rsidRPr="000D1D4A">
        <w:rPr>
          <w:rFonts w:asciiTheme="majorBidi" w:hAnsiTheme="majorBidi" w:cstheme="majorBidi"/>
          <w:color w:val="000000" w:themeColor="text1"/>
          <w:sz w:val="20"/>
          <w:szCs w:val="20"/>
        </w:rPr>
        <w:t>Ambühl</w:t>
      </w:r>
      <w:proofErr w:type="spellEnd"/>
      <w:r w:rsidRPr="000D1D4A">
        <w:rPr>
          <w:rFonts w:asciiTheme="majorBidi" w:hAnsiTheme="majorBidi" w:cstheme="majorBidi"/>
          <w:color w:val="000000" w:themeColor="text1"/>
          <w:sz w:val="20"/>
          <w:szCs w:val="20"/>
        </w:rPr>
        <w:t xml:space="preserve">, S.; Kramer, M.; Sørensen, J.D. Reliability-based structural optimization of wave energy converters. </w:t>
      </w:r>
      <w:r w:rsidRPr="007D7388">
        <w:rPr>
          <w:rFonts w:asciiTheme="majorBidi" w:hAnsiTheme="majorBidi" w:cstheme="majorBidi"/>
          <w:i/>
          <w:iCs/>
          <w:color w:val="000000" w:themeColor="text1"/>
          <w:sz w:val="20"/>
          <w:szCs w:val="20"/>
        </w:rPr>
        <w:t>Energies</w:t>
      </w:r>
      <w:r w:rsidRPr="000D1D4A">
        <w:rPr>
          <w:rFonts w:asciiTheme="majorBidi" w:hAnsiTheme="majorBidi" w:cstheme="majorBidi"/>
          <w:color w:val="000000" w:themeColor="text1"/>
          <w:sz w:val="20"/>
          <w:szCs w:val="20"/>
        </w:rPr>
        <w:t xml:space="preserve"> 2014, 7, 8178–8200. </w:t>
      </w:r>
      <w:hyperlink r:id="rId82" w:history="1">
        <w:r w:rsidRPr="000F37E2">
          <w:rPr>
            <w:rStyle w:val="Hyperlink"/>
            <w:rFonts w:asciiTheme="majorBidi" w:hAnsiTheme="majorBidi" w:cstheme="majorBidi"/>
            <w:sz w:val="20"/>
            <w:szCs w:val="20"/>
          </w:rPr>
          <w:t>https://doi.org/10.3390/en7128178</w:t>
        </w:r>
      </w:hyperlink>
      <w:r w:rsidRPr="000D1D4A">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1AB86765" w14:textId="7901239C" w:rsidR="00A34038" w:rsidRPr="00A34038" w:rsidRDefault="00A34038" w:rsidP="00A34038">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0D1D4A">
        <w:rPr>
          <w:rFonts w:asciiTheme="majorBidi" w:hAnsiTheme="majorBidi" w:cstheme="majorBidi"/>
          <w:color w:val="000000" w:themeColor="text1"/>
          <w:sz w:val="20"/>
          <w:szCs w:val="20"/>
        </w:rPr>
        <w:t xml:space="preserve">Dalton, G.J.; Alcorn, R.; Lewis, T. Case study feasibility analysis of the Pelamis wave energy converter in Ireland, Portugal and North America. </w:t>
      </w:r>
      <w:r w:rsidRPr="007D7388">
        <w:rPr>
          <w:rFonts w:asciiTheme="majorBidi" w:hAnsiTheme="majorBidi" w:cstheme="majorBidi"/>
          <w:i/>
          <w:iCs/>
          <w:color w:val="000000" w:themeColor="text1"/>
          <w:sz w:val="20"/>
          <w:szCs w:val="20"/>
        </w:rPr>
        <w:t>Renew. Energy</w:t>
      </w:r>
      <w:r w:rsidRPr="000D1D4A">
        <w:rPr>
          <w:rFonts w:asciiTheme="majorBidi" w:hAnsiTheme="majorBidi" w:cstheme="majorBidi"/>
          <w:color w:val="000000" w:themeColor="text1"/>
          <w:sz w:val="20"/>
          <w:szCs w:val="20"/>
        </w:rPr>
        <w:t xml:space="preserve"> 2010, 35, 443–455. </w:t>
      </w:r>
      <w:hyperlink r:id="rId83" w:history="1">
        <w:r w:rsidRPr="000F37E2">
          <w:rPr>
            <w:rStyle w:val="Hyperlink"/>
            <w:rFonts w:asciiTheme="majorBidi" w:hAnsiTheme="majorBidi" w:cstheme="majorBidi"/>
            <w:sz w:val="20"/>
            <w:szCs w:val="20"/>
          </w:rPr>
          <w:t>https://doi.org/10.1016/j.renene.2009.07.003</w:t>
        </w:r>
      </w:hyperlink>
      <w:r w:rsidRPr="000D1D4A">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0F828C61" w14:textId="46A0ACED" w:rsidR="00A34038" w:rsidRPr="00A34038" w:rsidRDefault="00A34038" w:rsidP="00A34038">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0D1D4A">
        <w:rPr>
          <w:rFonts w:asciiTheme="majorBidi" w:hAnsiTheme="majorBidi" w:cstheme="majorBidi"/>
          <w:color w:val="000000" w:themeColor="text1"/>
          <w:sz w:val="20"/>
          <w:szCs w:val="20"/>
        </w:rPr>
        <w:t xml:space="preserve">Jeffrey, H.; Sedgwick, J.; Gerrard, G. Public funding for ocean energy: A comparison of the UK and US. Technol. </w:t>
      </w:r>
      <w:r w:rsidRPr="006C574F">
        <w:rPr>
          <w:rFonts w:asciiTheme="majorBidi" w:hAnsiTheme="majorBidi" w:cstheme="majorBidi"/>
          <w:i/>
          <w:iCs/>
          <w:color w:val="000000" w:themeColor="text1"/>
          <w:sz w:val="20"/>
          <w:szCs w:val="20"/>
        </w:rPr>
        <w:t>Forecast. Soc. Chang</w:t>
      </w:r>
      <w:r w:rsidRPr="000D1D4A">
        <w:rPr>
          <w:rFonts w:asciiTheme="majorBidi" w:hAnsiTheme="majorBidi" w:cstheme="majorBidi"/>
          <w:color w:val="000000" w:themeColor="text1"/>
          <w:sz w:val="20"/>
          <w:szCs w:val="20"/>
        </w:rPr>
        <w:t xml:space="preserve">. 2014, 84, 155–170. </w:t>
      </w:r>
      <w:hyperlink r:id="rId84" w:history="1">
        <w:r w:rsidRPr="000F37E2">
          <w:rPr>
            <w:rStyle w:val="Hyperlink"/>
            <w:rFonts w:asciiTheme="majorBidi" w:hAnsiTheme="majorBidi" w:cstheme="majorBidi"/>
            <w:sz w:val="20"/>
            <w:szCs w:val="20"/>
          </w:rPr>
          <w:t>https://doi.org/10.1016/j.techfore.2013.08.006</w:t>
        </w:r>
      </w:hyperlink>
      <w:r w:rsidRPr="000D1D4A">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046058AC" w14:textId="7D787BA8" w:rsidR="00A34038" w:rsidRPr="00A34038" w:rsidRDefault="00A34038" w:rsidP="00A34038">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0D1D4A">
        <w:rPr>
          <w:rFonts w:asciiTheme="majorBidi" w:hAnsiTheme="majorBidi" w:cstheme="majorBidi"/>
          <w:color w:val="000000" w:themeColor="text1"/>
          <w:sz w:val="20"/>
          <w:szCs w:val="20"/>
        </w:rPr>
        <w:t xml:space="preserve">Johanning, L.; Smith, G.H.; Wolfram, J. Mooring design approach for wave energy converters. Proc. </w:t>
      </w:r>
      <w:r w:rsidRPr="006C574F">
        <w:rPr>
          <w:rFonts w:asciiTheme="majorBidi" w:hAnsiTheme="majorBidi" w:cstheme="majorBidi"/>
          <w:i/>
          <w:iCs/>
          <w:color w:val="000000" w:themeColor="text1"/>
          <w:sz w:val="20"/>
          <w:szCs w:val="20"/>
        </w:rPr>
        <w:t>Inst. Mech. Eng. Part M J. Eng. Marit. Environ</w:t>
      </w:r>
      <w:r w:rsidRPr="000D1D4A">
        <w:rPr>
          <w:rFonts w:asciiTheme="majorBidi" w:hAnsiTheme="majorBidi" w:cstheme="majorBidi"/>
          <w:color w:val="000000" w:themeColor="text1"/>
          <w:sz w:val="20"/>
          <w:szCs w:val="20"/>
        </w:rPr>
        <w:t xml:space="preserve">. 2006, 220, 159–174. </w:t>
      </w:r>
      <w:hyperlink r:id="rId85" w:history="1">
        <w:r w:rsidRPr="000F37E2">
          <w:rPr>
            <w:rStyle w:val="Hyperlink"/>
            <w:rFonts w:asciiTheme="majorBidi" w:hAnsiTheme="majorBidi" w:cstheme="majorBidi"/>
            <w:sz w:val="20"/>
            <w:szCs w:val="20"/>
          </w:rPr>
          <w:t>https://doi.org/10.1243/14750902JEME54</w:t>
        </w:r>
      </w:hyperlink>
      <w:r w:rsidRPr="000D1D4A">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63D91D67" w14:textId="4CE86D60" w:rsidR="00A34038" w:rsidRPr="00A34038" w:rsidRDefault="00A34038" w:rsidP="00A34038">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0D1D4A">
        <w:rPr>
          <w:rFonts w:asciiTheme="majorBidi" w:hAnsiTheme="majorBidi" w:cstheme="majorBidi"/>
          <w:color w:val="000000" w:themeColor="text1"/>
          <w:sz w:val="20"/>
          <w:szCs w:val="20"/>
        </w:rPr>
        <w:t>Jonkman, J.; Masciola, M.; Driscoll, F.; Robertson, A. Investigation of a FAST-</w:t>
      </w:r>
      <w:proofErr w:type="spellStart"/>
      <w:r w:rsidRPr="000D1D4A">
        <w:rPr>
          <w:rFonts w:asciiTheme="majorBidi" w:hAnsiTheme="majorBidi" w:cstheme="majorBidi"/>
          <w:color w:val="000000" w:themeColor="text1"/>
          <w:sz w:val="20"/>
          <w:szCs w:val="20"/>
        </w:rPr>
        <w:t>OrcaFlex</w:t>
      </w:r>
      <w:proofErr w:type="spellEnd"/>
      <w:r w:rsidRPr="000D1D4A">
        <w:rPr>
          <w:rFonts w:asciiTheme="majorBidi" w:hAnsiTheme="majorBidi" w:cstheme="majorBidi"/>
          <w:color w:val="000000" w:themeColor="text1"/>
          <w:sz w:val="20"/>
          <w:szCs w:val="20"/>
        </w:rPr>
        <w:t xml:space="preserve"> coupling module for integrating turbine and mooring dynamics of offshore floating wind turbines: Preprint. In </w:t>
      </w:r>
      <w:r w:rsidRPr="00C85C06">
        <w:rPr>
          <w:rFonts w:asciiTheme="majorBidi" w:hAnsiTheme="majorBidi" w:cstheme="majorBidi"/>
          <w:i/>
          <w:iCs/>
          <w:color w:val="000000" w:themeColor="text1"/>
          <w:sz w:val="20"/>
          <w:szCs w:val="20"/>
        </w:rPr>
        <w:t>Proceedings of the International Conference on Offshore Wind Energy and Ocean Energy</w:t>
      </w:r>
      <w:r w:rsidRPr="000D1D4A">
        <w:rPr>
          <w:rFonts w:asciiTheme="majorBidi" w:hAnsiTheme="majorBidi" w:cstheme="majorBidi"/>
          <w:color w:val="000000" w:themeColor="text1"/>
          <w:sz w:val="20"/>
          <w:szCs w:val="20"/>
        </w:rPr>
        <w:t>, Beijing, China, 31 October–2 November 2011. Available online: https://www.nrel.gov/docs/fy12osti/52896.pdf (accessed on 22 November 2025).</w:t>
      </w:r>
      <w:r>
        <w:rPr>
          <w:rFonts w:asciiTheme="majorBidi" w:hAnsiTheme="majorBidi" w:cstheme="majorBidi"/>
          <w:color w:val="000000" w:themeColor="text1"/>
          <w:sz w:val="20"/>
          <w:szCs w:val="20"/>
        </w:rPr>
        <w:t xml:space="preserve"> </w:t>
      </w:r>
    </w:p>
    <w:p w14:paraId="7E1ED116" w14:textId="7F1BDCD5" w:rsidR="00A34038" w:rsidRPr="00A34038" w:rsidRDefault="00A34038" w:rsidP="00A34038">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proofErr w:type="spellStart"/>
      <w:r w:rsidRPr="000D1D4A">
        <w:rPr>
          <w:rFonts w:asciiTheme="majorBidi" w:hAnsiTheme="majorBidi" w:cstheme="majorBidi"/>
          <w:color w:val="000000" w:themeColor="text1"/>
          <w:sz w:val="20"/>
          <w:szCs w:val="20"/>
        </w:rPr>
        <w:t>Hopstad</w:t>
      </w:r>
      <w:proofErr w:type="spellEnd"/>
      <w:r w:rsidRPr="000D1D4A">
        <w:rPr>
          <w:rFonts w:asciiTheme="majorBidi" w:hAnsiTheme="majorBidi" w:cstheme="majorBidi"/>
          <w:color w:val="000000" w:themeColor="text1"/>
          <w:sz w:val="20"/>
          <w:szCs w:val="20"/>
        </w:rPr>
        <w:t xml:space="preserve">, A.L.H.; Ronold, K.O.; </w:t>
      </w:r>
      <w:proofErr w:type="spellStart"/>
      <w:r w:rsidRPr="000D1D4A">
        <w:rPr>
          <w:rFonts w:asciiTheme="majorBidi" w:hAnsiTheme="majorBidi" w:cstheme="majorBidi"/>
          <w:color w:val="000000" w:themeColor="text1"/>
          <w:sz w:val="20"/>
          <w:szCs w:val="20"/>
        </w:rPr>
        <w:t>Argyriadis</w:t>
      </w:r>
      <w:proofErr w:type="spellEnd"/>
      <w:r w:rsidRPr="000D1D4A">
        <w:rPr>
          <w:rFonts w:asciiTheme="majorBidi" w:hAnsiTheme="majorBidi" w:cstheme="majorBidi"/>
          <w:color w:val="000000" w:themeColor="text1"/>
          <w:sz w:val="20"/>
          <w:szCs w:val="20"/>
        </w:rPr>
        <w:t xml:space="preserve">, K. Revision of DNV GL design standard for floating wind turbine structures. In </w:t>
      </w:r>
      <w:r w:rsidRPr="00F30CA8">
        <w:rPr>
          <w:rFonts w:asciiTheme="majorBidi" w:hAnsiTheme="majorBidi" w:cstheme="majorBidi"/>
          <w:i/>
          <w:iCs/>
          <w:color w:val="000000" w:themeColor="text1"/>
          <w:sz w:val="20"/>
          <w:szCs w:val="20"/>
        </w:rPr>
        <w:t>Proceedings of the ASME 2017 36th International Conference on Ocean, Offshore and Arctic Engineering</w:t>
      </w:r>
      <w:r w:rsidRPr="000D1D4A">
        <w:rPr>
          <w:rFonts w:asciiTheme="majorBidi" w:hAnsiTheme="majorBidi" w:cstheme="majorBidi"/>
          <w:color w:val="000000" w:themeColor="text1"/>
          <w:sz w:val="20"/>
          <w:szCs w:val="20"/>
        </w:rPr>
        <w:t xml:space="preserve">, Trondheim, Norway, 25–30 June 2017; Paper No. OMAE2017-62313. </w:t>
      </w:r>
      <w:hyperlink r:id="rId86" w:history="1">
        <w:r w:rsidRPr="000F37E2">
          <w:rPr>
            <w:rStyle w:val="Hyperlink"/>
            <w:rFonts w:asciiTheme="majorBidi" w:hAnsiTheme="majorBidi" w:cstheme="majorBidi"/>
            <w:sz w:val="20"/>
            <w:szCs w:val="20"/>
          </w:rPr>
          <w:t>https://doi.org/10.1115/OMAE2017-62313</w:t>
        </w:r>
      </w:hyperlink>
      <w:r w:rsidRPr="000D1D4A">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1298AFF7" w14:textId="79DF0B66" w:rsidR="00A34038" w:rsidRPr="00A34038" w:rsidRDefault="00A34038" w:rsidP="00A34038">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0D1D4A">
        <w:rPr>
          <w:rFonts w:asciiTheme="majorBidi" w:hAnsiTheme="majorBidi" w:cstheme="majorBidi"/>
          <w:color w:val="000000" w:themeColor="text1"/>
          <w:sz w:val="20"/>
          <w:szCs w:val="20"/>
        </w:rPr>
        <w:t xml:space="preserve">IEC. IEC TS 61400-3-2:2019—Wind Energy Generation Systems—Part 3-2: Design Requirements for Floating Offshore Wind Turbines; </w:t>
      </w:r>
      <w:r w:rsidRPr="00DB3ADB">
        <w:rPr>
          <w:rFonts w:asciiTheme="majorBidi" w:hAnsiTheme="majorBidi" w:cstheme="majorBidi"/>
          <w:i/>
          <w:iCs/>
          <w:color w:val="000000" w:themeColor="text1"/>
          <w:sz w:val="20"/>
          <w:szCs w:val="20"/>
        </w:rPr>
        <w:t>International Electrotechnical Commission</w:t>
      </w:r>
      <w:r w:rsidRPr="000D1D4A">
        <w:rPr>
          <w:rFonts w:asciiTheme="majorBidi" w:hAnsiTheme="majorBidi" w:cstheme="majorBidi"/>
          <w:color w:val="000000" w:themeColor="text1"/>
          <w:sz w:val="20"/>
          <w:szCs w:val="20"/>
        </w:rPr>
        <w:t>: Geneva, Switzerland, 2019. Available online: https://webstore.iec.ch/en/publication/29244 (accessed on 15 December 2025).</w:t>
      </w:r>
      <w:r>
        <w:rPr>
          <w:rFonts w:asciiTheme="majorBidi" w:hAnsiTheme="majorBidi" w:cstheme="majorBidi"/>
          <w:color w:val="000000" w:themeColor="text1"/>
          <w:sz w:val="20"/>
          <w:szCs w:val="20"/>
        </w:rPr>
        <w:t xml:space="preserve"> </w:t>
      </w:r>
    </w:p>
    <w:p w14:paraId="400F7430" w14:textId="0EB85B5F" w:rsidR="00A34038" w:rsidRPr="00A34038" w:rsidRDefault="00A34038" w:rsidP="00A34038">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0D1D4A">
        <w:rPr>
          <w:rFonts w:asciiTheme="majorBidi" w:hAnsiTheme="majorBidi" w:cstheme="majorBidi"/>
          <w:color w:val="000000" w:themeColor="text1"/>
          <w:sz w:val="20"/>
          <w:szCs w:val="20"/>
        </w:rPr>
        <w:t xml:space="preserve">Ringwood, J.V.; </w:t>
      </w:r>
      <w:proofErr w:type="spellStart"/>
      <w:r w:rsidRPr="000D1D4A">
        <w:rPr>
          <w:rFonts w:asciiTheme="majorBidi" w:hAnsiTheme="majorBidi" w:cstheme="majorBidi"/>
          <w:color w:val="000000" w:themeColor="text1"/>
          <w:sz w:val="20"/>
          <w:szCs w:val="20"/>
        </w:rPr>
        <w:t>Bacelli</w:t>
      </w:r>
      <w:proofErr w:type="spellEnd"/>
      <w:r w:rsidRPr="000D1D4A">
        <w:rPr>
          <w:rFonts w:asciiTheme="majorBidi" w:hAnsiTheme="majorBidi" w:cstheme="majorBidi"/>
          <w:color w:val="000000" w:themeColor="text1"/>
          <w:sz w:val="20"/>
          <w:szCs w:val="20"/>
        </w:rPr>
        <w:t xml:space="preserve">, G.; Fusco, F. Energy-maximizing control of wave-energy converters: The development of control system technology to optimize their operation. </w:t>
      </w:r>
      <w:r w:rsidRPr="00F9669C">
        <w:rPr>
          <w:rFonts w:asciiTheme="majorBidi" w:hAnsiTheme="majorBidi" w:cstheme="majorBidi"/>
          <w:i/>
          <w:iCs/>
          <w:color w:val="000000" w:themeColor="text1"/>
          <w:sz w:val="20"/>
          <w:szCs w:val="20"/>
        </w:rPr>
        <w:t>IEEE Control Syst. Mag</w:t>
      </w:r>
      <w:r w:rsidRPr="000D1D4A">
        <w:rPr>
          <w:rFonts w:asciiTheme="majorBidi" w:hAnsiTheme="majorBidi" w:cstheme="majorBidi"/>
          <w:color w:val="000000" w:themeColor="text1"/>
          <w:sz w:val="20"/>
          <w:szCs w:val="20"/>
        </w:rPr>
        <w:t xml:space="preserve">. 2014, 34, 30–55. </w:t>
      </w:r>
      <w:hyperlink r:id="rId87" w:history="1">
        <w:r w:rsidRPr="000F37E2">
          <w:rPr>
            <w:rStyle w:val="Hyperlink"/>
            <w:rFonts w:asciiTheme="majorBidi" w:hAnsiTheme="majorBidi" w:cstheme="majorBidi"/>
            <w:sz w:val="20"/>
            <w:szCs w:val="20"/>
          </w:rPr>
          <w:t>https://doi.org/10.1109/MCS.2014.2333253</w:t>
        </w:r>
      </w:hyperlink>
      <w:r w:rsidRPr="000D1D4A">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29D91EB6" w14:textId="08633117" w:rsidR="00A34038" w:rsidRPr="00A34038" w:rsidRDefault="00A34038" w:rsidP="00A34038">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0D1D4A">
        <w:rPr>
          <w:rFonts w:asciiTheme="majorBidi" w:hAnsiTheme="majorBidi" w:cstheme="majorBidi"/>
          <w:color w:val="000000" w:themeColor="text1"/>
          <w:sz w:val="20"/>
          <w:szCs w:val="20"/>
        </w:rPr>
        <w:t xml:space="preserve">Penalba, M.; Ringwood, J.V. A review of wave-to-wire models for wave energy converters. </w:t>
      </w:r>
      <w:r w:rsidRPr="00F9669C">
        <w:rPr>
          <w:rFonts w:asciiTheme="majorBidi" w:hAnsiTheme="majorBidi" w:cstheme="majorBidi"/>
          <w:i/>
          <w:iCs/>
          <w:color w:val="000000" w:themeColor="text1"/>
          <w:sz w:val="20"/>
          <w:szCs w:val="20"/>
        </w:rPr>
        <w:t>Energies</w:t>
      </w:r>
      <w:r w:rsidRPr="000D1D4A">
        <w:rPr>
          <w:rFonts w:asciiTheme="majorBidi" w:hAnsiTheme="majorBidi" w:cstheme="majorBidi"/>
          <w:color w:val="000000" w:themeColor="text1"/>
          <w:sz w:val="20"/>
          <w:szCs w:val="20"/>
        </w:rPr>
        <w:t xml:space="preserve"> 2016, 9, 506. </w:t>
      </w:r>
      <w:hyperlink r:id="rId88" w:history="1">
        <w:r w:rsidRPr="000F37E2">
          <w:rPr>
            <w:rStyle w:val="Hyperlink"/>
            <w:rFonts w:asciiTheme="majorBidi" w:hAnsiTheme="majorBidi" w:cstheme="majorBidi"/>
            <w:sz w:val="20"/>
            <w:szCs w:val="20"/>
          </w:rPr>
          <w:t>https://doi.org/10.3390/en9070506</w:t>
        </w:r>
      </w:hyperlink>
      <w:r w:rsidRPr="000D1D4A">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4914C46B" w14:textId="13D3E8A4" w:rsidR="004850D0" w:rsidRPr="006C0DCA" w:rsidRDefault="00A34038" w:rsidP="00937793">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0D1D4A">
        <w:rPr>
          <w:rFonts w:asciiTheme="majorBidi" w:hAnsiTheme="majorBidi" w:cstheme="majorBidi"/>
          <w:color w:val="000000" w:themeColor="text1"/>
          <w:sz w:val="20"/>
          <w:szCs w:val="20"/>
        </w:rPr>
        <w:t xml:space="preserve">Gomes, R.P.F.; Henriques, J.C.C.; Gato, L.M.C.; Falcão, A.F.O. </w:t>
      </w:r>
      <w:proofErr w:type="gramStart"/>
      <w:r w:rsidRPr="000D1D4A">
        <w:rPr>
          <w:rFonts w:asciiTheme="majorBidi" w:hAnsiTheme="majorBidi" w:cstheme="majorBidi"/>
          <w:color w:val="000000" w:themeColor="text1"/>
          <w:sz w:val="20"/>
          <w:szCs w:val="20"/>
        </w:rPr>
        <w:t>Multi-point</w:t>
      </w:r>
      <w:proofErr w:type="gramEnd"/>
      <w:r w:rsidRPr="000D1D4A">
        <w:rPr>
          <w:rFonts w:asciiTheme="majorBidi" w:hAnsiTheme="majorBidi" w:cstheme="majorBidi"/>
          <w:color w:val="000000" w:themeColor="text1"/>
          <w:sz w:val="20"/>
          <w:szCs w:val="20"/>
        </w:rPr>
        <w:t xml:space="preserve"> aerodynamic optimization of the rotor blade sections of an axial-flow impulse air turbine for wave energy conversion. </w:t>
      </w:r>
      <w:r w:rsidRPr="00F9669C">
        <w:rPr>
          <w:rFonts w:asciiTheme="majorBidi" w:hAnsiTheme="majorBidi" w:cstheme="majorBidi"/>
          <w:i/>
          <w:iCs/>
          <w:color w:val="000000" w:themeColor="text1"/>
          <w:sz w:val="20"/>
          <w:szCs w:val="20"/>
        </w:rPr>
        <w:t>Energy</w:t>
      </w:r>
      <w:r w:rsidRPr="000D1D4A">
        <w:rPr>
          <w:rFonts w:asciiTheme="majorBidi" w:hAnsiTheme="majorBidi" w:cstheme="majorBidi"/>
          <w:color w:val="000000" w:themeColor="text1"/>
          <w:sz w:val="20"/>
          <w:szCs w:val="20"/>
        </w:rPr>
        <w:t xml:space="preserve"> 2012, 45, 570–580. </w:t>
      </w:r>
      <w:hyperlink r:id="rId89" w:history="1">
        <w:r w:rsidRPr="000F37E2">
          <w:rPr>
            <w:rStyle w:val="Hyperlink"/>
            <w:rFonts w:asciiTheme="majorBidi" w:hAnsiTheme="majorBidi" w:cstheme="majorBidi"/>
            <w:sz w:val="20"/>
            <w:szCs w:val="20"/>
          </w:rPr>
          <w:t>https://doi.org/10.1016/j.energy.2012.07.042</w:t>
        </w:r>
      </w:hyperlink>
      <w:r w:rsidRPr="000D1D4A">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r w:rsidR="004850D0" w:rsidRPr="00937793">
        <w:rPr>
          <w:rFonts w:ascii="Arial" w:hAnsi="Arial" w:cs="Arial"/>
          <w:color w:val="000000" w:themeColor="text1"/>
          <w:sz w:val="20"/>
          <w:szCs w:val="20"/>
        </w:rPr>
        <w:t xml:space="preserve"> </w:t>
      </w:r>
    </w:p>
    <w:p w14:paraId="5501D10A" w14:textId="29F38594" w:rsidR="006C0DCA" w:rsidRDefault="006C0DCA" w:rsidP="006C0DCA">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FD739B">
        <w:rPr>
          <w:rFonts w:asciiTheme="majorBidi" w:hAnsiTheme="majorBidi" w:cstheme="majorBidi"/>
          <w:color w:val="000000" w:themeColor="text1"/>
          <w:sz w:val="20"/>
          <w:szCs w:val="20"/>
        </w:rPr>
        <w:t xml:space="preserve">Ansari, M.S.; Jalil, M.F.; Bansal, R.C. A review of optimization techniques for hybrid renewable energy systems. </w:t>
      </w:r>
      <w:r w:rsidRPr="00FD739B">
        <w:rPr>
          <w:rFonts w:asciiTheme="majorBidi" w:hAnsiTheme="majorBidi" w:cstheme="majorBidi"/>
          <w:i/>
          <w:iCs/>
          <w:color w:val="000000" w:themeColor="text1"/>
          <w:sz w:val="20"/>
          <w:szCs w:val="20"/>
        </w:rPr>
        <w:t>Int. J. Model. Simul</w:t>
      </w:r>
      <w:r w:rsidRPr="00FD739B">
        <w:rPr>
          <w:rFonts w:asciiTheme="majorBidi" w:hAnsiTheme="majorBidi" w:cstheme="majorBidi"/>
          <w:color w:val="000000" w:themeColor="text1"/>
          <w:sz w:val="20"/>
          <w:szCs w:val="20"/>
        </w:rPr>
        <w:t xml:space="preserve">. 2023, 43, 722–735. </w:t>
      </w:r>
      <w:hyperlink r:id="rId90" w:history="1">
        <w:r w:rsidRPr="00FD739B">
          <w:rPr>
            <w:rStyle w:val="Hyperlink"/>
            <w:rFonts w:asciiTheme="majorBidi" w:hAnsiTheme="majorBidi" w:cstheme="majorBidi"/>
            <w:sz w:val="20"/>
            <w:szCs w:val="20"/>
          </w:rPr>
          <w:t>https://doi.org/10.1080/02286203.2022.2119524</w:t>
        </w:r>
      </w:hyperlink>
      <w:r w:rsidRPr="00FD739B">
        <w:rPr>
          <w:rFonts w:asciiTheme="majorBidi" w:hAnsiTheme="majorBidi" w:cstheme="majorBidi"/>
          <w:color w:val="000000" w:themeColor="text1"/>
          <w:sz w:val="20"/>
          <w:szCs w:val="20"/>
        </w:rPr>
        <w:t>.</w:t>
      </w:r>
      <w:r w:rsidRPr="006C0DCA">
        <w:rPr>
          <w:rFonts w:asciiTheme="majorBidi" w:hAnsiTheme="majorBidi" w:cstheme="majorBidi"/>
          <w:color w:val="000000" w:themeColor="text1"/>
          <w:sz w:val="20"/>
          <w:szCs w:val="20"/>
        </w:rPr>
        <w:t xml:space="preserve"> </w:t>
      </w:r>
    </w:p>
    <w:p w14:paraId="4DB89FB9" w14:textId="40C89CFD" w:rsidR="00D0688C" w:rsidRPr="00D0688C" w:rsidRDefault="00D0688C" w:rsidP="00D0688C">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proofErr w:type="spellStart"/>
      <w:r w:rsidRPr="00D0688C">
        <w:rPr>
          <w:rFonts w:asciiTheme="majorBidi" w:hAnsiTheme="majorBidi" w:cstheme="majorBidi"/>
          <w:color w:val="000000" w:themeColor="text1"/>
          <w:sz w:val="20"/>
          <w:szCs w:val="20"/>
        </w:rPr>
        <w:lastRenderedPageBreak/>
        <w:t>Celesti</w:t>
      </w:r>
      <w:proofErr w:type="spellEnd"/>
      <w:r w:rsidRPr="00D0688C">
        <w:rPr>
          <w:rFonts w:asciiTheme="majorBidi" w:hAnsiTheme="majorBidi" w:cstheme="majorBidi"/>
          <w:color w:val="000000" w:themeColor="text1"/>
          <w:sz w:val="20"/>
          <w:szCs w:val="20"/>
        </w:rPr>
        <w:t xml:space="preserve">, M.L.; Paduano, B.; Peña-Sanchez, Y.; Pasta, E.; Faedo, N.; Ringwood, J.V. Design considerations for a hybrid wind–wave platform under energy-maximising control. In </w:t>
      </w:r>
      <w:r w:rsidRPr="00D0688C">
        <w:rPr>
          <w:rFonts w:asciiTheme="majorBidi" w:hAnsiTheme="majorBidi" w:cstheme="majorBidi"/>
          <w:i/>
          <w:iCs/>
          <w:color w:val="000000" w:themeColor="text1"/>
          <w:sz w:val="20"/>
          <w:szCs w:val="20"/>
        </w:rPr>
        <w:t>Proceedings of the 15th European Wave and Tidal Energy Conference</w:t>
      </w:r>
      <w:r w:rsidRPr="00D0688C">
        <w:rPr>
          <w:rFonts w:asciiTheme="majorBidi" w:hAnsiTheme="majorBidi" w:cstheme="majorBidi"/>
          <w:color w:val="000000" w:themeColor="text1"/>
          <w:sz w:val="20"/>
          <w:szCs w:val="20"/>
        </w:rPr>
        <w:t>, Bilbao, Spain, 3–7 September 2023. Available online: https://submissions.ewtec.org/proc-ewtec/article/view/590 (accessed on 6 March 2026).</w:t>
      </w:r>
    </w:p>
    <w:p w14:paraId="15763F6F" w14:textId="325C54F7" w:rsidR="006C0DCA" w:rsidRPr="00FD739B" w:rsidRDefault="006C0DCA" w:rsidP="006C0DCA">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FD739B">
        <w:rPr>
          <w:rFonts w:asciiTheme="majorBidi" w:hAnsiTheme="majorBidi" w:cstheme="majorBidi"/>
          <w:color w:val="000000" w:themeColor="text1"/>
          <w:sz w:val="20"/>
          <w:szCs w:val="20"/>
        </w:rPr>
        <w:t xml:space="preserve">Bachynski, E.E.; Young, Y.L.; Yeung, R.W. Analysis and optimization of a tethered wave energy converter in irregular waves. </w:t>
      </w:r>
      <w:r w:rsidRPr="00FD739B">
        <w:rPr>
          <w:rFonts w:asciiTheme="majorBidi" w:hAnsiTheme="majorBidi" w:cstheme="majorBidi"/>
          <w:i/>
          <w:iCs/>
          <w:color w:val="000000" w:themeColor="text1"/>
          <w:sz w:val="20"/>
          <w:szCs w:val="20"/>
        </w:rPr>
        <w:t>Renew. Energy</w:t>
      </w:r>
      <w:r w:rsidRPr="00FD739B">
        <w:rPr>
          <w:rFonts w:asciiTheme="majorBidi" w:hAnsiTheme="majorBidi" w:cstheme="majorBidi"/>
          <w:color w:val="000000" w:themeColor="text1"/>
          <w:sz w:val="20"/>
          <w:szCs w:val="20"/>
        </w:rPr>
        <w:t xml:space="preserve"> 2012, 48, 133–145. </w:t>
      </w:r>
      <w:hyperlink r:id="rId91" w:history="1">
        <w:r w:rsidRPr="00FD739B">
          <w:rPr>
            <w:rStyle w:val="Hyperlink"/>
            <w:rFonts w:asciiTheme="majorBidi" w:hAnsiTheme="majorBidi" w:cstheme="majorBidi"/>
            <w:sz w:val="20"/>
            <w:szCs w:val="20"/>
          </w:rPr>
          <w:t>https://doi.org/10.1016/j.renene.2012.04.044</w:t>
        </w:r>
      </w:hyperlink>
      <w:r w:rsidRPr="00FD739B">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746C3F04" w14:textId="30963652" w:rsidR="006C0DCA" w:rsidRPr="00FD739B" w:rsidRDefault="006C0DCA" w:rsidP="006C0DCA">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FD739B">
        <w:rPr>
          <w:rFonts w:asciiTheme="majorBidi" w:hAnsiTheme="majorBidi" w:cstheme="majorBidi"/>
          <w:color w:val="000000" w:themeColor="text1"/>
          <w:sz w:val="20"/>
          <w:szCs w:val="20"/>
        </w:rPr>
        <w:t xml:space="preserve">Xu, S.; </w:t>
      </w:r>
      <w:proofErr w:type="spellStart"/>
      <w:r w:rsidRPr="00FD739B">
        <w:rPr>
          <w:rFonts w:asciiTheme="majorBidi" w:hAnsiTheme="majorBidi" w:cstheme="majorBidi"/>
          <w:color w:val="000000" w:themeColor="text1"/>
          <w:sz w:val="20"/>
          <w:szCs w:val="20"/>
        </w:rPr>
        <w:t>Rezanejad</w:t>
      </w:r>
      <w:proofErr w:type="spellEnd"/>
      <w:r w:rsidRPr="00FD739B">
        <w:rPr>
          <w:rFonts w:asciiTheme="majorBidi" w:hAnsiTheme="majorBidi" w:cstheme="majorBidi"/>
          <w:color w:val="000000" w:themeColor="text1"/>
          <w:sz w:val="20"/>
          <w:szCs w:val="20"/>
        </w:rPr>
        <w:t xml:space="preserve">, K.; </w:t>
      </w:r>
      <w:proofErr w:type="spellStart"/>
      <w:r w:rsidRPr="00FD739B">
        <w:rPr>
          <w:rFonts w:asciiTheme="majorBidi" w:hAnsiTheme="majorBidi" w:cstheme="majorBidi"/>
          <w:color w:val="000000" w:themeColor="text1"/>
          <w:sz w:val="20"/>
          <w:szCs w:val="20"/>
        </w:rPr>
        <w:t>Gadelho</w:t>
      </w:r>
      <w:proofErr w:type="spellEnd"/>
      <w:r w:rsidRPr="00FD739B">
        <w:rPr>
          <w:rFonts w:asciiTheme="majorBidi" w:hAnsiTheme="majorBidi" w:cstheme="majorBidi"/>
          <w:color w:val="000000" w:themeColor="text1"/>
          <w:sz w:val="20"/>
          <w:szCs w:val="20"/>
        </w:rPr>
        <w:t xml:space="preserve">, J.F.M.; Guedes Soares, C. Experimental investigation on a dual chamber floating oscillating water column moored by flexible mooring systems. </w:t>
      </w:r>
      <w:r w:rsidRPr="00FD739B">
        <w:rPr>
          <w:rFonts w:asciiTheme="majorBidi" w:hAnsiTheme="majorBidi" w:cstheme="majorBidi"/>
          <w:i/>
          <w:iCs/>
          <w:color w:val="000000" w:themeColor="text1"/>
          <w:sz w:val="20"/>
          <w:szCs w:val="20"/>
        </w:rPr>
        <w:t>Ocean Eng</w:t>
      </w:r>
      <w:r w:rsidRPr="00FD739B">
        <w:rPr>
          <w:rFonts w:asciiTheme="majorBidi" w:hAnsiTheme="majorBidi" w:cstheme="majorBidi"/>
          <w:color w:val="000000" w:themeColor="text1"/>
          <w:sz w:val="20"/>
          <w:szCs w:val="20"/>
        </w:rPr>
        <w:t xml:space="preserve">. 2020, 216, 108083. </w:t>
      </w:r>
      <w:hyperlink r:id="rId92" w:history="1">
        <w:r w:rsidRPr="00FD739B">
          <w:rPr>
            <w:rStyle w:val="Hyperlink"/>
            <w:rFonts w:asciiTheme="majorBidi" w:hAnsiTheme="majorBidi" w:cstheme="majorBidi"/>
            <w:sz w:val="20"/>
            <w:szCs w:val="20"/>
          </w:rPr>
          <w:t>https://doi.org/10.1016/j.oceaneng.2020.108083</w:t>
        </w:r>
      </w:hyperlink>
      <w:r w:rsidRPr="00FD739B">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77BA7768" w14:textId="12F896F9" w:rsidR="006C0DCA" w:rsidRPr="00FD739B" w:rsidRDefault="006C0DCA" w:rsidP="006C0DCA">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FD739B">
        <w:rPr>
          <w:rFonts w:asciiTheme="majorBidi" w:hAnsiTheme="majorBidi" w:cstheme="majorBidi"/>
          <w:color w:val="000000" w:themeColor="text1"/>
          <w:sz w:val="20"/>
          <w:szCs w:val="20"/>
        </w:rPr>
        <w:t xml:space="preserve">Schmitt, P.; </w:t>
      </w:r>
      <w:proofErr w:type="spellStart"/>
      <w:r w:rsidRPr="00FD739B">
        <w:rPr>
          <w:rFonts w:asciiTheme="majorBidi" w:hAnsiTheme="majorBidi" w:cstheme="majorBidi"/>
          <w:color w:val="000000" w:themeColor="text1"/>
          <w:sz w:val="20"/>
          <w:szCs w:val="20"/>
        </w:rPr>
        <w:t>Elsäßer</w:t>
      </w:r>
      <w:proofErr w:type="spellEnd"/>
      <w:r w:rsidRPr="00FD739B">
        <w:rPr>
          <w:rFonts w:asciiTheme="majorBidi" w:hAnsiTheme="majorBidi" w:cstheme="majorBidi"/>
          <w:color w:val="000000" w:themeColor="text1"/>
          <w:sz w:val="20"/>
          <w:szCs w:val="20"/>
        </w:rPr>
        <w:t xml:space="preserve">, B. On the use of </w:t>
      </w:r>
      <w:proofErr w:type="spellStart"/>
      <w:r w:rsidRPr="00FD739B">
        <w:rPr>
          <w:rFonts w:asciiTheme="majorBidi" w:hAnsiTheme="majorBidi" w:cstheme="majorBidi"/>
          <w:color w:val="000000" w:themeColor="text1"/>
          <w:sz w:val="20"/>
          <w:szCs w:val="20"/>
        </w:rPr>
        <w:t>OpenFOAM</w:t>
      </w:r>
      <w:proofErr w:type="spellEnd"/>
      <w:r w:rsidRPr="00FD739B">
        <w:rPr>
          <w:rFonts w:asciiTheme="majorBidi" w:hAnsiTheme="majorBidi" w:cstheme="majorBidi"/>
          <w:color w:val="000000" w:themeColor="text1"/>
          <w:sz w:val="20"/>
          <w:szCs w:val="20"/>
        </w:rPr>
        <w:t xml:space="preserve"> to model oscillating wave surge converters. </w:t>
      </w:r>
      <w:r w:rsidRPr="00FD739B">
        <w:rPr>
          <w:rFonts w:asciiTheme="majorBidi" w:hAnsiTheme="majorBidi" w:cstheme="majorBidi"/>
          <w:i/>
          <w:iCs/>
          <w:color w:val="000000" w:themeColor="text1"/>
          <w:sz w:val="20"/>
          <w:szCs w:val="20"/>
        </w:rPr>
        <w:t>Ocean Eng</w:t>
      </w:r>
      <w:r w:rsidRPr="00FD739B">
        <w:rPr>
          <w:rFonts w:asciiTheme="majorBidi" w:hAnsiTheme="majorBidi" w:cstheme="majorBidi"/>
          <w:color w:val="000000" w:themeColor="text1"/>
          <w:sz w:val="20"/>
          <w:szCs w:val="20"/>
        </w:rPr>
        <w:t xml:space="preserve">. 2015, 108, 98–104. </w:t>
      </w:r>
      <w:hyperlink r:id="rId93" w:history="1">
        <w:r w:rsidR="00F86D8A" w:rsidRPr="00FD739B">
          <w:rPr>
            <w:rStyle w:val="Hyperlink"/>
            <w:rFonts w:asciiTheme="majorBidi" w:hAnsiTheme="majorBidi" w:cstheme="majorBidi"/>
            <w:sz w:val="20"/>
            <w:szCs w:val="20"/>
          </w:rPr>
          <w:t>https://doi.org/10.1016/j.oceaneng.2015.07.055</w:t>
        </w:r>
      </w:hyperlink>
      <w:r w:rsidRPr="00FD739B">
        <w:rPr>
          <w:rFonts w:asciiTheme="majorBidi" w:hAnsiTheme="majorBidi" w:cstheme="majorBidi"/>
          <w:color w:val="000000" w:themeColor="text1"/>
          <w:sz w:val="20"/>
          <w:szCs w:val="20"/>
        </w:rPr>
        <w:t>.</w:t>
      </w:r>
      <w:r w:rsidR="00F86D8A">
        <w:rPr>
          <w:rFonts w:asciiTheme="majorBidi" w:hAnsiTheme="majorBidi" w:cstheme="majorBidi"/>
          <w:color w:val="000000" w:themeColor="text1"/>
          <w:sz w:val="20"/>
          <w:szCs w:val="20"/>
        </w:rPr>
        <w:t xml:space="preserve"> </w:t>
      </w:r>
    </w:p>
    <w:p w14:paraId="4783D3D5" w14:textId="689F532B" w:rsidR="006C0DCA" w:rsidRDefault="006C0DCA" w:rsidP="006C0DCA">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proofErr w:type="spellStart"/>
      <w:r w:rsidRPr="00FD739B">
        <w:rPr>
          <w:rFonts w:asciiTheme="majorBidi" w:hAnsiTheme="majorBidi" w:cstheme="majorBidi"/>
          <w:color w:val="000000" w:themeColor="text1"/>
          <w:sz w:val="20"/>
          <w:szCs w:val="20"/>
        </w:rPr>
        <w:t>Michailides</w:t>
      </w:r>
      <w:proofErr w:type="spellEnd"/>
      <w:r w:rsidRPr="00FD739B">
        <w:rPr>
          <w:rFonts w:asciiTheme="majorBidi" w:hAnsiTheme="majorBidi" w:cstheme="majorBidi"/>
          <w:color w:val="000000" w:themeColor="text1"/>
          <w:sz w:val="20"/>
          <w:szCs w:val="20"/>
        </w:rPr>
        <w:t xml:space="preserve">, C.; Gao, Z.; Moan, T. Experimental and numerical study of the response of the offshore combined wind/wave energy concept SFC in extreme environmental conditions. </w:t>
      </w:r>
      <w:r w:rsidRPr="00FD739B">
        <w:rPr>
          <w:rFonts w:asciiTheme="majorBidi" w:hAnsiTheme="majorBidi" w:cstheme="majorBidi"/>
          <w:i/>
          <w:iCs/>
          <w:color w:val="000000" w:themeColor="text1"/>
          <w:sz w:val="20"/>
          <w:szCs w:val="20"/>
        </w:rPr>
        <w:t>Mar. Struct</w:t>
      </w:r>
      <w:r w:rsidRPr="00FD739B">
        <w:rPr>
          <w:rFonts w:asciiTheme="majorBidi" w:hAnsiTheme="majorBidi" w:cstheme="majorBidi"/>
          <w:color w:val="000000" w:themeColor="text1"/>
          <w:sz w:val="20"/>
          <w:szCs w:val="20"/>
        </w:rPr>
        <w:t xml:space="preserve">. 2016, 50, 35–54. </w:t>
      </w:r>
      <w:hyperlink r:id="rId94" w:history="1">
        <w:r w:rsidR="000A26FF" w:rsidRPr="00FD739B">
          <w:rPr>
            <w:rStyle w:val="Hyperlink"/>
            <w:rFonts w:asciiTheme="majorBidi" w:hAnsiTheme="majorBidi" w:cstheme="majorBidi"/>
            <w:sz w:val="20"/>
            <w:szCs w:val="20"/>
          </w:rPr>
          <w:t>https://doi.org/10.1016/j.marstruc.2016.06.005</w:t>
        </w:r>
      </w:hyperlink>
      <w:r w:rsidRPr="00FD739B">
        <w:rPr>
          <w:rFonts w:asciiTheme="majorBidi" w:hAnsiTheme="majorBidi" w:cstheme="majorBidi"/>
          <w:color w:val="000000" w:themeColor="text1"/>
          <w:sz w:val="20"/>
          <w:szCs w:val="20"/>
        </w:rPr>
        <w:t>.</w:t>
      </w:r>
      <w:r w:rsidR="000A26FF">
        <w:rPr>
          <w:rFonts w:asciiTheme="majorBidi" w:hAnsiTheme="majorBidi" w:cstheme="majorBidi"/>
          <w:color w:val="000000" w:themeColor="text1"/>
          <w:sz w:val="20"/>
          <w:szCs w:val="20"/>
        </w:rPr>
        <w:t xml:space="preserve"> </w:t>
      </w:r>
    </w:p>
    <w:p w14:paraId="52E9A18A" w14:textId="35496831" w:rsidR="00782C2A" w:rsidRPr="00782C2A" w:rsidRDefault="00782C2A" w:rsidP="00782C2A">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proofErr w:type="spellStart"/>
      <w:r w:rsidRPr="00782C2A">
        <w:rPr>
          <w:rFonts w:asciiTheme="majorBidi" w:hAnsiTheme="majorBidi" w:cstheme="majorBidi"/>
          <w:color w:val="000000" w:themeColor="text1"/>
          <w:sz w:val="20"/>
          <w:szCs w:val="20"/>
        </w:rPr>
        <w:t>Astariz</w:t>
      </w:r>
      <w:proofErr w:type="spellEnd"/>
      <w:r w:rsidRPr="00782C2A">
        <w:rPr>
          <w:rFonts w:asciiTheme="majorBidi" w:hAnsiTheme="majorBidi" w:cstheme="majorBidi"/>
          <w:color w:val="000000" w:themeColor="text1"/>
          <w:sz w:val="20"/>
          <w:szCs w:val="20"/>
        </w:rPr>
        <w:t xml:space="preserve">, S.; Iglesias, G. Output power smoothing and reduced downtime period by combined offshore wind and wave energy farms. Energy 2016, 97, 69–81. </w:t>
      </w:r>
      <w:hyperlink r:id="rId95" w:history="1">
        <w:r w:rsidRPr="000F37E2">
          <w:rPr>
            <w:rStyle w:val="Hyperlink"/>
            <w:rFonts w:asciiTheme="majorBidi" w:hAnsiTheme="majorBidi" w:cstheme="majorBidi"/>
            <w:sz w:val="20"/>
            <w:szCs w:val="20"/>
          </w:rPr>
          <w:t>https://doi.org/10.1016/j.energy.2015.12.108</w:t>
        </w:r>
      </w:hyperlink>
      <w:r w:rsidRPr="00782C2A">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 xml:space="preserve"> </w:t>
      </w:r>
    </w:p>
    <w:p w14:paraId="04184674" w14:textId="13D468BA" w:rsidR="006C0DCA" w:rsidRPr="00FD739B" w:rsidRDefault="006C0DCA" w:rsidP="006C0DCA">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FD739B">
        <w:rPr>
          <w:rFonts w:asciiTheme="majorBidi" w:hAnsiTheme="majorBidi" w:cstheme="majorBidi"/>
          <w:color w:val="000000" w:themeColor="text1"/>
          <w:sz w:val="20"/>
          <w:szCs w:val="20"/>
        </w:rPr>
        <w:t xml:space="preserve">Iglesias, G.; Carballo, R. Wave resource in El Hierro—An island towards energy self-sufficiency. </w:t>
      </w:r>
      <w:r w:rsidRPr="00FD739B">
        <w:rPr>
          <w:rFonts w:asciiTheme="majorBidi" w:hAnsiTheme="majorBidi" w:cstheme="majorBidi"/>
          <w:i/>
          <w:iCs/>
          <w:color w:val="000000" w:themeColor="text1"/>
          <w:sz w:val="20"/>
          <w:szCs w:val="20"/>
        </w:rPr>
        <w:t>Renew. Energy</w:t>
      </w:r>
      <w:r w:rsidRPr="00FD739B">
        <w:rPr>
          <w:rFonts w:asciiTheme="majorBidi" w:hAnsiTheme="majorBidi" w:cstheme="majorBidi"/>
          <w:color w:val="000000" w:themeColor="text1"/>
          <w:sz w:val="20"/>
          <w:szCs w:val="20"/>
        </w:rPr>
        <w:t xml:space="preserve"> 2011, 36, 689–698. </w:t>
      </w:r>
      <w:hyperlink r:id="rId96" w:history="1">
        <w:r w:rsidR="000A26FF" w:rsidRPr="00FD739B">
          <w:rPr>
            <w:rStyle w:val="Hyperlink"/>
            <w:rFonts w:asciiTheme="majorBidi" w:hAnsiTheme="majorBidi" w:cstheme="majorBidi"/>
            <w:sz w:val="20"/>
            <w:szCs w:val="20"/>
          </w:rPr>
          <w:t>https://doi.org/10.1016/j.renene.2010.08.021</w:t>
        </w:r>
      </w:hyperlink>
      <w:r w:rsidRPr="00FD739B">
        <w:rPr>
          <w:rFonts w:asciiTheme="majorBidi" w:hAnsiTheme="majorBidi" w:cstheme="majorBidi"/>
          <w:color w:val="000000" w:themeColor="text1"/>
          <w:sz w:val="20"/>
          <w:szCs w:val="20"/>
        </w:rPr>
        <w:t>.</w:t>
      </w:r>
      <w:r w:rsidR="000A26FF">
        <w:rPr>
          <w:rFonts w:asciiTheme="majorBidi" w:hAnsiTheme="majorBidi" w:cstheme="majorBidi"/>
          <w:color w:val="000000" w:themeColor="text1"/>
          <w:sz w:val="20"/>
          <w:szCs w:val="20"/>
        </w:rPr>
        <w:t xml:space="preserve"> </w:t>
      </w:r>
    </w:p>
    <w:p w14:paraId="3253821E" w14:textId="3EBD04EF" w:rsidR="006C0DCA" w:rsidRPr="00FD739B" w:rsidRDefault="006C0DCA" w:rsidP="006C0DCA">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FD739B">
        <w:rPr>
          <w:rFonts w:asciiTheme="majorBidi" w:hAnsiTheme="majorBidi" w:cstheme="majorBidi"/>
          <w:color w:val="000000" w:themeColor="text1"/>
          <w:sz w:val="20"/>
          <w:szCs w:val="20"/>
        </w:rPr>
        <w:t xml:space="preserve">Wei, Z.; Shi, H.; Cao, F.; Yu, M.; Li, M.; Chen, Z.; Liu, P. Study on the power performance of wave energy converters mounted around an offshore wind turbine jacket platform. </w:t>
      </w:r>
      <w:r w:rsidRPr="00FD739B">
        <w:rPr>
          <w:rFonts w:asciiTheme="majorBidi" w:hAnsiTheme="majorBidi" w:cstheme="majorBidi"/>
          <w:i/>
          <w:iCs/>
          <w:color w:val="000000" w:themeColor="text1"/>
          <w:sz w:val="20"/>
          <w:szCs w:val="20"/>
        </w:rPr>
        <w:t>Renew. Energy</w:t>
      </w:r>
      <w:r w:rsidRPr="00FD739B">
        <w:rPr>
          <w:rFonts w:asciiTheme="majorBidi" w:hAnsiTheme="majorBidi" w:cstheme="majorBidi"/>
          <w:color w:val="000000" w:themeColor="text1"/>
          <w:sz w:val="20"/>
          <w:szCs w:val="20"/>
        </w:rPr>
        <w:t xml:space="preserve"> 2024, 221, 119786. </w:t>
      </w:r>
      <w:hyperlink r:id="rId97" w:history="1">
        <w:r w:rsidR="00C23D2B" w:rsidRPr="00FD739B">
          <w:rPr>
            <w:rStyle w:val="Hyperlink"/>
            <w:rFonts w:asciiTheme="majorBidi" w:hAnsiTheme="majorBidi" w:cstheme="majorBidi"/>
            <w:sz w:val="20"/>
            <w:szCs w:val="20"/>
          </w:rPr>
          <w:t>https://doi.org/10.1016/j.renene.2023.119786</w:t>
        </w:r>
      </w:hyperlink>
      <w:r w:rsidRPr="00FD739B">
        <w:rPr>
          <w:rFonts w:asciiTheme="majorBidi" w:hAnsiTheme="majorBidi" w:cstheme="majorBidi"/>
          <w:color w:val="000000" w:themeColor="text1"/>
          <w:sz w:val="20"/>
          <w:szCs w:val="20"/>
        </w:rPr>
        <w:t>.</w:t>
      </w:r>
      <w:r w:rsidR="00C23D2B">
        <w:rPr>
          <w:rFonts w:asciiTheme="majorBidi" w:hAnsiTheme="majorBidi" w:cstheme="majorBidi"/>
          <w:color w:val="000000" w:themeColor="text1"/>
          <w:sz w:val="20"/>
          <w:szCs w:val="20"/>
        </w:rPr>
        <w:t xml:space="preserve"> </w:t>
      </w:r>
    </w:p>
    <w:p w14:paraId="48B398A8" w14:textId="6BDDA9AF" w:rsidR="006C0DCA" w:rsidRPr="00FD739B" w:rsidRDefault="006C0DCA" w:rsidP="006C0DCA">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proofErr w:type="spellStart"/>
      <w:r w:rsidRPr="00FD739B">
        <w:rPr>
          <w:rFonts w:asciiTheme="majorBidi" w:hAnsiTheme="majorBidi" w:cstheme="majorBidi"/>
          <w:color w:val="000000" w:themeColor="text1"/>
          <w:sz w:val="20"/>
          <w:szCs w:val="20"/>
        </w:rPr>
        <w:t>Ambühl</w:t>
      </w:r>
      <w:proofErr w:type="spellEnd"/>
      <w:r w:rsidRPr="00FD739B">
        <w:rPr>
          <w:rFonts w:asciiTheme="majorBidi" w:hAnsiTheme="majorBidi" w:cstheme="majorBidi"/>
          <w:color w:val="000000" w:themeColor="text1"/>
          <w:sz w:val="20"/>
          <w:szCs w:val="20"/>
        </w:rPr>
        <w:t xml:space="preserve">, S.; Kramer, M.; Sørensen, J.D. Reliability-based structural optimization of wave energy converters. </w:t>
      </w:r>
      <w:r w:rsidRPr="00FD739B">
        <w:rPr>
          <w:rFonts w:asciiTheme="majorBidi" w:hAnsiTheme="majorBidi" w:cstheme="majorBidi"/>
          <w:i/>
          <w:iCs/>
          <w:color w:val="000000" w:themeColor="text1"/>
          <w:sz w:val="20"/>
          <w:szCs w:val="20"/>
        </w:rPr>
        <w:t>Energies</w:t>
      </w:r>
      <w:r w:rsidRPr="00FD739B">
        <w:rPr>
          <w:rFonts w:asciiTheme="majorBidi" w:hAnsiTheme="majorBidi" w:cstheme="majorBidi"/>
          <w:color w:val="000000" w:themeColor="text1"/>
          <w:sz w:val="20"/>
          <w:szCs w:val="20"/>
        </w:rPr>
        <w:t xml:space="preserve"> 2014, 7, 8178–8200. </w:t>
      </w:r>
      <w:hyperlink r:id="rId98" w:history="1">
        <w:r w:rsidR="0015761F" w:rsidRPr="00FD739B">
          <w:rPr>
            <w:rStyle w:val="Hyperlink"/>
            <w:rFonts w:asciiTheme="majorBidi" w:hAnsiTheme="majorBidi" w:cstheme="majorBidi"/>
            <w:sz w:val="20"/>
            <w:szCs w:val="20"/>
          </w:rPr>
          <w:t>https://doi.org/10.3390/en7128178</w:t>
        </w:r>
      </w:hyperlink>
      <w:r w:rsidRPr="00FD739B">
        <w:rPr>
          <w:rFonts w:asciiTheme="majorBidi" w:hAnsiTheme="majorBidi" w:cstheme="majorBidi"/>
          <w:color w:val="000000" w:themeColor="text1"/>
          <w:sz w:val="20"/>
          <w:szCs w:val="20"/>
        </w:rPr>
        <w:t>.</w:t>
      </w:r>
      <w:r w:rsidR="0015761F">
        <w:rPr>
          <w:rFonts w:asciiTheme="majorBidi" w:hAnsiTheme="majorBidi" w:cstheme="majorBidi"/>
          <w:color w:val="000000" w:themeColor="text1"/>
          <w:sz w:val="20"/>
          <w:szCs w:val="20"/>
        </w:rPr>
        <w:t xml:space="preserve"> </w:t>
      </w:r>
    </w:p>
    <w:p w14:paraId="2CF4441E" w14:textId="539D7948" w:rsidR="006C0DCA" w:rsidRPr="00FD739B" w:rsidRDefault="006C0DCA" w:rsidP="006C0DCA">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FD739B">
        <w:rPr>
          <w:rFonts w:asciiTheme="majorBidi" w:hAnsiTheme="majorBidi" w:cstheme="majorBidi"/>
          <w:color w:val="000000" w:themeColor="text1"/>
          <w:sz w:val="20"/>
          <w:szCs w:val="20"/>
        </w:rPr>
        <w:t xml:space="preserve">Castro-Santos, L.; Garcia, G.P.; </w:t>
      </w:r>
      <w:proofErr w:type="spellStart"/>
      <w:r w:rsidRPr="00FD739B">
        <w:rPr>
          <w:rFonts w:asciiTheme="majorBidi" w:hAnsiTheme="majorBidi" w:cstheme="majorBidi"/>
          <w:color w:val="000000" w:themeColor="text1"/>
          <w:sz w:val="20"/>
          <w:szCs w:val="20"/>
        </w:rPr>
        <w:t>Estanqueiro</w:t>
      </w:r>
      <w:proofErr w:type="spellEnd"/>
      <w:r w:rsidRPr="00FD739B">
        <w:rPr>
          <w:rFonts w:asciiTheme="majorBidi" w:hAnsiTheme="majorBidi" w:cstheme="majorBidi"/>
          <w:color w:val="000000" w:themeColor="text1"/>
          <w:sz w:val="20"/>
          <w:szCs w:val="20"/>
        </w:rPr>
        <w:t xml:space="preserve">, A.; Justino, P.A.P. The levelized cost of energy of floating offshore wind farms in the North of Spain. </w:t>
      </w:r>
      <w:r w:rsidRPr="00FD739B">
        <w:rPr>
          <w:rFonts w:asciiTheme="majorBidi" w:hAnsiTheme="majorBidi" w:cstheme="majorBidi"/>
          <w:i/>
          <w:iCs/>
          <w:color w:val="000000" w:themeColor="text1"/>
          <w:sz w:val="20"/>
          <w:szCs w:val="20"/>
        </w:rPr>
        <w:t>J. Mar. Sci. Eng</w:t>
      </w:r>
      <w:r w:rsidRPr="00FD739B">
        <w:rPr>
          <w:rFonts w:asciiTheme="majorBidi" w:hAnsiTheme="majorBidi" w:cstheme="majorBidi"/>
          <w:color w:val="000000" w:themeColor="text1"/>
          <w:sz w:val="20"/>
          <w:szCs w:val="20"/>
        </w:rPr>
        <w:t xml:space="preserve">. 2020, 8, 58. </w:t>
      </w:r>
      <w:hyperlink r:id="rId99" w:history="1">
        <w:r w:rsidR="005F144B" w:rsidRPr="00FD739B">
          <w:rPr>
            <w:rStyle w:val="Hyperlink"/>
            <w:rFonts w:asciiTheme="majorBidi" w:hAnsiTheme="majorBidi" w:cstheme="majorBidi"/>
            <w:sz w:val="20"/>
            <w:szCs w:val="20"/>
          </w:rPr>
          <w:t>https://doi.org/10.3390/jmse8010058</w:t>
        </w:r>
      </w:hyperlink>
      <w:r w:rsidRPr="00FD739B">
        <w:rPr>
          <w:rFonts w:asciiTheme="majorBidi" w:hAnsiTheme="majorBidi" w:cstheme="majorBidi"/>
          <w:color w:val="000000" w:themeColor="text1"/>
          <w:sz w:val="20"/>
          <w:szCs w:val="20"/>
        </w:rPr>
        <w:t>.</w:t>
      </w:r>
      <w:r w:rsidR="005F144B">
        <w:rPr>
          <w:rFonts w:asciiTheme="majorBidi" w:hAnsiTheme="majorBidi" w:cstheme="majorBidi"/>
          <w:color w:val="000000" w:themeColor="text1"/>
          <w:sz w:val="20"/>
          <w:szCs w:val="20"/>
        </w:rPr>
        <w:t xml:space="preserve"> </w:t>
      </w:r>
    </w:p>
    <w:p w14:paraId="31E5F9A2" w14:textId="77777777" w:rsidR="006C0DCA" w:rsidRPr="00FD739B" w:rsidRDefault="006C0DCA" w:rsidP="006C0DCA">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FD739B">
        <w:rPr>
          <w:rFonts w:asciiTheme="majorBidi" w:hAnsiTheme="majorBidi" w:cstheme="majorBidi"/>
          <w:color w:val="000000" w:themeColor="text1"/>
          <w:sz w:val="20"/>
          <w:szCs w:val="20"/>
        </w:rPr>
        <w:t>Aquamarine Power. Oyster Wave Energy Converter: Operational Experience and Maintenance Requirements. Available online: https://tethys-engineering.pnnl.gov/publications/aquamarine-power-ltd-project-overview (accessed on 21 March 2026).</w:t>
      </w:r>
    </w:p>
    <w:p w14:paraId="5EA6814F" w14:textId="7B8871EF" w:rsidR="006C0DCA" w:rsidRPr="00FD739B" w:rsidRDefault="006C0DCA" w:rsidP="006C0DCA">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FD739B">
        <w:rPr>
          <w:rFonts w:asciiTheme="majorBidi" w:hAnsiTheme="majorBidi" w:cstheme="majorBidi"/>
          <w:color w:val="000000" w:themeColor="text1"/>
          <w:sz w:val="20"/>
          <w:szCs w:val="20"/>
        </w:rPr>
        <w:t xml:space="preserve">Castro-Santos, L.; Martins, E.; Guedes Soares, C. Methodology to calculate the costs of a floating offshore renewable energy farm. </w:t>
      </w:r>
      <w:r w:rsidRPr="00FD739B">
        <w:rPr>
          <w:rFonts w:asciiTheme="majorBidi" w:hAnsiTheme="majorBidi" w:cstheme="majorBidi"/>
          <w:i/>
          <w:iCs/>
          <w:color w:val="000000" w:themeColor="text1"/>
          <w:sz w:val="20"/>
          <w:szCs w:val="20"/>
        </w:rPr>
        <w:t>Energies</w:t>
      </w:r>
      <w:r w:rsidRPr="00FD739B">
        <w:rPr>
          <w:rFonts w:asciiTheme="majorBidi" w:hAnsiTheme="majorBidi" w:cstheme="majorBidi"/>
          <w:color w:val="000000" w:themeColor="text1"/>
          <w:sz w:val="20"/>
          <w:szCs w:val="20"/>
        </w:rPr>
        <w:t xml:space="preserve"> 2016, 9, 324. </w:t>
      </w:r>
      <w:hyperlink r:id="rId100" w:history="1">
        <w:r w:rsidR="00E71C4E" w:rsidRPr="00FD739B">
          <w:rPr>
            <w:rStyle w:val="Hyperlink"/>
            <w:rFonts w:asciiTheme="majorBidi" w:hAnsiTheme="majorBidi" w:cstheme="majorBidi"/>
            <w:sz w:val="20"/>
            <w:szCs w:val="20"/>
          </w:rPr>
          <w:t>https://doi.org/10.3390/en9050324</w:t>
        </w:r>
      </w:hyperlink>
      <w:r w:rsidRPr="00FD739B">
        <w:rPr>
          <w:rFonts w:asciiTheme="majorBidi" w:hAnsiTheme="majorBidi" w:cstheme="majorBidi"/>
          <w:color w:val="000000" w:themeColor="text1"/>
          <w:sz w:val="20"/>
          <w:szCs w:val="20"/>
        </w:rPr>
        <w:t>.</w:t>
      </w:r>
      <w:r w:rsidR="00E71C4E">
        <w:rPr>
          <w:rFonts w:asciiTheme="majorBidi" w:hAnsiTheme="majorBidi" w:cstheme="majorBidi"/>
          <w:color w:val="000000" w:themeColor="text1"/>
          <w:sz w:val="20"/>
          <w:szCs w:val="20"/>
        </w:rPr>
        <w:t xml:space="preserve"> </w:t>
      </w:r>
    </w:p>
    <w:p w14:paraId="34BB9C26" w14:textId="1C74EF77" w:rsidR="006C0DCA" w:rsidRPr="00FD739B" w:rsidRDefault="006C0DCA" w:rsidP="006C0DCA">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FD739B">
        <w:rPr>
          <w:rFonts w:asciiTheme="majorBidi" w:hAnsiTheme="majorBidi" w:cstheme="majorBidi"/>
          <w:color w:val="000000" w:themeColor="text1"/>
          <w:sz w:val="20"/>
          <w:szCs w:val="20"/>
        </w:rPr>
        <w:lastRenderedPageBreak/>
        <w:t xml:space="preserve">Castro-Santos, L.; </w:t>
      </w:r>
      <w:proofErr w:type="spellStart"/>
      <w:r w:rsidRPr="00FD739B">
        <w:rPr>
          <w:rFonts w:asciiTheme="majorBidi" w:hAnsiTheme="majorBidi" w:cstheme="majorBidi"/>
          <w:color w:val="000000" w:themeColor="text1"/>
          <w:sz w:val="20"/>
          <w:szCs w:val="20"/>
        </w:rPr>
        <w:t>Filgueira</w:t>
      </w:r>
      <w:proofErr w:type="spellEnd"/>
      <w:r w:rsidRPr="00FD739B">
        <w:rPr>
          <w:rFonts w:asciiTheme="majorBidi" w:hAnsiTheme="majorBidi" w:cstheme="majorBidi"/>
          <w:color w:val="000000" w:themeColor="text1"/>
          <w:sz w:val="20"/>
          <w:szCs w:val="20"/>
        </w:rPr>
        <w:t>-Vizoso, A.; Carral-</w:t>
      </w:r>
      <w:proofErr w:type="spellStart"/>
      <w:r w:rsidRPr="00FD739B">
        <w:rPr>
          <w:rFonts w:asciiTheme="majorBidi" w:hAnsiTheme="majorBidi" w:cstheme="majorBidi"/>
          <w:color w:val="000000" w:themeColor="text1"/>
          <w:sz w:val="20"/>
          <w:szCs w:val="20"/>
        </w:rPr>
        <w:t>Couce</w:t>
      </w:r>
      <w:proofErr w:type="spellEnd"/>
      <w:r w:rsidRPr="00FD739B">
        <w:rPr>
          <w:rFonts w:asciiTheme="majorBidi" w:hAnsiTheme="majorBidi" w:cstheme="majorBidi"/>
          <w:color w:val="000000" w:themeColor="text1"/>
          <w:sz w:val="20"/>
          <w:szCs w:val="20"/>
        </w:rPr>
        <w:t xml:space="preserve">, L.; Formoso, J.A.F. Economic feasibility of floating offshore wind farms. </w:t>
      </w:r>
      <w:r w:rsidRPr="00FD739B">
        <w:rPr>
          <w:rFonts w:asciiTheme="majorBidi" w:hAnsiTheme="majorBidi" w:cstheme="majorBidi"/>
          <w:i/>
          <w:iCs/>
          <w:color w:val="000000" w:themeColor="text1"/>
          <w:sz w:val="20"/>
          <w:szCs w:val="20"/>
        </w:rPr>
        <w:t>Energy</w:t>
      </w:r>
      <w:r w:rsidRPr="00FD739B">
        <w:rPr>
          <w:rFonts w:asciiTheme="majorBidi" w:hAnsiTheme="majorBidi" w:cstheme="majorBidi"/>
          <w:color w:val="000000" w:themeColor="text1"/>
          <w:sz w:val="20"/>
          <w:szCs w:val="20"/>
        </w:rPr>
        <w:t xml:space="preserve"> 2016, 112, 868–882. </w:t>
      </w:r>
      <w:hyperlink r:id="rId101" w:history="1">
        <w:r w:rsidR="001F2428" w:rsidRPr="00FD739B">
          <w:rPr>
            <w:rStyle w:val="Hyperlink"/>
            <w:rFonts w:asciiTheme="majorBidi" w:hAnsiTheme="majorBidi" w:cstheme="majorBidi"/>
            <w:sz w:val="20"/>
            <w:szCs w:val="20"/>
          </w:rPr>
          <w:t>https://doi.org/10.1016/j.energy.2016.06.135</w:t>
        </w:r>
      </w:hyperlink>
      <w:r w:rsidRPr="00FD739B">
        <w:rPr>
          <w:rFonts w:asciiTheme="majorBidi" w:hAnsiTheme="majorBidi" w:cstheme="majorBidi"/>
          <w:color w:val="000000" w:themeColor="text1"/>
          <w:sz w:val="20"/>
          <w:szCs w:val="20"/>
        </w:rPr>
        <w:t>.</w:t>
      </w:r>
      <w:r w:rsidR="001F2428">
        <w:rPr>
          <w:rFonts w:asciiTheme="majorBidi" w:hAnsiTheme="majorBidi" w:cstheme="majorBidi"/>
          <w:color w:val="000000" w:themeColor="text1"/>
          <w:sz w:val="20"/>
          <w:szCs w:val="20"/>
        </w:rPr>
        <w:t xml:space="preserve"> </w:t>
      </w:r>
    </w:p>
    <w:p w14:paraId="1C623F97" w14:textId="73B02DFF" w:rsidR="006C0DCA" w:rsidRPr="00FD739B" w:rsidRDefault="006C0DCA" w:rsidP="006C0DCA">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FD739B">
        <w:rPr>
          <w:rFonts w:asciiTheme="majorBidi" w:hAnsiTheme="majorBidi" w:cstheme="majorBidi"/>
          <w:color w:val="000000" w:themeColor="text1"/>
          <w:sz w:val="20"/>
          <w:szCs w:val="20"/>
        </w:rPr>
        <w:t xml:space="preserve">Yang, S.-H.; </w:t>
      </w:r>
      <w:proofErr w:type="spellStart"/>
      <w:r w:rsidRPr="00FD739B">
        <w:rPr>
          <w:rFonts w:asciiTheme="majorBidi" w:hAnsiTheme="majorBidi" w:cstheme="majorBidi"/>
          <w:color w:val="000000" w:themeColor="text1"/>
          <w:sz w:val="20"/>
          <w:szCs w:val="20"/>
        </w:rPr>
        <w:t>Ringsberg</w:t>
      </w:r>
      <w:proofErr w:type="spellEnd"/>
      <w:r w:rsidRPr="00FD739B">
        <w:rPr>
          <w:rFonts w:asciiTheme="majorBidi" w:hAnsiTheme="majorBidi" w:cstheme="majorBidi"/>
          <w:color w:val="000000" w:themeColor="text1"/>
          <w:sz w:val="20"/>
          <w:szCs w:val="20"/>
        </w:rPr>
        <w:t xml:space="preserve">, J.W.; Johnson, E.; Hu, Z. Experimental and numerical investigation of a taut-moored wave energy converter: A validation of simulated mooring line forces. </w:t>
      </w:r>
      <w:r w:rsidRPr="00FD739B">
        <w:rPr>
          <w:rFonts w:asciiTheme="majorBidi" w:hAnsiTheme="majorBidi" w:cstheme="majorBidi"/>
          <w:i/>
          <w:iCs/>
          <w:color w:val="000000" w:themeColor="text1"/>
          <w:sz w:val="20"/>
          <w:szCs w:val="20"/>
        </w:rPr>
        <w:t>Ships Offshore Struct.</w:t>
      </w:r>
      <w:r w:rsidRPr="00FD739B">
        <w:rPr>
          <w:rFonts w:asciiTheme="majorBidi" w:hAnsiTheme="majorBidi" w:cstheme="majorBidi"/>
          <w:color w:val="000000" w:themeColor="text1"/>
          <w:sz w:val="20"/>
          <w:szCs w:val="20"/>
        </w:rPr>
        <w:t xml:space="preserve"> 2020. </w:t>
      </w:r>
      <w:hyperlink r:id="rId102" w:history="1">
        <w:r w:rsidR="001F2428" w:rsidRPr="00FD739B">
          <w:rPr>
            <w:rStyle w:val="Hyperlink"/>
            <w:rFonts w:asciiTheme="majorBidi" w:hAnsiTheme="majorBidi" w:cstheme="majorBidi"/>
            <w:sz w:val="20"/>
            <w:szCs w:val="20"/>
          </w:rPr>
          <w:t>https://doi.org/10.1080/17445302.2020.1772667</w:t>
        </w:r>
      </w:hyperlink>
      <w:r w:rsidRPr="00FD739B">
        <w:rPr>
          <w:rFonts w:asciiTheme="majorBidi" w:hAnsiTheme="majorBidi" w:cstheme="majorBidi"/>
          <w:color w:val="000000" w:themeColor="text1"/>
          <w:sz w:val="20"/>
          <w:szCs w:val="20"/>
        </w:rPr>
        <w:t>.</w:t>
      </w:r>
      <w:r w:rsidR="001F2428">
        <w:rPr>
          <w:rFonts w:asciiTheme="majorBidi" w:hAnsiTheme="majorBidi" w:cstheme="majorBidi"/>
          <w:color w:val="000000" w:themeColor="text1"/>
          <w:sz w:val="20"/>
          <w:szCs w:val="20"/>
        </w:rPr>
        <w:t xml:space="preserve"> </w:t>
      </w:r>
    </w:p>
    <w:p w14:paraId="002E38E9" w14:textId="58FC7E2D" w:rsidR="006C0DCA" w:rsidRPr="00FD739B" w:rsidRDefault="006C0DCA" w:rsidP="006C0DCA">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FD739B">
        <w:rPr>
          <w:rFonts w:asciiTheme="majorBidi" w:hAnsiTheme="majorBidi" w:cstheme="majorBidi"/>
          <w:color w:val="000000" w:themeColor="text1"/>
          <w:sz w:val="20"/>
          <w:szCs w:val="20"/>
        </w:rPr>
        <w:t xml:space="preserve">Sharp, C.; DuPont, B. Wave energy converter array optimization: A review of current work and preliminary results of a genetic algorithm approach introducing cost factors. In </w:t>
      </w:r>
      <w:r w:rsidRPr="00FD739B">
        <w:rPr>
          <w:rFonts w:asciiTheme="majorBidi" w:hAnsiTheme="majorBidi" w:cstheme="majorBidi"/>
          <w:i/>
          <w:iCs/>
          <w:color w:val="000000" w:themeColor="text1"/>
          <w:sz w:val="20"/>
          <w:szCs w:val="20"/>
        </w:rPr>
        <w:t>Proceedings of the International Design Engineering Technical Conferences and Computers and Information in Engineering Conference</w:t>
      </w:r>
      <w:r w:rsidRPr="00FD739B">
        <w:rPr>
          <w:rFonts w:asciiTheme="majorBidi" w:hAnsiTheme="majorBidi" w:cstheme="majorBidi"/>
          <w:color w:val="000000" w:themeColor="text1"/>
          <w:sz w:val="20"/>
          <w:szCs w:val="20"/>
        </w:rPr>
        <w:t xml:space="preserve">, Charlotte, NC, USA, 21–24 August 2016; Paper No. DETC2016-59373. </w:t>
      </w:r>
      <w:hyperlink r:id="rId103" w:history="1">
        <w:r w:rsidR="00B967E7" w:rsidRPr="00FD739B">
          <w:rPr>
            <w:rStyle w:val="Hyperlink"/>
            <w:rFonts w:asciiTheme="majorBidi" w:hAnsiTheme="majorBidi" w:cstheme="majorBidi"/>
            <w:sz w:val="20"/>
            <w:szCs w:val="20"/>
          </w:rPr>
          <w:t>https://doi.org/10.1115/DETC2016-59373</w:t>
        </w:r>
      </w:hyperlink>
      <w:r w:rsidRPr="00FD739B">
        <w:rPr>
          <w:rFonts w:asciiTheme="majorBidi" w:hAnsiTheme="majorBidi" w:cstheme="majorBidi"/>
          <w:color w:val="000000" w:themeColor="text1"/>
          <w:sz w:val="20"/>
          <w:szCs w:val="20"/>
        </w:rPr>
        <w:t>.</w:t>
      </w:r>
      <w:r w:rsidR="00B967E7">
        <w:rPr>
          <w:rFonts w:asciiTheme="majorBidi" w:hAnsiTheme="majorBidi" w:cstheme="majorBidi"/>
          <w:color w:val="000000" w:themeColor="text1"/>
          <w:sz w:val="20"/>
          <w:szCs w:val="20"/>
        </w:rPr>
        <w:t xml:space="preserve"> </w:t>
      </w:r>
    </w:p>
    <w:p w14:paraId="0849E6D7" w14:textId="6C17C456" w:rsidR="006C0DCA" w:rsidRPr="00FD739B" w:rsidRDefault="006C0DCA" w:rsidP="006C0DCA">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FD739B">
        <w:rPr>
          <w:rFonts w:asciiTheme="majorBidi" w:hAnsiTheme="majorBidi" w:cstheme="majorBidi"/>
          <w:color w:val="000000" w:themeColor="text1"/>
          <w:sz w:val="20"/>
          <w:szCs w:val="20"/>
        </w:rPr>
        <w:t xml:space="preserve">Thomsen, J.B.; Ferri, F.; Kofoed, J.P. Screening of available tools for dynamic mooring analysis of wave energy converters. </w:t>
      </w:r>
      <w:r w:rsidRPr="00FD739B">
        <w:rPr>
          <w:rFonts w:asciiTheme="majorBidi" w:hAnsiTheme="majorBidi" w:cstheme="majorBidi"/>
          <w:i/>
          <w:iCs/>
          <w:color w:val="000000" w:themeColor="text1"/>
          <w:sz w:val="20"/>
          <w:szCs w:val="20"/>
        </w:rPr>
        <w:t>Energies</w:t>
      </w:r>
      <w:r w:rsidRPr="00FD739B">
        <w:rPr>
          <w:rFonts w:asciiTheme="majorBidi" w:hAnsiTheme="majorBidi" w:cstheme="majorBidi"/>
          <w:color w:val="000000" w:themeColor="text1"/>
          <w:sz w:val="20"/>
          <w:szCs w:val="20"/>
        </w:rPr>
        <w:t xml:space="preserve"> 2017, 10, 853. </w:t>
      </w:r>
      <w:hyperlink r:id="rId104" w:history="1">
        <w:r w:rsidR="004E744F" w:rsidRPr="00FD739B">
          <w:rPr>
            <w:rStyle w:val="Hyperlink"/>
            <w:rFonts w:asciiTheme="majorBidi" w:hAnsiTheme="majorBidi" w:cstheme="majorBidi"/>
            <w:sz w:val="20"/>
            <w:szCs w:val="20"/>
          </w:rPr>
          <w:t>https://doi.org/10.3390/en10070853</w:t>
        </w:r>
      </w:hyperlink>
      <w:r w:rsidRPr="00FD739B">
        <w:rPr>
          <w:rFonts w:asciiTheme="majorBidi" w:hAnsiTheme="majorBidi" w:cstheme="majorBidi"/>
          <w:color w:val="000000" w:themeColor="text1"/>
          <w:sz w:val="20"/>
          <w:szCs w:val="20"/>
        </w:rPr>
        <w:t>.</w:t>
      </w:r>
      <w:r w:rsidR="004E744F">
        <w:rPr>
          <w:rFonts w:asciiTheme="majorBidi" w:hAnsiTheme="majorBidi" w:cstheme="majorBidi"/>
          <w:color w:val="000000" w:themeColor="text1"/>
          <w:sz w:val="20"/>
          <w:szCs w:val="20"/>
        </w:rPr>
        <w:t xml:space="preserve"> </w:t>
      </w:r>
    </w:p>
    <w:p w14:paraId="16296F52" w14:textId="1869D849" w:rsidR="006C0DCA" w:rsidRPr="00FD739B" w:rsidRDefault="006C0DCA" w:rsidP="006C0DCA">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FD739B">
        <w:rPr>
          <w:rFonts w:asciiTheme="majorBidi" w:hAnsiTheme="majorBidi" w:cstheme="majorBidi"/>
          <w:color w:val="000000" w:themeColor="text1"/>
          <w:sz w:val="20"/>
          <w:szCs w:val="20"/>
        </w:rPr>
        <w:t xml:space="preserve">Neshat, M.; </w:t>
      </w:r>
      <w:proofErr w:type="spellStart"/>
      <w:r w:rsidRPr="00FD739B">
        <w:rPr>
          <w:rFonts w:asciiTheme="majorBidi" w:hAnsiTheme="majorBidi" w:cstheme="majorBidi"/>
          <w:color w:val="000000" w:themeColor="text1"/>
          <w:sz w:val="20"/>
          <w:szCs w:val="20"/>
        </w:rPr>
        <w:t>Sergiienko</w:t>
      </w:r>
      <w:proofErr w:type="spellEnd"/>
      <w:r w:rsidRPr="00FD739B">
        <w:rPr>
          <w:rFonts w:asciiTheme="majorBidi" w:hAnsiTheme="majorBidi" w:cstheme="majorBidi"/>
          <w:color w:val="000000" w:themeColor="text1"/>
          <w:sz w:val="20"/>
          <w:szCs w:val="20"/>
        </w:rPr>
        <w:t xml:space="preserve">, N.Y.; da Silva, L.S.P.; </w:t>
      </w:r>
      <w:proofErr w:type="spellStart"/>
      <w:r w:rsidRPr="00FD739B">
        <w:rPr>
          <w:rFonts w:asciiTheme="majorBidi" w:hAnsiTheme="majorBidi" w:cstheme="majorBidi"/>
          <w:color w:val="000000" w:themeColor="text1"/>
          <w:sz w:val="20"/>
          <w:szCs w:val="20"/>
        </w:rPr>
        <w:t>Mirjalili</w:t>
      </w:r>
      <w:proofErr w:type="spellEnd"/>
      <w:r w:rsidRPr="00FD739B">
        <w:rPr>
          <w:rFonts w:asciiTheme="majorBidi" w:hAnsiTheme="majorBidi" w:cstheme="majorBidi"/>
          <w:color w:val="000000" w:themeColor="text1"/>
          <w:sz w:val="20"/>
          <w:szCs w:val="20"/>
        </w:rPr>
        <w:t xml:space="preserve">, S.; </w:t>
      </w:r>
      <w:proofErr w:type="spellStart"/>
      <w:r w:rsidRPr="00FD739B">
        <w:rPr>
          <w:rFonts w:asciiTheme="majorBidi" w:hAnsiTheme="majorBidi" w:cstheme="majorBidi"/>
          <w:color w:val="000000" w:themeColor="text1"/>
          <w:sz w:val="20"/>
          <w:szCs w:val="20"/>
        </w:rPr>
        <w:t>Gandomi</w:t>
      </w:r>
      <w:proofErr w:type="spellEnd"/>
      <w:r w:rsidRPr="00FD739B">
        <w:rPr>
          <w:rFonts w:asciiTheme="majorBidi" w:hAnsiTheme="majorBidi" w:cstheme="majorBidi"/>
          <w:color w:val="000000" w:themeColor="text1"/>
          <w:sz w:val="20"/>
          <w:szCs w:val="20"/>
        </w:rPr>
        <w:t xml:space="preserve">, A.H.; </w:t>
      </w:r>
      <w:proofErr w:type="spellStart"/>
      <w:r w:rsidRPr="00FD739B">
        <w:rPr>
          <w:rFonts w:asciiTheme="majorBidi" w:hAnsiTheme="majorBidi" w:cstheme="majorBidi"/>
          <w:color w:val="000000" w:themeColor="text1"/>
          <w:sz w:val="20"/>
          <w:szCs w:val="20"/>
        </w:rPr>
        <w:t>Abdelkhalik</w:t>
      </w:r>
      <w:proofErr w:type="spellEnd"/>
      <w:r w:rsidRPr="00FD739B">
        <w:rPr>
          <w:rFonts w:asciiTheme="majorBidi" w:hAnsiTheme="majorBidi" w:cstheme="majorBidi"/>
          <w:color w:val="000000" w:themeColor="text1"/>
          <w:sz w:val="20"/>
          <w:szCs w:val="20"/>
        </w:rPr>
        <w:t xml:space="preserve">, O.; Boland, J. Enhancing the performance of hybrid wave–wind energy systems through multi-objective optimisation. </w:t>
      </w:r>
      <w:r w:rsidRPr="00FD739B">
        <w:rPr>
          <w:rFonts w:asciiTheme="majorBidi" w:hAnsiTheme="majorBidi" w:cstheme="majorBidi"/>
          <w:i/>
          <w:iCs/>
          <w:color w:val="000000" w:themeColor="text1"/>
          <w:sz w:val="20"/>
          <w:szCs w:val="20"/>
        </w:rPr>
        <w:t xml:space="preserve">Appl. Energy </w:t>
      </w:r>
      <w:r w:rsidRPr="00FD739B">
        <w:rPr>
          <w:rFonts w:asciiTheme="majorBidi" w:hAnsiTheme="majorBidi" w:cstheme="majorBidi"/>
          <w:color w:val="000000" w:themeColor="text1"/>
          <w:sz w:val="20"/>
          <w:szCs w:val="20"/>
        </w:rPr>
        <w:t xml:space="preserve">2024, 362, 122955. </w:t>
      </w:r>
      <w:hyperlink r:id="rId105" w:history="1">
        <w:r w:rsidR="00B2013D" w:rsidRPr="00FD739B">
          <w:rPr>
            <w:rStyle w:val="Hyperlink"/>
            <w:rFonts w:asciiTheme="majorBidi" w:hAnsiTheme="majorBidi" w:cstheme="majorBidi"/>
            <w:sz w:val="20"/>
            <w:szCs w:val="20"/>
          </w:rPr>
          <w:t>https://doi.org/10.1016/j.apenergy.2024.122955</w:t>
        </w:r>
      </w:hyperlink>
      <w:r w:rsidRPr="00FD739B">
        <w:rPr>
          <w:rFonts w:asciiTheme="majorBidi" w:hAnsiTheme="majorBidi" w:cstheme="majorBidi"/>
          <w:color w:val="000000" w:themeColor="text1"/>
          <w:sz w:val="20"/>
          <w:szCs w:val="20"/>
        </w:rPr>
        <w:t>.</w:t>
      </w:r>
      <w:r w:rsidR="00B2013D">
        <w:rPr>
          <w:rFonts w:asciiTheme="majorBidi" w:hAnsiTheme="majorBidi" w:cstheme="majorBidi"/>
          <w:color w:val="000000" w:themeColor="text1"/>
          <w:sz w:val="20"/>
          <w:szCs w:val="20"/>
        </w:rPr>
        <w:t xml:space="preserve"> </w:t>
      </w:r>
    </w:p>
    <w:p w14:paraId="4EA05AE5" w14:textId="7F5B6F4D" w:rsidR="006C0DCA" w:rsidRPr="00FD739B" w:rsidRDefault="006C0DCA" w:rsidP="006C0DCA">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FD739B">
        <w:rPr>
          <w:rFonts w:asciiTheme="majorBidi" w:hAnsiTheme="majorBidi" w:cstheme="majorBidi"/>
          <w:color w:val="000000" w:themeColor="text1"/>
          <w:sz w:val="20"/>
          <w:szCs w:val="20"/>
        </w:rPr>
        <w:t xml:space="preserve">Gomes, R.P.F.; Henriques, J.C.C.; Gato, L.M.C.; Falcão, A.F.O. Hydrodynamic optimization of an axisymmetric floating oscillating water column for wave energy conversion. </w:t>
      </w:r>
      <w:r w:rsidRPr="00FD739B">
        <w:rPr>
          <w:rFonts w:asciiTheme="majorBidi" w:hAnsiTheme="majorBidi" w:cstheme="majorBidi"/>
          <w:i/>
          <w:iCs/>
          <w:color w:val="000000" w:themeColor="text1"/>
          <w:sz w:val="20"/>
          <w:szCs w:val="20"/>
        </w:rPr>
        <w:t>Renew. Energy</w:t>
      </w:r>
      <w:r w:rsidRPr="00FD739B">
        <w:rPr>
          <w:rFonts w:asciiTheme="majorBidi" w:hAnsiTheme="majorBidi" w:cstheme="majorBidi"/>
          <w:color w:val="000000" w:themeColor="text1"/>
          <w:sz w:val="20"/>
          <w:szCs w:val="20"/>
        </w:rPr>
        <w:t xml:space="preserve"> 2012, 44, 328–339. </w:t>
      </w:r>
      <w:hyperlink r:id="rId106" w:history="1">
        <w:r w:rsidR="00843727" w:rsidRPr="00FD739B">
          <w:rPr>
            <w:rStyle w:val="Hyperlink"/>
            <w:rFonts w:asciiTheme="majorBidi" w:hAnsiTheme="majorBidi" w:cstheme="majorBidi"/>
            <w:sz w:val="20"/>
            <w:szCs w:val="20"/>
          </w:rPr>
          <w:t>https://doi.org/10.1016/j.renene.2012.01.105</w:t>
        </w:r>
      </w:hyperlink>
      <w:r w:rsidRPr="00FD739B">
        <w:rPr>
          <w:rFonts w:asciiTheme="majorBidi" w:hAnsiTheme="majorBidi" w:cstheme="majorBidi"/>
          <w:color w:val="000000" w:themeColor="text1"/>
          <w:sz w:val="20"/>
          <w:szCs w:val="20"/>
        </w:rPr>
        <w:t>.</w:t>
      </w:r>
      <w:r w:rsidR="00843727">
        <w:rPr>
          <w:rFonts w:asciiTheme="majorBidi" w:hAnsiTheme="majorBidi" w:cstheme="majorBidi"/>
          <w:color w:val="000000" w:themeColor="text1"/>
          <w:sz w:val="20"/>
          <w:szCs w:val="20"/>
        </w:rPr>
        <w:t xml:space="preserve"> </w:t>
      </w:r>
    </w:p>
    <w:p w14:paraId="78CBE408" w14:textId="1DB3BCF1" w:rsidR="006C0DCA" w:rsidRPr="00FD739B" w:rsidRDefault="006C0DCA" w:rsidP="006C0DCA">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FD739B">
        <w:rPr>
          <w:rFonts w:asciiTheme="majorBidi" w:hAnsiTheme="majorBidi" w:cstheme="majorBidi"/>
          <w:color w:val="000000" w:themeColor="text1"/>
          <w:sz w:val="20"/>
          <w:szCs w:val="20"/>
        </w:rPr>
        <w:t xml:space="preserve">Johanning, L.; Smith, G.H.; Wolfram, J. Measurements of static and dynamic mooring line damping and their importance for floating WEC devices. </w:t>
      </w:r>
      <w:r w:rsidRPr="00FD739B">
        <w:rPr>
          <w:rFonts w:asciiTheme="majorBidi" w:hAnsiTheme="majorBidi" w:cstheme="majorBidi"/>
          <w:i/>
          <w:iCs/>
          <w:color w:val="000000" w:themeColor="text1"/>
          <w:sz w:val="20"/>
          <w:szCs w:val="20"/>
        </w:rPr>
        <w:t>Ocean Eng.</w:t>
      </w:r>
      <w:r w:rsidRPr="00FD739B">
        <w:rPr>
          <w:rFonts w:asciiTheme="majorBidi" w:hAnsiTheme="majorBidi" w:cstheme="majorBidi"/>
          <w:color w:val="000000" w:themeColor="text1"/>
          <w:sz w:val="20"/>
          <w:szCs w:val="20"/>
        </w:rPr>
        <w:t xml:space="preserve"> 2007, 34, 1994–2009. </w:t>
      </w:r>
      <w:hyperlink r:id="rId107" w:history="1">
        <w:r w:rsidR="00F64423" w:rsidRPr="00FD739B">
          <w:rPr>
            <w:rStyle w:val="Hyperlink"/>
            <w:rFonts w:asciiTheme="majorBidi" w:hAnsiTheme="majorBidi" w:cstheme="majorBidi"/>
            <w:sz w:val="20"/>
            <w:szCs w:val="20"/>
          </w:rPr>
          <w:t>https://doi.org/10.1016/j.oceaneng.2007.04.002</w:t>
        </w:r>
      </w:hyperlink>
      <w:r w:rsidRPr="00FD739B">
        <w:rPr>
          <w:rFonts w:asciiTheme="majorBidi" w:hAnsiTheme="majorBidi" w:cstheme="majorBidi"/>
          <w:color w:val="000000" w:themeColor="text1"/>
          <w:sz w:val="20"/>
          <w:szCs w:val="20"/>
        </w:rPr>
        <w:t>.</w:t>
      </w:r>
      <w:r w:rsidR="00F64423">
        <w:rPr>
          <w:rFonts w:asciiTheme="majorBidi" w:hAnsiTheme="majorBidi" w:cstheme="majorBidi"/>
          <w:color w:val="000000" w:themeColor="text1"/>
          <w:sz w:val="20"/>
          <w:szCs w:val="20"/>
        </w:rPr>
        <w:t xml:space="preserve"> </w:t>
      </w:r>
    </w:p>
    <w:p w14:paraId="40F81186" w14:textId="77777777" w:rsidR="006C0DCA" w:rsidRPr="00FD739B" w:rsidRDefault="006C0DCA" w:rsidP="006C0DCA">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FD739B">
        <w:rPr>
          <w:rFonts w:asciiTheme="majorBidi" w:hAnsiTheme="majorBidi" w:cstheme="majorBidi"/>
          <w:color w:val="000000" w:themeColor="text1"/>
          <w:sz w:val="20"/>
          <w:szCs w:val="20"/>
        </w:rPr>
        <w:t xml:space="preserve">Thies, P.R. </w:t>
      </w:r>
      <w:r w:rsidRPr="00FD739B">
        <w:rPr>
          <w:rFonts w:asciiTheme="majorBidi" w:hAnsiTheme="majorBidi" w:cstheme="majorBidi"/>
          <w:i/>
          <w:iCs/>
          <w:color w:val="000000" w:themeColor="text1"/>
          <w:sz w:val="20"/>
          <w:szCs w:val="20"/>
        </w:rPr>
        <w:t>Advancing Reliability Information for Wave Energy Converters</w:t>
      </w:r>
      <w:r w:rsidRPr="00FD739B">
        <w:rPr>
          <w:rFonts w:asciiTheme="majorBidi" w:hAnsiTheme="majorBidi" w:cstheme="majorBidi"/>
          <w:color w:val="000000" w:themeColor="text1"/>
          <w:sz w:val="20"/>
          <w:szCs w:val="20"/>
        </w:rPr>
        <w:t>. Ph.D. Thesis, University of Exeter, Exeter, UK, 2012. Available online: https://ore.exeter.ac.uk/articles/thesis/Advancing_reliability_information_for_Wave_Energy_Converters/29691650 (accessed on 24 March 2026).</w:t>
      </w:r>
    </w:p>
    <w:p w14:paraId="07C51D05" w14:textId="77777777" w:rsidR="006C0DCA" w:rsidRPr="00FD739B" w:rsidRDefault="006C0DCA" w:rsidP="006C0DCA">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FD739B">
        <w:rPr>
          <w:rFonts w:asciiTheme="majorBidi" w:hAnsiTheme="majorBidi" w:cstheme="majorBidi"/>
          <w:color w:val="000000" w:themeColor="text1"/>
          <w:sz w:val="20"/>
          <w:szCs w:val="20"/>
        </w:rPr>
        <w:t xml:space="preserve">Giorgi, G.; Penalba Retes, M.; Ringwood, J.V. Nonlinear hydrodynamic models for heaving buoy wave energy converters. In </w:t>
      </w:r>
      <w:r w:rsidRPr="00FD739B">
        <w:rPr>
          <w:rFonts w:asciiTheme="majorBidi" w:hAnsiTheme="majorBidi" w:cstheme="majorBidi"/>
          <w:i/>
          <w:iCs/>
          <w:color w:val="000000" w:themeColor="text1"/>
          <w:sz w:val="20"/>
          <w:szCs w:val="20"/>
        </w:rPr>
        <w:t>Proceedings of the 3rd Asian Wave and Tidal Energy Conference</w:t>
      </w:r>
      <w:r w:rsidRPr="00FD739B">
        <w:rPr>
          <w:rFonts w:asciiTheme="majorBidi" w:hAnsiTheme="majorBidi" w:cstheme="majorBidi"/>
          <w:color w:val="000000" w:themeColor="text1"/>
          <w:sz w:val="20"/>
          <w:szCs w:val="20"/>
        </w:rPr>
        <w:t>, Singapore, 24–28 October 2016. Available online: http://mural.maynoothuniversity.ie/9418/1/JR-Nonlinear-2016.pdf (accessed on 2 April 2026).</w:t>
      </w:r>
    </w:p>
    <w:p w14:paraId="129B718F" w14:textId="76E1E747" w:rsidR="006C0DCA" w:rsidRPr="00585802" w:rsidRDefault="006C0DCA" w:rsidP="00585802">
      <w:pPr>
        <w:pStyle w:val="ds-markdown-paragraph"/>
        <w:numPr>
          <w:ilvl w:val="0"/>
          <w:numId w:val="26"/>
        </w:numPr>
        <w:shd w:val="clear" w:color="auto" w:fill="FFFFFF"/>
        <w:spacing w:before="0" w:beforeAutospacing="0" w:after="0" w:afterAutospacing="0"/>
        <w:ind w:left="2552"/>
        <w:rPr>
          <w:rFonts w:asciiTheme="majorBidi" w:hAnsiTheme="majorBidi" w:cstheme="majorBidi"/>
          <w:color w:val="000000" w:themeColor="text1"/>
          <w:sz w:val="20"/>
          <w:szCs w:val="20"/>
        </w:rPr>
      </w:pPr>
      <w:r w:rsidRPr="00FD739B">
        <w:rPr>
          <w:rFonts w:asciiTheme="majorBidi" w:hAnsiTheme="majorBidi" w:cstheme="majorBidi"/>
          <w:color w:val="000000" w:themeColor="text1"/>
          <w:sz w:val="20"/>
          <w:szCs w:val="20"/>
        </w:rPr>
        <w:t xml:space="preserve">Sarmiento, J.; </w:t>
      </w:r>
      <w:proofErr w:type="spellStart"/>
      <w:r w:rsidRPr="00FD739B">
        <w:rPr>
          <w:rFonts w:asciiTheme="majorBidi" w:hAnsiTheme="majorBidi" w:cstheme="majorBidi"/>
          <w:color w:val="000000" w:themeColor="text1"/>
          <w:sz w:val="20"/>
          <w:szCs w:val="20"/>
        </w:rPr>
        <w:t>Iturrioz</w:t>
      </w:r>
      <w:proofErr w:type="spellEnd"/>
      <w:r w:rsidRPr="00FD739B">
        <w:rPr>
          <w:rFonts w:asciiTheme="majorBidi" w:hAnsiTheme="majorBidi" w:cstheme="majorBidi"/>
          <w:color w:val="000000" w:themeColor="text1"/>
          <w:sz w:val="20"/>
          <w:szCs w:val="20"/>
        </w:rPr>
        <w:t xml:space="preserve">, A.; Ayllón, V.; Guanche, R.; Losada, I.J. Experimental modelling of a multi-use floating platform for wave and wind energy harvesting. </w:t>
      </w:r>
      <w:r w:rsidRPr="00FD739B">
        <w:rPr>
          <w:rFonts w:asciiTheme="majorBidi" w:hAnsiTheme="majorBidi" w:cstheme="majorBidi"/>
          <w:i/>
          <w:iCs/>
          <w:color w:val="000000" w:themeColor="text1"/>
          <w:sz w:val="20"/>
          <w:szCs w:val="20"/>
        </w:rPr>
        <w:t>Ocean Eng.</w:t>
      </w:r>
      <w:r w:rsidRPr="00FD739B">
        <w:rPr>
          <w:rFonts w:asciiTheme="majorBidi" w:hAnsiTheme="majorBidi" w:cstheme="majorBidi"/>
          <w:color w:val="000000" w:themeColor="text1"/>
          <w:sz w:val="20"/>
          <w:szCs w:val="20"/>
        </w:rPr>
        <w:t xml:space="preserve"> 2019, 173, 683–698. </w:t>
      </w:r>
      <w:hyperlink r:id="rId108" w:history="1">
        <w:r w:rsidR="00C04834" w:rsidRPr="00FD739B">
          <w:rPr>
            <w:rStyle w:val="Hyperlink"/>
            <w:rFonts w:asciiTheme="majorBidi" w:hAnsiTheme="majorBidi" w:cstheme="majorBidi"/>
            <w:sz w:val="20"/>
            <w:szCs w:val="20"/>
          </w:rPr>
          <w:t>https://doi.org/10.1016/j.oceaneng.2018.12.046</w:t>
        </w:r>
      </w:hyperlink>
      <w:r w:rsidRPr="00FD739B">
        <w:rPr>
          <w:rFonts w:asciiTheme="majorBidi" w:hAnsiTheme="majorBidi" w:cstheme="majorBidi"/>
          <w:color w:val="000000" w:themeColor="text1"/>
          <w:sz w:val="20"/>
          <w:szCs w:val="20"/>
        </w:rPr>
        <w:t>.</w:t>
      </w:r>
      <w:r w:rsidR="00C04834">
        <w:rPr>
          <w:rFonts w:asciiTheme="majorBidi" w:hAnsiTheme="majorBidi" w:cstheme="majorBidi"/>
          <w:color w:val="000000" w:themeColor="text1"/>
          <w:sz w:val="20"/>
          <w:szCs w:val="20"/>
        </w:rPr>
        <w:t xml:space="preserve"> </w:t>
      </w:r>
    </w:p>
    <w:sectPr w:rsidR="006C0DCA" w:rsidRPr="00585802" w:rsidSect="002D2337">
      <w:headerReference w:type="even" r:id="rId109"/>
      <w:headerReference w:type="default" r:id="rId110"/>
      <w:footerReference w:type="default" r:id="rId111"/>
      <w:headerReference w:type="first" r:id="rId112"/>
      <w:footerReference w:type="first" r:id="rId113"/>
      <w:type w:val="continuous"/>
      <w:pgSz w:w="11906" w:h="16838" w:code="9"/>
      <w:pgMar w:top="1417" w:right="720" w:bottom="907" w:left="1701" w:header="720" w:footer="612"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219B0A" w14:textId="77777777" w:rsidR="00CA2090" w:rsidRPr="009E7DBF" w:rsidRDefault="00CA2090">
      <w:pPr>
        <w:spacing w:line="240" w:lineRule="auto"/>
      </w:pPr>
      <w:r w:rsidRPr="009E7DBF">
        <w:separator/>
      </w:r>
    </w:p>
  </w:endnote>
  <w:endnote w:type="continuationSeparator" w:id="0">
    <w:p w14:paraId="7098D661" w14:textId="77777777" w:rsidR="00CA2090" w:rsidRPr="009E7DBF" w:rsidRDefault="00CA2090">
      <w:pPr>
        <w:spacing w:line="240" w:lineRule="auto"/>
      </w:pPr>
      <w:r w:rsidRPr="009E7DB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1431D" w14:textId="4BC74716" w:rsidR="00FA6861" w:rsidRPr="00834E56" w:rsidRDefault="00FA6861" w:rsidP="00834E56">
    <w:pPr>
      <w:pStyle w:val="Footer"/>
      <w:spacing w:line="240" w:lineRule="auto"/>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883A0" w14:textId="77777777" w:rsidR="007B21D2" w:rsidRPr="009E7DBF" w:rsidRDefault="007B21D2" w:rsidP="00E14897">
    <w:pPr>
      <w:pBdr>
        <w:top w:val="single" w:sz="4" w:space="0" w:color="000000"/>
      </w:pBdr>
      <w:tabs>
        <w:tab w:val="right" w:pos="8844"/>
      </w:tabs>
      <w:adjustRightInd w:val="0"/>
      <w:snapToGrid w:val="0"/>
      <w:spacing w:before="480" w:line="100" w:lineRule="exact"/>
      <w:jc w:val="left"/>
      <w:rPr>
        <w:i/>
        <w:sz w:val="16"/>
        <w:szCs w:val="16"/>
      </w:rPr>
    </w:pPr>
  </w:p>
  <w:p w14:paraId="18DE608E" w14:textId="77777777" w:rsidR="00FA6861" w:rsidRPr="006A3F51" w:rsidRDefault="00FA6861" w:rsidP="002B6EA5">
    <w:pPr>
      <w:tabs>
        <w:tab w:val="right" w:pos="10466"/>
      </w:tabs>
      <w:adjustRightInd w:val="0"/>
      <w:snapToGrid w:val="0"/>
      <w:spacing w:line="240" w:lineRule="auto"/>
      <w:rPr>
        <w:sz w:val="16"/>
        <w:szCs w:val="16"/>
        <w:lang w:val="es-ES"/>
      </w:rPr>
    </w:pPr>
    <w:r w:rsidRPr="006A3F51">
      <w:rPr>
        <w:i/>
        <w:sz w:val="16"/>
        <w:szCs w:val="16"/>
        <w:lang w:val="es-ES"/>
      </w:rPr>
      <w:t xml:space="preserve">J. Mar. </w:t>
    </w:r>
    <w:proofErr w:type="spellStart"/>
    <w:r w:rsidRPr="006A3F51">
      <w:rPr>
        <w:i/>
        <w:sz w:val="16"/>
        <w:szCs w:val="16"/>
        <w:lang w:val="es-ES"/>
      </w:rPr>
      <w:t>Sci</w:t>
    </w:r>
    <w:proofErr w:type="spellEnd"/>
    <w:r w:rsidRPr="006A3F51">
      <w:rPr>
        <w:i/>
        <w:sz w:val="16"/>
        <w:szCs w:val="16"/>
        <w:lang w:val="es-ES"/>
      </w:rPr>
      <w:t xml:space="preserve">. Eng. </w:t>
    </w:r>
    <w:r w:rsidR="00834E56" w:rsidRPr="006A3F51">
      <w:rPr>
        <w:b/>
        <w:bCs/>
        <w:iCs/>
        <w:sz w:val="16"/>
        <w:szCs w:val="16"/>
        <w:lang w:val="es-ES"/>
      </w:rPr>
      <w:t>2026</w:t>
    </w:r>
    <w:r w:rsidR="00812671" w:rsidRPr="006A3F51">
      <w:rPr>
        <w:bCs/>
        <w:iCs/>
        <w:sz w:val="16"/>
        <w:szCs w:val="16"/>
        <w:lang w:val="es-ES"/>
      </w:rPr>
      <w:t>,</w:t>
    </w:r>
    <w:r w:rsidR="00183AAF" w:rsidRPr="006A3F51">
      <w:rPr>
        <w:bCs/>
        <w:i/>
        <w:iCs/>
        <w:sz w:val="16"/>
        <w:szCs w:val="16"/>
        <w:lang w:val="es-ES"/>
      </w:rPr>
      <w:t xml:space="preserve"> </w:t>
    </w:r>
    <w:r w:rsidR="00834E56" w:rsidRPr="006A3F51">
      <w:rPr>
        <w:bCs/>
        <w:i/>
        <w:iCs/>
        <w:sz w:val="16"/>
        <w:szCs w:val="16"/>
        <w:lang w:val="es-ES"/>
      </w:rPr>
      <w:t>14</w:t>
    </w:r>
    <w:r w:rsidR="00812671" w:rsidRPr="006A3F51">
      <w:rPr>
        <w:bCs/>
        <w:iCs/>
        <w:sz w:val="16"/>
        <w:szCs w:val="16"/>
        <w:lang w:val="es-ES"/>
      </w:rPr>
      <w:t xml:space="preserve">, </w:t>
    </w:r>
    <w:r w:rsidR="00F7266F" w:rsidRPr="006A3F51">
      <w:rPr>
        <w:bCs/>
        <w:iCs/>
        <w:sz w:val="16"/>
        <w:szCs w:val="16"/>
        <w:lang w:val="es-ES"/>
      </w:rPr>
      <w:t>x</w:t>
    </w:r>
    <w:r w:rsidR="002B6EA5" w:rsidRPr="006A3F51">
      <w:rPr>
        <w:sz w:val="16"/>
        <w:szCs w:val="16"/>
        <w:lang w:val="es-ES"/>
      </w:rPr>
      <w:tab/>
    </w:r>
    <w:r w:rsidR="00834E56" w:rsidRPr="006A3F51">
      <w:rPr>
        <w:sz w:val="16"/>
        <w:szCs w:val="16"/>
        <w:lang w:val="es-ES"/>
      </w:rPr>
      <w:t>https://doi.org/10.3390/xxxxx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8426B2" w14:textId="77777777" w:rsidR="00CA2090" w:rsidRPr="009E7DBF" w:rsidRDefault="00CA2090">
      <w:pPr>
        <w:spacing w:line="240" w:lineRule="auto"/>
      </w:pPr>
      <w:r w:rsidRPr="009E7DBF">
        <w:separator/>
      </w:r>
    </w:p>
  </w:footnote>
  <w:footnote w:type="continuationSeparator" w:id="0">
    <w:p w14:paraId="40043575" w14:textId="77777777" w:rsidR="00CA2090" w:rsidRPr="009E7DBF" w:rsidRDefault="00CA2090">
      <w:pPr>
        <w:spacing w:line="240" w:lineRule="auto"/>
      </w:pPr>
      <w:r w:rsidRPr="009E7DB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A842A" w14:textId="77777777" w:rsidR="00FA6861" w:rsidRPr="009E7DBF" w:rsidRDefault="00FA6861" w:rsidP="00FA6861">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69314" w14:textId="77777777" w:rsidR="00CF5E54" w:rsidRDefault="00FA6861" w:rsidP="002B6EA5">
    <w:pPr>
      <w:tabs>
        <w:tab w:val="right" w:pos="10466"/>
      </w:tabs>
      <w:adjustRightInd w:val="0"/>
      <w:snapToGrid w:val="0"/>
      <w:spacing w:line="240" w:lineRule="auto"/>
      <w:rPr>
        <w:sz w:val="16"/>
      </w:rPr>
    </w:pPr>
    <w:r w:rsidRPr="009E7DBF">
      <w:rPr>
        <w:i/>
        <w:sz w:val="16"/>
      </w:rPr>
      <w:t xml:space="preserve">J. Mar. Sci. Eng. </w:t>
    </w:r>
    <w:r w:rsidR="00834E56">
      <w:rPr>
        <w:b/>
        <w:sz w:val="16"/>
      </w:rPr>
      <w:t>2026</w:t>
    </w:r>
    <w:r w:rsidR="00812671" w:rsidRPr="009E7DBF">
      <w:rPr>
        <w:sz w:val="16"/>
      </w:rPr>
      <w:t>,</w:t>
    </w:r>
    <w:r w:rsidR="00183AAF" w:rsidRPr="009E7DBF">
      <w:rPr>
        <w:i/>
        <w:sz w:val="16"/>
      </w:rPr>
      <w:t xml:space="preserve"> </w:t>
    </w:r>
    <w:r w:rsidR="00834E56">
      <w:rPr>
        <w:i/>
        <w:sz w:val="16"/>
      </w:rPr>
      <w:t>14</w:t>
    </w:r>
    <w:r w:rsidR="00F7266F" w:rsidRPr="009E7DBF">
      <w:rPr>
        <w:sz w:val="16"/>
      </w:rPr>
      <w:t xml:space="preserve">, x </w:t>
    </w:r>
    <w:r w:rsidR="00183AAF" w:rsidRPr="009E7DBF">
      <w:rPr>
        <w:sz w:val="16"/>
      </w:rPr>
      <w:t xml:space="preserve">FOR </w:t>
    </w:r>
  </w:p>
  <w:p w14:paraId="39593E93" w14:textId="77777777" w:rsidR="00CF5E54" w:rsidRDefault="00CF5E54" w:rsidP="002B6EA5">
    <w:pPr>
      <w:tabs>
        <w:tab w:val="right" w:pos="10466"/>
      </w:tabs>
      <w:adjustRightInd w:val="0"/>
      <w:snapToGrid w:val="0"/>
      <w:spacing w:line="240" w:lineRule="auto"/>
      <w:rPr>
        <w:sz w:val="16"/>
      </w:rPr>
    </w:pPr>
  </w:p>
  <w:p w14:paraId="5BE9F9DB" w14:textId="4C24C2FD" w:rsidR="007B21D2" w:rsidRPr="009E7DBF" w:rsidRDefault="00183AAF" w:rsidP="002B6EA5">
    <w:pPr>
      <w:tabs>
        <w:tab w:val="right" w:pos="10466"/>
      </w:tabs>
      <w:adjustRightInd w:val="0"/>
      <w:snapToGrid w:val="0"/>
      <w:spacing w:line="240" w:lineRule="auto"/>
      <w:rPr>
        <w:sz w:val="16"/>
      </w:rPr>
    </w:pPr>
    <w:r w:rsidRPr="009E7DBF">
      <w:rPr>
        <w:sz w:val="16"/>
      </w:rPr>
      <w:t xml:space="preserve"> REVIEW</w:t>
    </w:r>
    <w:r w:rsidRPr="009E7DBF">
      <w:rPr>
        <w:sz w:val="16"/>
      </w:rPr>
      <w:ptab w:relativeTo="margin" w:alignment="right" w:leader="none"/>
    </w:r>
    <w:r w:rsidRPr="009E7DBF">
      <w:rPr>
        <w:sz w:val="16"/>
      </w:rPr>
      <w:fldChar w:fldCharType="begin"/>
    </w:r>
    <w:r w:rsidRPr="009E7DBF">
      <w:rPr>
        <w:sz w:val="16"/>
      </w:rPr>
      <w:instrText xml:space="preserve"> PAGE   \* MERGEFORMAT </w:instrText>
    </w:r>
    <w:r w:rsidRPr="009E7DBF">
      <w:rPr>
        <w:sz w:val="16"/>
      </w:rPr>
      <w:fldChar w:fldCharType="separate"/>
    </w:r>
    <w:r w:rsidRPr="009E7DBF">
      <w:rPr>
        <w:sz w:val="16"/>
      </w:rPr>
      <w:t>2</w:t>
    </w:r>
    <w:r w:rsidRPr="009E7DBF">
      <w:rPr>
        <w:sz w:val="16"/>
      </w:rPr>
      <w:fldChar w:fldCharType="end"/>
    </w:r>
    <w:r w:rsidRPr="009E7DBF">
      <w:rPr>
        <w:sz w:val="16"/>
      </w:rPr>
      <w:t xml:space="preserve"> of </w:t>
    </w:r>
    <w:r w:rsidRPr="009E7DBF">
      <w:rPr>
        <w:sz w:val="16"/>
      </w:rPr>
      <w:fldChar w:fldCharType="begin"/>
    </w:r>
    <w:r w:rsidRPr="009E7DBF">
      <w:rPr>
        <w:sz w:val="16"/>
      </w:rPr>
      <w:instrText xml:space="preserve"> NUMPAGES   \* MERGEFORMAT </w:instrText>
    </w:r>
    <w:r w:rsidRPr="009E7DBF">
      <w:rPr>
        <w:sz w:val="16"/>
      </w:rPr>
      <w:fldChar w:fldCharType="separate"/>
    </w:r>
    <w:r w:rsidRPr="009E7DBF">
      <w:rPr>
        <w:sz w:val="16"/>
      </w:rPr>
      <w:t>7</w:t>
    </w:r>
    <w:r w:rsidRPr="009E7DBF">
      <w:rPr>
        <w:sz w:val="16"/>
      </w:rPr>
      <w:fldChar w:fldCharType="end"/>
    </w:r>
  </w:p>
  <w:p w14:paraId="3A233933" w14:textId="77777777" w:rsidR="00FA6861" w:rsidRPr="009E7DBF" w:rsidRDefault="00FA6861" w:rsidP="00E14897">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87" w:type="dxa"/>
      <w:tblCellMar>
        <w:left w:w="0" w:type="dxa"/>
        <w:right w:w="0" w:type="dxa"/>
      </w:tblCellMar>
      <w:tblLook w:val="04A0" w:firstRow="1" w:lastRow="0" w:firstColumn="1" w:lastColumn="0" w:noHBand="0" w:noVBand="1"/>
    </w:tblPr>
    <w:tblGrid>
      <w:gridCol w:w="3679"/>
      <w:gridCol w:w="4535"/>
      <w:gridCol w:w="2273"/>
    </w:tblGrid>
    <w:tr w:rsidR="007B21D2" w:rsidRPr="009E7DBF" w14:paraId="34079024" w14:textId="77777777" w:rsidTr="00BD4F49">
      <w:trPr>
        <w:trHeight w:val="686"/>
      </w:trPr>
      <w:tc>
        <w:tcPr>
          <w:tcW w:w="3679" w:type="dxa"/>
          <w:vAlign w:val="center"/>
        </w:tcPr>
        <w:p w14:paraId="24668555" w14:textId="77777777" w:rsidR="007B21D2" w:rsidRPr="009E7DBF" w:rsidRDefault="00934FF2" w:rsidP="002B6EA5">
          <w:pPr>
            <w:pStyle w:val="Header"/>
            <w:pBdr>
              <w:bottom w:val="none" w:sz="0" w:space="0" w:color="auto"/>
            </w:pBdr>
            <w:jc w:val="left"/>
            <w:rPr>
              <w:rFonts w:eastAsia="DengXian"/>
              <w:b/>
              <w:bCs/>
            </w:rPr>
          </w:pPr>
          <w:r w:rsidRPr="009E7DBF">
            <w:rPr>
              <w:rFonts w:eastAsia="DengXian"/>
              <w:b/>
              <w:bCs/>
              <w:noProof/>
            </w:rPr>
            <w:drawing>
              <wp:inline distT="0" distB="0" distL="0" distR="0" wp14:anchorId="59742264" wp14:editId="4812003D">
                <wp:extent cx="1460282" cy="432000"/>
                <wp:effectExtent l="0" t="0" r="6985" b="6350"/>
                <wp:docPr id="200251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516828" name=""/>
                        <pic:cNvPicPr/>
                      </pic:nvPicPr>
                      <pic:blipFill>
                        <a:blip r:embed="rId1"/>
                        <a:stretch>
                          <a:fillRect/>
                        </a:stretch>
                      </pic:blipFill>
                      <pic:spPr>
                        <a:xfrm>
                          <a:off x="0" y="0"/>
                          <a:ext cx="1460282" cy="432000"/>
                        </a:xfrm>
                        <a:prstGeom prst="rect">
                          <a:avLst/>
                        </a:prstGeom>
                      </pic:spPr>
                    </pic:pic>
                  </a:graphicData>
                </a:graphic>
              </wp:inline>
            </w:drawing>
          </w:r>
        </w:p>
      </w:tc>
      <w:tc>
        <w:tcPr>
          <w:tcW w:w="4535" w:type="dxa"/>
          <w:vAlign w:val="center"/>
        </w:tcPr>
        <w:p w14:paraId="0C15E553" w14:textId="77777777" w:rsidR="007B21D2" w:rsidRPr="009E7DBF" w:rsidRDefault="007B21D2" w:rsidP="002B6EA5">
          <w:pPr>
            <w:pStyle w:val="Header"/>
            <w:pBdr>
              <w:bottom w:val="none" w:sz="0" w:space="0" w:color="auto"/>
            </w:pBdr>
            <w:rPr>
              <w:rFonts w:eastAsia="DengXian"/>
              <w:b/>
              <w:bCs/>
            </w:rPr>
          </w:pPr>
        </w:p>
      </w:tc>
      <w:tc>
        <w:tcPr>
          <w:tcW w:w="2273" w:type="dxa"/>
          <w:vAlign w:val="center"/>
        </w:tcPr>
        <w:p w14:paraId="3F0B6AA8" w14:textId="77777777" w:rsidR="007B21D2" w:rsidRPr="009E7DBF" w:rsidRDefault="00BD4F49" w:rsidP="00BD4F49">
          <w:pPr>
            <w:pStyle w:val="Header"/>
            <w:pBdr>
              <w:bottom w:val="none" w:sz="0" w:space="0" w:color="auto"/>
            </w:pBdr>
            <w:jc w:val="right"/>
            <w:rPr>
              <w:rFonts w:eastAsia="DengXian"/>
              <w:b/>
              <w:bCs/>
            </w:rPr>
          </w:pPr>
          <w:r w:rsidRPr="009E7DBF">
            <w:rPr>
              <w:rFonts w:eastAsia="DengXian"/>
              <w:b/>
              <w:bCs/>
              <w:noProof/>
            </w:rPr>
            <w:drawing>
              <wp:anchor distT="0" distB="0" distL="114300" distR="114300" simplePos="0" relativeHeight="251658240" behindDoc="0" locked="0" layoutInCell="1" allowOverlap="1" wp14:anchorId="7CBAD82A" wp14:editId="512E9562">
                <wp:simplePos x="0" y="0"/>
                <wp:positionH relativeFrom="column">
                  <wp:posOffset>497205</wp:posOffset>
                </wp:positionH>
                <wp:positionV relativeFrom="paragraph">
                  <wp:posOffset>54610</wp:posOffset>
                </wp:positionV>
                <wp:extent cx="539750" cy="359410"/>
                <wp:effectExtent l="0" t="0" r="0" b="0"/>
                <wp:wrapNone/>
                <wp:docPr id="1404547236" name="Picture 1"/>
                <wp:cNvGraphicFramePr/>
                <a:graphic xmlns:a="http://schemas.openxmlformats.org/drawingml/2006/main">
                  <a:graphicData uri="http://schemas.openxmlformats.org/drawingml/2006/picture">
                    <pic:pic xmlns:pic="http://schemas.openxmlformats.org/drawingml/2006/picture">
                      <pic:nvPicPr>
                        <pic:cNvPr id="2102913555" name=""/>
                        <pic:cNvPicPr/>
                      </pic:nvPicPr>
                      <pic:blipFill>
                        <a:blip r:embed="rId2"/>
                        <a:stretch>
                          <a:fillRect/>
                        </a:stretch>
                      </pic:blipFill>
                      <pic:spPr>
                        <a:xfrm>
                          <a:off x="0" y="0"/>
                          <a:ext cx="539750" cy="359410"/>
                        </a:xfrm>
                        <a:prstGeom prst="rect">
                          <a:avLst/>
                        </a:prstGeom>
                      </pic:spPr>
                    </pic:pic>
                  </a:graphicData>
                </a:graphic>
                <wp14:sizeRelH relativeFrom="page">
                  <wp14:pctWidth>0</wp14:pctWidth>
                </wp14:sizeRelH>
                <wp14:sizeRelV relativeFrom="page">
                  <wp14:pctHeight>0</wp14:pctHeight>
                </wp14:sizeRelV>
              </wp:anchor>
            </w:drawing>
          </w:r>
        </w:p>
      </w:tc>
    </w:tr>
  </w:tbl>
  <w:p w14:paraId="21317824" w14:textId="77777777" w:rsidR="00FA6861" w:rsidRPr="009E7DBF" w:rsidRDefault="00FA6861" w:rsidP="00183AAF">
    <w:pPr>
      <w:pBdr>
        <w:bottom w:val="single" w:sz="4" w:space="1" w:color="000000"/>
      </w:pBdr>
      <w:adjustRightInd w:val="0"/>
      <w:snapToGrid w:val="0"/>
      <w:spacing w:before="120"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65CEB"/>
    <w:multiLevelType w:val="hybridMultilevel"/>
    <w:tmpl w:val="877C3C0E"/>
    <w:lvl w:ilvl="0" w:tplc="5D32DCC6">
      <w:start w:val="1"/>
      <w:numFmt w:val="decimal"/>
      <w:lvlText w:val="%1."/>
      <w:lvlJc w:val="left"/>
      <w:pPr>
        <w:ind w:left="3510" w:hanging="360"/>
      </w:pPr>
      <w:rPr>
        <w:color w:val="000000" w:themeColor="text1"/>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AC1436"/>
    <w:multiLevelType w:val="multilevel"/>
    <w:tmpl w:val="0AB4DF28"/>
    <w:lvl w:ilvl="0">
      <w:start w:val="1"/>
      <w:numFmt w:val="decimal"/>
      <w:lvlText w:val="%1."/>
      <w:lvlJc w:val="left"/>
      <w:pPr>
        <w:tabs>
          <w:tab w:val="num" w:pos="2487"/>
        </w:tabs>
        <w:ind w:left="2487" w:hanging="360"/>
      </w:pPr>
    </w:lvl>
    <w:lvl w:ilvl="1" w:tentative="1">
      <w:start w:val="1"/>
      <w:numFmt w:val="decimal"/>
      <w:lvlText w:val="%2."/>
      <w:lvlJc w:val="left"/>
      <w:pPr>
        <w:tabs>
          <w:tab w:val="num" w:pos="3207"/>
        </w:tabs>
        <w:ind w:left="3207" w:hanging="360"/>
      </w:pPr>
    </w:lvl>
    <w:lvl w:ilvl="2" w:tentative="1">
      <w:start w:val="1"/>
      <w:numFmt w:val="decimal"/>
      <w:lvlText w:val="%3."/>
      <w:lvlJc w:val="left"/>
      <w:pPr>
        <w:tabs>
          <w:tab w:val="num" w:pos="3927"/>
        </w:tabs>
        <w:ind w:left="3927" w:hanging="360"/>
      </w:pPr>
    </w:lvl>
    <w:lvl w:ilvl="3" w:tentative="1">
      <w:start w:val="1"/>
      <w:numFmt w:val="decimal"/>
      <w:lvlText w:val="%4."/>
      <w:lvlJc w:val="left"/>
      <w:pPr>
        <w:tabs>
          <w:tab w:val="num" w:pos="4647"/>
        </w:tabs>
        <w:ind w:left="4647" w:hanging="360"/>
      </w:pPr>
    </w:lvl>
    <w:lvl w:ilvl="4" w:tentative="1">
      <w:start w:val="1"/>
      <w:numFmt w:val="decimal"/>
      <w:lvlText w:val="%5."/>
      <w:lvlJc w:val="left"/>
      <w:pPr>
        <w:tabs>
          <w:tab w:val="num" w:pos="5367"/>
        </w:tabs>
        <w:ind w:left="5367" w:hanging="360"/>
      </w:pPr>
    </w:lvl>
    <w:lvl w:ilvl="5" w:tentative="1">
      <w:start w:val="1"/>
      <w:numFmt w:val="decimal"/>
      <w:lvlText w:val="%6."/>
      <w:lvlJc w:val="left"/>
      <w:pPr>
        <w:tabs>
          <w:tab w:val="num" w:pos="6087"/>
        </w:tabs>
        <w:ind w:left="6087" w:hanging="360"/>
      </w:pPr>
    </w:lvl>
    <w:lvl w:ilvl="6" w:tentative="1">
      <w:start w:val="1"/>
      <w:numFmt w:val="decimal"/>
      <w:lvlText w:val="%7."/>
      <w:lvlJc w:val="left"/>
      <w:pPr>
        <w:tabs>
          <w:tab w:val="num" w:pos="6807"/>
        </w:tabs>
        <w:ind w:left="6807" w:hanging="360"/>
      </w:pPr>
    </w:lvl>
    <w:lvl w:ilvl="7" w:tentative="1">
      <w:start w:val="1"/>
      <w:numFmt w:val="decimal"/>
      <w:lvlText w:val="%8."/>
      <w:lvlJc w:val="left"/>
      <w:pPr>
        <w:tabs>
          <w:tab w:val="num" w:pos="7527"/>
        </w:tabs>
        <w:ind w:left="7527" w:hanging="360"/>
      </w:pPr>
    </w:lvl>
    <w:lvl w:ilvl="8" w:tentative="1">
      <w:start w:val="1"/>
      <w:numFmt w:val="decimal"/>
      <w:lvlText w:val="%9."/>
      <w:lvlJc w:val="left"/>
      <w:pPr>
        <w:tabs>
          <w:tab w:val="num" w:pos="8247"/>
        </w:tabs>
        <w:ind w:left="8247" w:hanging="360"/>
      </w:pPr>
    </w:lvl>
  </w:abstractNum>
  <w:abstractNum w:abstractNumId="2" w15:restartNumberingAfterBreak="0">
    <w:nsid w:val="0C821107"/>
    <w:multiLevelType w:val="hybridMultilevel"/>
    <w:tmpl w:val="877C3C0E"/>
    <w:lvl w:ilvl="0" w:tplc="FFFFFFFF">
      <w:start w:val="1"/>
      <w:numFmt w:val="decimal"/>
      <w:lvlText w:val="%1."/>
      <w:lvlJc w:val="left"/>
      <w:pPr>
        <w:ind w:left="7023" w:hanging="360"/>
      </w:pPr>
      <w:rPr>
        <w:color w:val="000000" w:themeColor="text1"/>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E5A3BF8"/>
    <w:multiLevelType w:val="multilevel"/>
    <w:tmpl w:val="A0822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813A29"/>
    <w:multiLevelType w:val="multilevel"/>
    <w:tmpl w:val="0706F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144C03"/>
    <w:multiLevelType w:val="hybridMultilevel"/>
    <w:tmpl w:val="25663A68"/>
    <w:lvl w:ilvl="0" w:tplc="0538B7A8">
      <w:start w:val="1"/>
      <w:numFmt w:val="decimal"/>
      <w:lvlText w:val="%1"/>
      <w:lvlJc w:val="left"/>
      <w:pPr>
        <w:ind w:left="2968" w:hanging="360"/>
      </w:pPr>
      <w:rPr>
        <w:rFonts w:hint="default"/>
        <w:color w:val="000000" w:themeColor="text1"/>
        <w:vertAlign w:val="superscript"/>
      </w:rPr>
    </w:lvl>
    <w:lvl w:ilvl="1" w:tplc="08090019" w:tentative="1">
      <w:start w:val="1"/>
      <w:numFmt w:val="lowerLetter"/>
      <w:lvlText w:val="%2."/>
      <w:lvlJc w:val="left"/>
      <w:pPr>
        <w:ind w:left="3688" w:hanging="360"/>
      </w:pPr>
    </w:lvl>
    <w:lvl w:ilvl="2" w:tplc="0809001B" w:tentative="1">
      <w:start w:val="1"/>
      <w:numFmt w:val="lowerRoman"/>
      <w:lvlText w:val="%3."/>
      <w:lvlJc w:val="right"/>
      <w:pPr>
        <w:ind w:left="4408" w:hanging="180"/>
      </w:pPr>
    </w:lvl>
    <w:lvl w:ilvl="3" w:tplc="0809000F" w:tentative="1">
      <w:start w:val="1"/>
      <w:numFmt w:val="decimal"/>
      <w:lvlText w:val="%4."/>
      <w:lvlJc w:val="left"/>
      <w:pPr>
        <w:ind w:left="5128" w:hanging="360"/>
      </w:pPr>
    </w:lvl>
    <w:lvl w:ilvl="4" w:tplc="08090019" w:tentative="1">
      <w:start w:val="1"/>
      <w:numFmt w:val="lowerLetter"/>
      <w:lvlText w:val="%5."/>
      <w:lvlJc w:val="left"/>
      <w:pPr>
        <w:ind w:left="5848" w:hanging="360"/>
      </w:pPr>
    </w:lvl>
    <w:lvl w:ilvl="5" w:tplc="0809001B" w:tentative="1">
      <w:start w:val="1"/>
      <w:numFmt w:val="lowerRoman"/>
      <w:lvlText w:val="%6."/>
      <w:lvlJc w:val="right"/>
      <w:pPr>
        <w:ind w:left="6568" w:hanging="180"/>
      </w:pPr>
    </w:lvl>
    <w:lvl w:ilvl="6" w:tplc="0809000F" w:tentative="1">
      <w:start w:val="1"/>
      <w:numFmt w:val="decimal"/>
      <w:lvlText w:val="%7."/>
      <w:lvlJc w:val="left"/>
      <w:pPr>
        <w:ind w:left="7288" w:hanging="360"/>
      </w:pPr>
    </w:lvl>
    <w:lvl w:ilvl="7" w:tplc="08090019" w:tentative="1">
      <w:start w:val="1"/>
      <w:numFmt w:val="lowerLetter"/>
      <w:lvlText w:val="%8."/>
      <w:lvlJc w:val="left"/>
      <w:pPr>
        <w:ind w:left="8008" w:hanging="360"/>
      </w:pPr>
    </w:lvl>
    <w:lvl w:ilvl="8" w:tplc="0809001B" w:tentative="1">
      <w:start w:val="1"/>
      <w:numFmt w:val="lowerRoman"/>
      <w:lvlText w:val="%9."/>
      <w:lvlJc w:val="right"/>
      <w:pPr>
        <w:ind w:left="8728" w:hanging="180"/>
      </w:pPr>
    </w:lvl>
  </w:abstractNum>
  <w:abstractNum w:abstractNumId="6" w15:restartNumberingAfterBreak="0">
    <w:nsid w:val="18B468F5"/>
    <w:multiLevelType w:val="hybridMultilevel"/>
    <w:tmpl w:val="BAB69230"/>
    <w:lvl w:ilvl="0" w:tplc="3E34B0E4">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436A34"/>
    <w:multiLevelType w:val="hybridMultilevel"/>
    <w:tmpl w:val="D314209E"/>
    <w:lvl w:ilvl="0" w:tplc="B56091CC">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9"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1"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3" w15:restartNumberingAfterBreak="0">
    <w:nsid w:val="48813844"/>
    <w:multiLevelType w:val="multilevel"/>
    <w:tmpl w:val="B046F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6"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520825"/>
    <w:multiLevelType w:val="hybridMultilevel"/>
    <w:tmpl w:val="2D8EF4C0"/>
    <w:lvl w:ilvl="0" w:tplc="08090001">
      <w:start w:val="1"/>
      <w:numFmt w:val="bullet"/>
      <w:lvlText w:val=""/>
      <w:lvlJc w:val="left"/>
      <w:pPr>
        <w:ind w:left="3700" w:hanging="360"/>
      </w:pPr>
      <w:rPr>
        <w:rFonts w:ascii="Symbol" w:hAnsi="Symbol" w:hint="default"/>
      </w:rPr>
    </w:lvl>
    <w:lvl w:ilvl="1" w:tplc="08090003" w:tentative="1">
      <w:start w:val="1"/>
      <w:numFmt w:val="bullet"/>
      <w:lvlText w:val="o"/>
      <w:lvlJc w:val="left"/>
      <w:pPr>
        <w:ind w:left="4420" w:hanging="360"/>
      </w:pPr>
      <w:rPr>
        <w:rFonts w:ascii="Courier New" w:hAnsi="Courier New" w:cs="Courier New" w:hint="default"/>
      </w:rPr>
    </w:lvl>
    <w:lvl w:ilvl="2" w:tplc="08090005" w:tentative="1">
      <w:start w:val="1"/>
      <w:numFmt w:val="bullet"/>
      <w:lvlText w:val=""/>
      <w:lvlJc w:val="left"/>
      <w:pPr>
        <w:ind w:left="5140" w:hanging="360"/>
      </w:pPr>
      <w:rPr>
        <w:rFonts w:ascii="Wingdings" w:hAnsi="Wingdings" w:hint="default"/>
      </w:rPr>
    </w:lvl>
    <w:lvl w:ilvl="3" w:tplc="08090001" w:tentative="1">
      <w:start w:val="1"/>
      <w:numFmt w:val="bullet"/>
      <w:lvlText w:val=""/>
      <w:lvlJc w:val="left"/>
      <w:pPr>
        <w:ind w:left="5860" w:hanging="360"/>
      </w:pPr>
      <w:rPr>
        <w:rFonts w:ascii="Symbol" w:hAnsi="Symbol" w:hint="default"/>
      </w:rPr>
    </w:lvl>
    <w:lvl w:ilvl="4" w:tplc="08090003" w:tentative="1">
      <w:start w:val="1"/>
      <w:numFmt w:val="bullet"/>
      <w:lvlText w:val="o"/>
      <w:lvlJc w:val="left"/>
      <w:pPr>
        <w:ind w:left="6580" w:hanging="360"/>
      </w:pPr>
      <w:rPr>
        <w:rFonts w:ascii="Courier New" w:hAnsi="Courier New" w:cs="Courier New" w:hint="default"/>
      </w:rPr>
    </w:lvl>
    <w:lvl w:ilvl="5" w:tplc="08090005" w:tentative="1">
      <w:start w:val="1"/>
      <w:numFmt w:val="bullet"/>
      <w:lvlText w:val=""/>
      <w:lvlJc w:val="left"/>
      <w:pPr>
        <w:ind w:left="7300" w:hanging="360"/>
      </w:pPr>
      <w:rPr>
        <w:rFonts w:ascii="Wingdings" w:hAnsi="Wingdings" w:hint="default"/>
      </w:rPr>
    </w:lvl>
    <w:lvl w:ilvl="6" w:tplc="08090001" w:tentative="1">
      <w:start w:val="1"/>
      <w:numFmt w:val="bullet"/>
      <w:lvlText w:val=""/>
      <w:lvlJc w:val="left"/>
      <w:pPr>
        <w:ind w:left="8020" w:hanging="360"/>
      </w:pPr>
      <w:rPr>
        <w:rFonts w:ascii="Symbol" w:hAnsi="Symbol" w:hint="default"/>
      </w:rPr>
    </w:lvl>
    <w:lvl w:ilvl="7" w:tplc="08090003" w:tentative="1">
      <w:start w:val="1"/>
      <w:numFmt w:val="bullet"/>
      <w:lvlText w:val="o"/>
      <w:lvlJc w:val="left"/>
      <w:pPr>
        <w:ind w:left="8740" w:hanging="360"/>
      </w:pPr>
      <w:rPr>
        <w:rFonts w:ascii="Courier New" w:hAnsi="Courier New" w:cs="Courier New" w:hint="default"/>
      </w:rPr>
    </w:lvl>
    <w:lvl w:ilvl="8" w:tplc="08090005" w:tentative="1">
      <w:start w:val="1"/>
      <w:numFmt w:val="bullet"/>
      <w:lvlText w:val=""/>
      <w:lvlJc w:val="left"/>
      <w:pPr>
        <w:ind w:left="9460" w:hanging="360"/>
      </w:pPr>
      <w:rPr>
        <w:rFonts w:ascii="Wingdings" w:hAnsi="Wingdings" w:hint="default"/>
      </w:rPr>
    </w:lvl>
  </w:abstractNum>
  <w:abstractNum w:abstractNumId="18" w15:restartNumberingAfterBreak="0">
    <w:nsid w:val="797F4BCF"/>
    <w:multiLevelType w:val="hybridMultilevel"/>
    <w:tmpl w:val="2B3E4D74"/>
    <w:lvl w:ilvl="0" w:tplc="D4B01648">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9" w15:restartNumberingAfterBreak="0">
    <w:nsid w:val="7E5E35AC"/>
    <w:multiLevelType w:val="hybridMultilevel"/>
    <w:tmpl w:val="CAFCBE8E"/>
    <w:lvl w:ilvl="0" w:tplc="A4B06AE2">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5567365">
    <w:abstractNumId w:val="10"/>
  </w:num>
  <w:num w:numId="2" w16cid:durableId="28604010">
    <w:abstractNumId w:val="12"/>
  </w:num>
  <w:num w:numId="3" w16cid:durableId="1503427616">
    <w:abstractNumId w:val="9"/>
  </w:num>
  <w:num w:numId="4" w16cid:durableId="1145658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58028208">
    <w:abstractNumId w:val="11"/>
  </w:num>
  <w:num w:numId="6" w16cid:durableId="2109616495">
    <w:abstractNumId w:val="15"/>
  </w:num>
  <w:num w:numId="7" w16cid:durableId="2092582088">
    <w:abstractNumId w:val="8"/>
  </w:num>
  <w:num w:numId="8" w16cid:durableId="693649069">
    <w:abstractNumId w:val="15"/>
  </w:num>
  <w:num w:numId="9" w16cid:durableId="1885829198">
    <w:abstractNumId w:val="8"/>
  </w:num>
  <w:num w:numId="10" w16cid:durableId="843517836">
    <w:abstractNumId w:val="15"/>
  </w:num>
  <w:num w:numId="11" w16cid:durableId="2038071124">
    <w:abstractNumId w:val="8"/>
  </w:num>
  <w:num w:numId="12" w16cid:durableId="2072843954">
    <w:abstractNumId w:val="16"/>
  </w:num>
  <w:num w:numId="13" w16cid:durableId="1425030251">
    <w:abstractNumId w:val="15"/>
  </w:num>
  <w:num w:numId="14" w16cid:durableId="526798446">
    <w:abstractNumId w:val="8"/>
  </w:num>
  <w:num w:numId="15" w16cid:durableId="1390154235">
    <w:abstractNumId w:val="6"/>
  </w:num>
  <w:num w:numId="16" w16cid:durableId="383481933">
    <w:abstractNumId w:val="14"/>
  </w:num>
  <w:num w:numId="17" w16cid:durableId="614948703">
    <w:abstractNumId w:val="6"/>
  </w:num>
  <w:num w:numId="18" w16cid:durableId="1386636012">
    <w:abstractNumId w:val="15"/>
  </w:num>
  <w:num w:numId="19" w16cid:durableId="671419058">
    <w:abstractNumId w:val="8"/>
  </w:num>
  <w:num w:numId="20" w16cid:durableId="641731949">
    <w:abstractNumId w:val="6"/>
  </w:num>
  <w:num w:numId="21" w16cid:durableId="485436203">
    <w:abstractNumId w:val="7"/>
  </w:num>
  <w:num w:numId="22" w16cid:durableId="1140613643">
    <w:abstractNumId w:val="18"/>
  </w:num>
  <w:num w:numId="23" w16cid:durableId="528301225">
    <w:abstractNumId w:val="19"/>
  </w:num>
  <w:num w:numId="24" w16cid:durableId="1317100944">
    <w:abstractNumId w:val="17"/>
  </w:num>
  <w:num w:numId="25" w16cid:durableId="1376655188">
    <w:abstractNumId w:val="1"/>
  </w:num>
  <w:num w:numId="26" w16cid:durableId="1496454775">
    <w:abstractNumId w:val="0"/>
  </w:num>
  <w:num w:numId="27" w16cid:durableId="941955038">
    <w:abstractNumId w:val="5"/>
  </w:num>
  <w:num w:numId="28" w16cid:durableId="979846686">
    <w:abstractNumId w:val="3"/>
  </w:num>
  <w:num w:numId="29" w16cid:durableId="1621112656">
    <w:abstractNumId w:val="4"/>
  </w:num>
  <w:num w:numId="30" w16cid:durableId="1879320417">
    <w:abstractNumId w:val="13"/>
  </w:num>
  <w:num w:numId="31" w16cid:durableId="16931906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AE3"/>
    <w:rsid w:val="000075B7"/>
    <w:rsid w:val="00007B8F"/>
    <w:rsid w:val="00010F28"/>
    <w:rsid w:val="00015650"/>
    <w:rsid w:val="000157CC"/>
    <w:rsid w:val="00015BFA"/>
    <w:rsid w:val="00017E9C"/>
    <w:rsid w:val="000252DD"/>
    <w:rsid w:val="0002547D"/>
    <w:rsid w:val="00031F45"/>
    <w:rsid w:val="000346B9"/>
    <w:rsid w:val="0003539E"/>
    <w:rsid w:val="00045D1D"/>
    <w:rsid w:val="0005588D"/>
    <w:rsid w:val="0005725A"/>
    <w:rsid w:val="0007525A"/>
    <w:rsid w:val="00084523"/>
    <w:rsid w:val="0008616F"/>
    <w:rsid w:val="0008691A"/>
    <w:rsid w:val="00091779"/>
    <w:rsid w:val="0009371A"/>
    <w:rsid w:val="000963ED"/>
    <w:rsid w:val="000A22B7"/>
    <w:rsid w:val="000A26FF"/>
    <w:rsid w:val="000A2E6D"/>
    <w:rsid w:val="000A6347"/>
    <w:rsid w:val="000B6F7E"/>
    <w:rsid w:val="000C2A24"/>
    <w:rsid w:val="000C4E0D"/>
    <w:rsid w:val="000D1316"/>
    <w:rsid w:val="000D3220"/>
    <w:rsid w:val="000D3B5B"/>
    <w:rsid w:val="000F360A"/>
    <w:rsid w:val="000F45E8"/>
    <w:rsid w:val="000F6D87"/>
    <w:rsid w:val="001008C7"/>
    <w:rsid w:val="00101E98"/>
    <w:rsid w:val="00103B0E"/>
    <w:rsid w:val="00105CC7"/>
    <w:rsid w:val="0010602C"/>
    <w:rsid w:val="001061FC"/>
    <w:rsid w:val="001066F8"/>
    <w:rsid w:val="0010747B"/>
    <w:rsid w:val="001143BB"/>
    <w:rsid w:val="001172EA"/>
    <w:rsid w:val="001206B0"/>
    <w:rsid w:val="0012334A"/>
    <w:rsid w:val="00131BFE"/>
    <w:rsid w:val="00132045"/>
    <w:rsid w:val="00132795"/>
    <w:rsid w:val="0014141B"/>
    <w:rsid w:val="001418C9"/>
    <w:rsid w:val="001420DF"/>
    <w:rsid w:val="00144245"/>
    <w:rsid w:val="00146ED5"/>
    <w:rsid w:val="00147942"/>
    <w:rsid w:val="0015761F"/>
    <w:rsid w:val="00157E7C"/>
    <w:rsid w:val="00160273"/>
    <w:rsid w:val="00166A45"/>
    <w:rsid w:val="0017515B"/>
    <w:rsid w:val="00177126"/>
    <w:rsid w:val="00177716"/>
    <w:rsid w:val="00177E8A"/>
    <w:rsid w:val="001809A8"/>
    <w:rsid w:val="001838B0"/>
    <w:rsid w:val="00183AAF"/>
    <w:rsid w:val="0018626E"/>
    <w:rsid w:val="0019098B"/>
    <w:rsid w:val="001A1F71"/>
    <w:rsid w:val="001A3529"/>
    <w:rsid w:val="001A4C82"/>
    <w:rsid w:val="001A774C"/>
    <w:rsid w:val="001B49D0"/>
    <w:rsid w:val="001B4AC4"/>
    <w:rsid w:val="001B6728"/>
    <w:rsid w:val="001B776C"/>
    <w:rsid w:val="001B7BA1"/>
    <w:rsid w:val="001B7C04"/>
    <w:rsid w:val="001C29C6"/>
    <w:rsid w:val="001C3599"/>
    <w:rsid w:val="001C5326"/>
    <w:rsid w:val="001D00F2"/>
    <w:rsid w:val="001D13B5"/>
    <w:rsid w:val="001D1D2E"/>
    <w:rsid w:val="001D66A8"/>
    <w:rsid w:val="001E2AEB"/>
    <w:rsid w:val="001E3CE4"/>
    <w:rsid w:val="001E7677"/>
    <w:rsid w:val="001F2428"/>
    <w:rsid w:val="001F60CB"/>
    <w:rsid w:val="001F69A6"/>
    <w:rsid w:val="0020022D"/>
    <w:rsid w:val="002041A0"/>
    <w:rsid w:val="0020622C"/>
    <w:rsid w:val="00210F5A"/>
    <w:rsid w:val="002121F8"/>
    <w:rsid w:val="0021246E"/>
    <w:rsid w:val="00212CC1"/>
    <w:rsid w:val="00213FE1"/>
    <w:rsid w:val="00217165"/>
    <w:rsid w:val="00221439"/>
    <w:rsid w:val="00222D82"/>
    <w:rsid w:val="00226D97"/>
    <w:rsid w:val="00230938"/>
    <w:rsid w:val="002317AD"/>
    <w:rsid w:val="00234EF2"/>
    <w:rsid w:val="00237590"/>
    <w:rsid w:val="0025716C"/>
    <w:rsid w:val="002606FC"/>
    <w:rsid w:val="002651AA"/>
    <w:rsid w:val="00265921"/>
    <w:rsid w:val="00267189"/>
    <w:rsid w:val="00272BB4"/>
    <w:rsid w:val="00274CDC"/>
    <w:rsid w:val="00276DCF"/>
    <w:rsid w:val="00276E3A"/>
    <w:rsid w:val="00277C90"/>
    <w:rsid w:val="00282A3D"/>
    <w:rsid w:val="0029416C"/>
    <w:rsid w:val="00295161"/>
    <w:rsid w:val="0029534A"/>
    <w:rsid w:val="002A4156"/>
    <w:rsid w:val="002A5E48"/>
    <w:rsid w:val="002A60E0"/>
    <w:rsid w:val="002A644A"/>
    <w:rsid w:val="002A7E0A"/>
    <w:rsid w:val="002B0B5C"/>
    <w:rsid w:val="002B6EA5"/>
    <w:rsid w:val="002C3D9F"/>
    <w:rsid w:val="002C662F"/>
    <w:rsid w:val="002C66A5"/>
    <w:rsid w:val="002D036E"/>
    <w:rsid w:val="002D2337"/>
    <w:rsid w:val="002D2A74"/>
    <w:rsid w:val="002D2B70"/>
    <w:rsid w:val="002D33C5"/>
    <w:rsid w:val="002E4834"/>
    <w:rsid w:val="002E67B2"/>
    <w:rsid w:val="002E7798"/>
    <w:rsid w:val="002E783B"/>
    <w:rsid w:val="002E7FFC"/>
    <w:rsid w:val="002F24D2"/>
    <w:rsid w:val="002F2E3C"/>
    <w:rsid w:val="00301122"/>
    <w:rsid w:val="0030257D"/>
    <w:rsid w:val="00310C53"/>
    <w:rsid w:val="003254CF"/>
    <w:rsid w:val="0032566F"/>
    <w:rsid w:val="00326141"/>
    <w:rsid w:val="00326F2B"/>
    <w:rsid w:val="00327EBB"/>
    <w:rsid w:val="00330550"/>
    <w:rsid w:val="00331F13"/>
    <w:rsid w:val="00333072"/>
    <w:rsid w:val="00334589"/>
    <w:rsid w:val="00334D37"/>
    <w:rsid w:val="00336963"/>
    <w:rsid w:val="00341D67"/>
    <w:rsid w:val="00342736"/>
    <w:rsid w:val="00343872"/>
    <w:rsid w:val="0034395A"/>
    <w:rsid w:val="00353417"/>
    <w:rsid w:val="00355EB1"/>
    <w:rsid w:val="0035680F"/>
    <w:rsid w:val="003571E0"/>
    <w:rsid w:val="00357931"/>
    <w:rsid w:val="0036172A"/>
    <w:rsid w:val="00370F2A"/>
    <w:rsid w:val="00372EF6"/>
    <w:rsid w:val="00381E42"/>
    <w:rsid w:val="00383AD7"/>
    <w:rsid w:val="003860F7"/>
    <w:rsid w:val="00387531"/>
    <w:rsid w:val="00391D47"/>
    <w:rsid w:val="00394831"/>
    <w:rsid w:val="003A03D4"/>
    <w:rsid w:val="003B0AF1"/>
    <w:rsid w:val="003B1A90"/>
    <w:rsid w:val="003B53FF"/>
    <w:rsid w:val="003C193D"/>
    <w:rsid w:val="003D066A"/>
    <w:rsid w:val="003D2077"/>
    <w:rsid w:val="003D2CFE"/>
    <w:rsid w:val="003D46B6"/>
    <w:rsid w:val="003D5EAA"/>
    <w:rsid w:val="003E311F"/>
    <w:rsid w:val="003E4452"/>
    <w:rsid w:val="003F3A62"/>
    <w:rsid w:val="003F4DA0"/>
    <w:rsid w:val="00401D30"/>
    <w:rsid w:val="0040458A"/>
    <w:rsid w:val="00420991"/>
    <w:rsid w:val="00422416"/>
    <w:rsid w:val="00426736"/>
    <w:rsid w:val="0042745C"/>
    <w:rsid w:val="0042788F"/>
    <w:rsid w:val="0043183B"/>
    <w:rsid w:val="00432185"/>
    <w:rsid w:val="004338AD"/>
    <w:rsid w:val="00434DE5"/>
    <w:rsid w:val="004363EC"/>
    <w:rsid w:val="00437288"/>
    <w:rsid w:val="00441DEC"/>
    <w:rsid w:val="004462DA"/>
    <w:rsid w:val="00454A4A"/>
    <w:rsid w:val="00454DDA"/>
    <w:rsid w:val="004612D1"/>
    <w:rsid w:val="00461643"/>
    <w:rsid w:val="00463452"/>
    <w:rsid w:val="004644E8"/>
    <w:rsid w:val="00466576"/>
    <w:rsid w:val="00470C26"/>
    <w:rsid w:val="004750A2"/>
    <w:rsid w:val="004761AA"/>
    <w:rsid w:val="00477257"/>
    <w:rsid w:val="0048252C"/>
    <w:rsid w:val="00482C81"/>
    <w:rsid w:val="004850D0"/>
    <w:rsid w:val="004855EE"/>
    <w:rsid w:val="00493D4D"/>
    <w:rsid w:val="00493DCC"/>
    <w:rsid w:val="004945A0"/>
    <w:rsid w:val="004A144E"/>
    <w:rsid w:val="004A4A3D"/>
    <w:rsid w:val="004B2EBA"/>
    <w:rsid w:val="004B6A18"/>
    <w:rsid w:val="004C02C3"/>
    <w:rsid w:val="004C076E"/>
    <w:rsid w:val="004C0F11"/>
    <w:rsid w:val="004C315E"/>
    <w:rsid w:val="004C7B4D"/>
    <w:rsid w:val="004D2177"/>
    <w:rsid w:val="004E324E"/>
    <w:rsid w:val="004E38DA"/>
    <w:rsid w:val="004E3E9B"/>
    <w:rsid w:val="004E3EE2"/>
    <w:rsid w:val="004E4638"/>
    <w:rsid w:val="004E744F"/>
    <w:rsid w:val="004F67A8"/>
    <w:rsid w:val="004F7CFD"/>
    <w:rsid w:val="00502948"/>
    <w:rsid w:val="00506B7F"/>
    <w:rsid w:val="00507625"/>
    <w:rsid w:val="00507734"/>
    <w:rsid w:val="0051144B"/>
    <w:rsid w:val="0051173A"/>
    <w:rsid w:val="00513320"/>
    <w:rsid w:val="00513FBD"/>
    <w:rsid w:val="00516A77"/>
    <w:rsid w:val="00524F65"/>
    <w:rsid w:val="00530677"/>
    <w:rsid w:val="005332DA"/>
    <w:rsid w:val="00534E89"/>
    <w:rsid w:val="005350FB"/>
    <w:rsid w:val="005365F8"/>
    <w:rsid w:val="00541E59"/>
    <w:rsid w:val="0054212D"/>
    <w:rsid w:val="005421EA"/>
    <w:rsid w:val="00545B32"/>
    <w:rsid w:val="00545F27"/>
    <w:rsid w:val="005537E9"/>
    <w:rsid w:val="0055660C"/>
    <w:rsid w:val="00561897"/>
    <w:rsid w:val="00564F3E"/>
    <w:rsid w:val="0056631D"/>
    <w:rsid w:val="005714B3"/>
    <w:rsid w:val="00572545"/>
    <w:rsid w:val="0057478D"/>
    <w:rsid w:val="00576FD6"/>
    <w:rsid w:val="0058084F"/>
    <w:rsid w:val="00585802"/>
    <w:rsid w:val="005865FF"/>
    <w:rsid w:val="00586A94"/>
    <w:rsid w:val="0059108B"/>
    <w:rsid w:val="005A19B7"/>
    <w:rsid w:val="005A4D8B"/>
    <w:rsid w:val="005A5FAD"/>
    <w:rsid w:val="005B4862"/>
    <w:rsid w:val="005B677B"/>
    <w:rsid w:val="005B795A"/>
    <w:rsid w:val="005C0E91"/>
    <w:rsid w:val="005C3875"/>
    <w:rsid w:val="005C4A1B"/>
    <w:rsid w:val="005D144C"/>
    <w:rsid w:val="005D24F2"/>
    <w:rsid w:val="005E0140"/>
    <w:rsid w:val="005E0931"/>
    <w:rsid w:val="005E1C78"/>
    <w:rsid w:val="005E2CD7"/>
    <w:rsid w:val="005E2D43"/>
    <w:rsid w:val="005E3BE9"/>
    <w:rsid w:val="005E42B8"/>
    <w:rsid w:val="005E7E08"/>
    <w:rsid w:val="005F13A5"/>
    <w:rsid w:val="005F144B"/>
    <w:rsid w:val="005F2128"/>
    <w:rsid w:val="005F7D8E"/>
    <w:rsid w:val="005F7DC2"/>
    <w:rsid w:val="0060115B"/>
    <w:rsid w:val="00602876"/>
    <w:rsid w:val="0060319B"/>
    <w:rsid w:val="00604195"/>
    <w:rsid w:val="00613A70"/>
    <w:rsid w:val="006173E7"/>
    <w:rsid w:val="00620E54"/>
    <w:rsid w:val="00622B93"/>
    <w:rsid w:val="006241AF"/>
    <w:rsid w:val="006253BB"/>
    <w:rsid w:val="00630AE4"/>
    <w:rsid w:val="00634F8A"/>
    <w:rsid w:val="00635327"/>
    <w:rsid w:val="00635FB8"/>
    <w:rsid w:val="006449F0"/>
    <w:rsid w:val="00644C54"/>
    <w:rsid w:val="00644E1C"/>
    <w:rsid w:val="00646804"/>
    <w:rsid w:val="00647BC3"/>
    <w:rsid w:val="00653745"/>
    <w:rsid w:val="0066349C"/>
    <w:rsid w:val="00663DBE"/>
    <w:rsid w:val="006668A0"/>
    <w:rsid w:val="006702E5"/>
    <w:rsid w:val="006710DE"/>
    <w:rsid w:val="006722E5"/>
    <w:rsid w:val="00672C55"/>
    <w:rsid w:val="00672FC2"/>
    <w:rsid w:val="00687C94"/>
    <w:rsid w:val="00692393"/>
    <w:rsid w:val="00696FE8"/>
    <w:rsid w:val="00697399"/>
    <w:rsid w:val="006A0072"/>
    <w:rsid w:val="006A3A9E"/>
    <w:rsid w:val="006A3F51"/>
    <w:rsid w:val="006A5E0B"/>
    <w:rsid w:val="006A6CEC"/>
    <w:rsid w:val="006A7B9D"/>
    <w:rsid w:val="006C006D"/>
    <w:rsid w:val="006C0DCA"/>
    <w:rsid w:val="006C574F"/>
    <w:rsid w:val="006C5D05"/>
    <w:rsid w:val="006C5F26"/>
    <w:rsid w:val="006C6312"/>
    <w:rsid w:val="006C672A"/>
    <w:rsid w:val="006C6BA2"/>
    <w:rsid w:val="006D053D"/>
    <w:rsid w:val="006D2B27"/>
    <w:rsid w:val="006D2E9F"/>
    <w:rsid w:val="006D4D05"/>
    <w:rsid w:val="006D4EB8"/>
    <w:rsid w:val="006D627F"/>
    <w:rsid w:val="006E378D"/>
    <w:rsid w:val="006E39B5"/>
    <w:rsid w:val="006E4946"/>
    <w:rsid w:val="006F3AB1"/>
    <w:rsid w:val="006F4579"/>
    <w:rsid w:val="006F5EBB"/>
    <w:rsid w:val="00702ACC"/>
    <w:rsid w:val="0070389B"/>
    <w:rsid w:val="00715ADB"/>
    <w:rsid w:val="00717805"/>
    <w:rsid w:val="00721166"/>
    <w:rsid w:val="00723CBC"/>
    <w:rsid w:val="00726EB1"/>
    <w:rsid w:val="00727027"/>
    <w:rsid w:val="007278EE"/>
    <w:rsid w:val="0073062E"/>
    <w:rsid w:val="00744DDF"/>
    <w:rsid w:val="007451D3"/>
    <w:rsid w:val="007508F7"/>
    <w:rsid w:val="007517FF"/>
    <w:rsid w:val="00753372"/>
    <w:rsid w:val="00753A71"/>
    <w:rsid w:val="00754C37"/>
    <w:rsid w:val="007555F2"/>
    <w:rsid w:val="00762893"/>
    <w:rsid w:val="007631DB"/>
    <w:rsid w:val="00767F1E"/>
    <w:rsid w:val="007701AC"/>
    <w:rsid w:val="007713EC"/>
    <w:rsid w:val="00772346"/>
    <w:rsid w:val="00773E68"/>
    <w:rsid w:val="00780109"/>
    <w:rsid w:val="007824CC"/>
    <w:rsid w:val="00782C2A"/>
    <w:rsid w:val="00783C5D"/>
    <w:rsid w:val="007907E9"/>
    <w:rsid w:val="00791C14"/>
    <w:rsid w:val="007A04E6"/>
    <w:rsid w:val="007A3246"/>
    <w:rsid w:val="007B0C0E"/>
    <w:rsid w:val="007B128A"/>
    <w:rsid w:val="007B18D7"/>
    <w:rsid w:val="007B21D2"/>
    <w:rsid w:val="007B5766"/>
    <w:rsid w:val="007B6A78"/>
    <w:rsid w:val="007B7554"/>
    <w:rsid w:val="007B76B3"/>
    <w:rsid w:val="007B7A8B"/>
    <w:rsid w:val="007C7841"/>
    <w:rsid w:val="007D108A"/>
    <w:rsid w:val="007D2F12"/>
    <w:rsid w:val="007D39F3"/>
    <w:rsid w:val="007D3C27"/>
    <w:rsid w:val="007D47E1"/>
    <w:rsid w:val="007D7388"/>
    <w:rsid w:val="007E2E5F"/>
    <w:rsid w:val="007E46E6"/>
    <w:rsid w:val="007F26F4"/>
    <w:rsid w:val="007F41AD"/>
    <w:rsid w:val="007F423B"/>
    <w:rsid w:val="007F4507"/>
    <w:rsid w:val="007F51AF"/>
    <w:rsid w:val="007F6D61"/>
    <w:rsid w:val="00803417"/>
    <w:rsid w:val="0080475A"/>
    <w:rsid w:val="008055CC"/>
    <w:rsid w:val="00812671"/>
    <w:rsid w:val="00815517"/>
    <w:rsid w:val="0081754C"/>
    <w:rsid w:val="008226CB"/>
    <w:rsid w:val="00825193"/>
    <w:rsid w:val="00826FE7"/>
    <w:rsid w:val="00830CCE"/>
    <w:rsid w:val="00831A78"/>
    <w:rsid w:val="008343AB"/>
    <w:rsid w:val="00834436"/>
    <w:rsid w:val="00834E56"/>
    <w:rsid w:val="00840370"/>
    <w:rsid w:val="00840606"/>
    <w:rsid w:val="00843727"/>
    <w:rsid w:val="00844E56"/>
    <w:rsid w:val="008454B5"/>
    <w:rsid w:val="00847FB9"/>
    <w:rsid w:val="00853370"/>
    <w:rsid w:val="00854523"/>
    <w:rsid w:val="00855346"/>
    <w:rsid w:val="00862689"/>
    <w:rsid w:val="008657E6"/>
    <w:rsid w:val="00865AC6"/>
    <w:rsid w:val="008729F0"/>
    <w:rsid w:val="0088342C"/>
    <w:rsid w:val="0088796F"/>
    <w:rsid w:val="0089016F"/>
    <w:rsid w:val="00890609"/>
    <w:rsid w:val="00891904"/>
    <w:rsid w:val="00894302"/>
    <w:rsid w:val="00895433"/>
    <w:rsid w:val="0089571A"/>
    <w:rsid w:val="00895895"/>
    <w:rsid w:val="00895AD4"/>
    <w:rsid w:val="00895E9B"/>
    <w:rsid w:val="008965CE"/>
    <w:rsid w:val="00896D67"/>
    <w:rsid w:val="008A26AE"/>
    <w:rsid w:val="008A58CA"/>
    <w:rsid w:val="008B0F02"/>
    <w:rsid w:val="008B754B"/>
    <w:rsid w:val="008C5AB8"/>
    <w:rsid w:val="008D277A"/>
    <w:rsid w:val="008E2626"/>
    <w:rsid w:val="008E4521"/>
    <w:rsid w:val="008E4AE3"/>
    <w:rsid w:val="008E5D61"/>
    <w:rsid w:val="008F54E3"/>
    <w:rsid w:val="008F7173"/>
    <w:rsid w:val="0090213D"/>
    <w:rsid w:val="00904381"/>
    <w:rsid w:val="009052FC"/>
    <w:rsid w:val="00926CDC"/>
    <w:rsid w:val="00932AAF"/>
    <w:rsid w:val="009349DC"/>
    <w:rsid w:val="00934FF2"/>
    <w:rsid w:val="00935C66"/>
    <w:rsid w:val="00937793"/>
    <w:rsid w:val="00941223"/>
    <w:rsid w:val="00945418"/>
    <w:rsid w:val="0094557E"/>
    <w:rsid w:val="00947D70"/>
    <w:rsid w:val="00950A96"/>
    <w:rsid w:val="00955FD0"/>
    <w:rsid w:val="009610A1"/>
    <w:rsid w:val="00961621"/>
    <w:rsid w:val="009618F8"/>
    <w:rsid w:val="00962632"/>
    <w:rsid w:val="0096340F"/>
    <w:rsid w:val="00967164"/>
    <w:rsid w:val="0097079B"/>
    <w:rsid w:val="009707F9"/>
    <w:rsid w:val="00973CE2"/>
    <w:rsid w:val="009754DF"/>
    <w:rsid w:val="0098020D"/>
    <w:rsid w:val="00980D24"/>
    <w:rsid w:val="00982766"/>
    <w:rsid w:val="0098368D"/>
    <w:rsid w:val="00986F84"/>
    <w:rsid w:val="00987F2D"/>
    <w:rsid w:val="00992ED1"/>
    <w:rsid w:val="0099321C"/>
    <w:rsid w:val="00993E45"/>
    <w:rsid w:val="009966F2"/>
    <w:rsid w:val="009A0597"/>
    <w:rsid w:val="009A445C"/>
    <w:rsid w:val="009A70D0"/>
    <w:rsid w:val="009A7690"/>
    <w:rsid w:val="009B0976"/>
    <w:rsid w:val="009B312F"/>
    <w:rsid w:val="009B44F3"/>
    <w:rsid w:val="009B74A4"/>
    <w:rsid w:val="009C261E"/>
    <w:rsid w:val="009C28BB"/>
    <w:rsid w:val="009C7C55"/>
    <w:rsid w:val="009D3ACF"/>
    <w:rsid w:val="009D60AC"/>
    <w:rsid w:val="009D7C91"/>
    <w:rsid w:val="009E0D0A"/>
    <w:rsid w:val="009E1707"/>
    <w:rsid w:val="009E1C08"/>
    <w:rsid w:val="009E4546"/>
    <w:rsid w:val="009E5A8A"/>
    <w:rsid w:val="009E5DC1"/>
    <w:rsid w:val="009E7DBF"/>
    <w:rsid w:val="009F0AAC"/>
    <w:rsid w:val="009F6DB2"/>
    <w:rsid w:val="009F70E6"/>
    <w:rsid w:val="009F7B36"/>
    <w:rsid w:val="00A001F2"/>
    <w:rsid w:val="00A00402"/>
    <w:rsid w:val="00A011BC"/>
    <w:rsid w:val="00A04130"/>
    <w:rsid w:val="00A05D40"/>
    <w:rsid w:val="00A05ED5"/>
    <w:rsid w:val="00A17F6A"/>
    <w:rsid w:val="00A22A15"/>
    <w:rsid w:val="00A22D8E"/>
    <w:rsid w:val="00A24699"/>
    <w:rsid w:val="00A27853"/>
    <w:rsid w:val="00A32020"/>
    <w:rsid w:val="00A33A11"/>
    <w:rsid w:val="00A34038"/>
    <w:rsid w:val="00A3467F"/>
    <w:rsid w:val="00A37D75"/>
    <w:rsid w:val="00A443D9"/>
    <w:rsid w:val="00A44C85"/>
    <w:rsid w:val="00A47AA8"/>
    <w:rsid w:val="00A52CCD"/>
    <w:rsid w:val="00A55DFB"/>
    <w:rsid w:val="00A57542"/>
    <w:rsid w:val="00A64F2D"/>
    <w:rsid w:val="00A676A0"/>
    <w:rsid w:val="00A71FB4"/>
    <w:rsid w:val="00A72D4D"/>
    <w:rsid w:val="00A74883"/>
    <w:rsid w:val="00A77E10"/>
    <w:rsid w:val="00A8433D"/>
    <w:rsid w:val="00A84FFE"/>
    <w:rsid w:val="00A85655"/>
    <w:rsid w:val="00A85B5F"/>
    <w:rsid w:val="00A85CBB"/>
    <w:rsid w:val="00A873FA"/>
    <w:rsid w:val="00A900CF"/>
    <w:rsid w:val="00A90743"/>
    <w:rsid w:val="00A90886"/>
    <w:rsid w:val="00A9390E"/>
    <w:rsid w:val="00A9758F"/>
    <w:rsid w:val="00A97FCD"/>
    <w:rsid w:val="00AA2BE5"/>
    <w:rsid w:val="00AA4E96"/>
    <w:rsid w:val="00AA68E5"/>
    <w:rsid w:val="00AB08DD"/>
    <w:rsid w:val="00AB25DA"/>
    <w:rsid w:val="00AC35A9"/>
    <w:rsid w:val="00AC595D"/>
    <w:rsid w:val="00AD19E5"/>
    <w:rsid w:val="00AD26D0"/>
    <w:rsid w:val="00AD49A3"/>
    <w:rsid w:val="00AD6CB0"/>
    <w:rsid w:val="00AD74D8"/>
    <w:rsid w:val="00AE033C"/>
    <w:rsid w:val="00AE09DF"/>
    <w:rsid w:val="00AE2093"/>
    <w:rsid w:val="00AF09A8"/>
    <w:rsid w:val="00AF1FC8"/>
    <w:rsid w:val="00AF2548"/>
    <w:rsid w:val="00B01433"/>
    <w:rsid w:val="00B05D67"/>
    <w:rsid w:val="00B05F9E"/>
    <w:rsid w:val="00B06280"/>
    <w:rsid w:val="00B118D6"/>
    <w:rsid w:val="00B127EC"/>
    <w:rsid w:val="00B155F3"/>
    <w:rsid w:val="00B2013D"/>
    <w:rsid w:val="00B22A2E"/>
    <w:rsid w:val="00B25270"/>
    <w:rsid w:val="00B25A63"/>
    <w:rsid w:val="00B42085"/>
    <w:rsid w:val="00B431EF"/>
    <w:rsid w:val="00B5005E"/>
    <w:rsid w:val="00B55159"/>
    <w:rsid w:val="00B569A6"/>
    <w:rsid w:val="00B57B8F"/>
    <w:rsid w:val="00B57DAE"/>
    <w:rsid w:val="00B6014C"/>
    <w:rsid w:val="00B632E9"/>
    <w:rsid w:val="00B64458"/>
    <w:rsid w:val="00B67111"/>
    <w:rsid w:val="00B70F48"/>
    <w:rsid w:val="00B76755"/>
    <w:rsid w:val="00B76B53"/>
    <w:rsid w:val="00B77DBF"/>
    <w:rsid w:val="00B80854"/>
    <w:rsid w:val="00B861BE"/>
    <w:rsid w:val="00B92231"/>
    <w:rsid w:val="00B926BC"/>
    <w:rsid w:val="00B964D1"/>
    <w:rsid w:val="00B967E7"/>
    <w:rsid w:val="00B97E6A"/>
    <w:rsid w:val="00BA022C"/>
    <w:rsid w:val="00BA09E3"/>
    <w:rsid w:val="00BA121F"/>
    <w:rsid w:val="00BA3B25"/>
    <w:rsid w:val="00BA6FF2"/>
    <w:rsid w:val="00BC0EC3"/>
    <w:rsid w:val="00BC1B34"/>
    <w:rsid w:val="00BC24D7"/>
    <w:rsid w:val="00BC3A80"/>
    <w:rsid w:val="00BC71E4"/>
    <w:rsid w:val="00BC7B73"/>
    <w:rsid w:val="00BD070C"/>
    <w:rsid w:val="00BD4F49"/>
    <w:rsid w:val="00BE1311"/>
    <w:rsid w:val="00BE2DB1"/>
    <w:rsid w:val="00BE5190"/>
    <w:rsid w:val="00BE6B29"/>
    <w:rsid w:val="00BE7801"/>
    <w:rsid w:val="00BF60B2"/>
    <w:rsid w:val="00BF76CF"/>
    <w:rsid w:val="00BF7C4E"/>
    <w:rsid w:val="00C04834"/>
    <w:rsid w:val="00C10B71"/>
    <w:rsid w:val="00C12CD3"/>
    <w:rsid w:val="00C17EB8"/>
    <w:rsid w:val="00C21345"/>
    <w:rsid w:val="00C225D1"/>
    <w:rsid w:val="00C239AD"/>
    <w:rsid w:val="00C23D2B"/>
    <w:rsid w:val="00C27A85"/>
    <w:rsid w:val="00C33D99"/>
    <w:rsid w:val="00C361C9"/>
    <w:rsid w:val="00C36DF9"/>
    <w:rsid w:val="00C400EC"/>
    <w:rsid w:val="00C41CBC"/>
    <w:rsid w:val="00C43499"/>
    <w:rsid w:val="00C44578"/>
    <w:rsid w:val="00C46906"/>
    <w:rsid w:val="00C506D4"/>
    <w:rsid w:val="00C53E5A"/>
    <w:rsid w:val="00C5613C"/>
    <w:rsid w:val="00C570D1"/>
    <w:rsid w:val="00C57849"/>
    <w:rsid w:val="00C60268"/>
    <w:rsid w:val="00C63AB1"/>
    <w:rsid w:val="00C66C75"/>
    <w:rsid w:val="00C716F7"/>
    <w:rsid w:val="00C746DA"/>
    <w:rsid w:val="00C77775"/>
    <w:rsid w:val="00C77D74"/>
    <w:rsid w:val="00C813AA"/>
    <w:rsid w:val="00C82E13"/>
    <w:rsid w:val="00C8524B"/>
    <w:rsid w:val="00C85C06"/>
    <w:rsid w:val="00C86830"/>
    <w:rsid w:val="00C94779"/>
    <w:rsid w:val="00C9712A"/>
    <w:rsid w:val="00C97380"/>
    <w:rsid w:val="00CA0A54"/>
    <w:rsid w:val="00CA1176"/>
    <w:rsid w:val="00CA2090"/>
    <w:rsid w:val="00CA7DF9"/>
    <w:rsid w:val="00CB1F40"/>
    <w:rsid w:val="00CB2010"/>
    <w:rsid w:val="00CC03FB"/>
    <w:rsid w:val="00CC17F1"/>
    <w:rsid w:val="00CC5E0C"/>
    <w:rsid w:val="00CC5F55"/>
    <w:rsid w:val="00CC7616"/>
    <w:rsid w:val="00CD2B43"/>
    <w:rsid w:val="00CD5EBE"/>
    <w:rsid w:val="00CD711F"/>
    <w:rsid w:val="00CE07A3"/>
    <w:rsid w:val="00CE1329"/>
    <w:rsid w:val="00CE29B1"/>
    <w:rsid w:val="00CF3E5E"/>
    <w:rsid w:val="00CF5B95"/>
    <w:rsid w:val="00CF5E54"/>
    <w:rsid w:val="00D00B6D"/>
    <w:rsid w:val="00D03839"/>
    <w:rsid w:val="00D055BA"/>
    <w:rsid w:val="00D05994"/>
    <w:rsid w:val="00D0688C"/>
    <w:rsid w:val="00D107E2"/>
    <w:rsid w:val="00D115D2"/>
    <w:rsid w:val="00D121FB"/>
    <w:rsid w:val="00D154A3"/>
    <w:rsid w:val="00D15FAC"/>
    <w:rsid w:val="00D21B44"/>
    <w:rsid w:val="00D26E33"/>
    <w:rsid w:val="00D30391"/>
    <w:rsid w:val="00D304FD"/>
    <w:rsid w:val="00D308B8"/>
    <w:rsid w:val="00D31C15"/>
    <w:rsid w:val="00D31CCB"/>
    <w:rsid w:val="00D323F3"/>
    <w:rsid w:val="00D32494"/>
    <w:rsid w:val="00D32C43"/>
    <w:rsid w:val="00D3347E"/>
    <w:rsid w:val="00D33B70"/>
    <w:rsid w:val="00D45437"/>
    <w:rsid w:val="00D46C21"/>
    <w:rsid w:val="00D52E91"/>
    <w:rsid w:val="00D61F5F"/>
    <w:rsid w:val="00D62222"/>
    <w:rsid w:val="00D62A24"/>
    <w:rsid w:val="00D62FB9"/>
    <w:rsid w:val="00D64524"/>
    <w:rsid w:val="00D653F9"/>
    <w:rsid w:val="00D702BA"/>
    <w:rsid w:val="00D72B9E"/>
    <w:rsid w:val="00D774A1"/>
    <w:rsid w:val="00D77B5F"/>
    <w:rsid w:val="00D8479D"/>
    <w:rsid w:val="00D85276"/>
    <w:rsid w:val="00D85F62"/>
    <w:rsid w:val="00D870BC"/>
    <w:rsid w:val="00D905C9"/>
    <w:rsid w:val="00D926F2"/>
    <w:rsid w:val="00D931AA"/>
    <w:rsid w:val="00D95B91"/>
    <w:rsid w:val="00DA4096"/>
    <w:rsid w:val="00DB3ADB"/>
    <w:rsid w:val="00DB5A3C"/>
    <w:rsid w:val="00DB6960"/>
    <w:rsid w:val="00DC2ACD"/>
    <w:rsid w:val="00DD10DA"/>
    <w:rsid w:val="00DD34CE"/>
    <w:rsid w:val="00DE076D"/>
    <w:rsid w:val="00DE1187"/>
    <w:rsid w:val="00DE2D43"/>
    <w:rsid w:val="00DE51D2"/>
    <w:rsid w:val="00DE67D3"/>
    <w:rsid w:val="00DE7B4C"/>
    <w:rsid w:val="00DF2D1A"/>
    <w:rsid w:val="00DF4872"/>
    <w:rsid w:val="00DF4D61"/>
    <w:rsid w:val="00E0517F"/>
    <w:rsid w:val="00E071CD"/>
    <w:rsid w:val="00E14897"/>
    <w:rsid w:val="00E16455"/>
    <w:rsid w:val="00E17B37"/>
    <w:rsid w:val="00E32E60"/>
    <w:rsid w:val="00E3457F"/>
    <w:rsid w:val="00E468FC"/>
    <w:rsid w:val="00E46BD9"/>
    <w:rsid w:val="00E5245A"/>
    <w:rsid w:val="00E53EAC"/>
    <w:rsid w:val="00E56F31"/>
    <w:rsid w:val="00E61F69"/>
    <w:rsid w:val="00E6444E"/>
    <w:rsid w:val="00E64BA0"/>
    <w:rsid w:val="00E653CB"/>
    <w:rsid w:val="00E7161F"/>
    <w:rsid w:val="00E71C4E"/>
    <w:rsid w:val="00E71EA8"/>
    <w:rsid w:val="00E7295F"/>
    <w:rsid w:val="00E746BA"/>
    <w:rsid w:val="00E76503"/>
    <w:rsid w:val="00E80E8D"/>
    <w:rsid w:val="00E82F24"/>
    <w:rsid w:val="00E84AE9"/>
    <w:rsid w:val="00E925AE"/>
    <w:rsid w:val="00E94CE6"/>
    <w:rsid w:val="00E960A3"/>
    <w:rsid w:val="00EA6A88"/>
    <w:rsid w:val="00EA760A"/>
    <w:rsid w:val="00EB0170"/>
    <w:rsid w:val="00EB1BF1"/>
    <w:rsid w:val="00EB363D"/>
    <w:rsid w:val="00EB463C"/>
    <w:rsid w:val="00EC1E80"/>
    <w:rsid w:val="00EC2940"/>
    <w:rsid w:val="00EC2F2F"/>
    <w:rsid w:val="00EC434A"/>
    <w:rsid w:val="00EC7025"/>
    <w:rsid w:val="00EE1028"/>
    <w:rsid w:val="00EE3B02"/>
    <w:rsid w:val="00EE78D7"/>
    <w:rsid w:val="00EE7965"/>
    <w:rsid w:val="00EF3DFF"/>
    <w:rsid w:val="00EF5D5A"/>
    <w:rsid w:val="00EF6E43"/>
    <w:rsid w:val="00EF7FBA"/>
    <w:rsid w:val="00F03B02"/>
    <w:rsid w:val="00F03F37"/>
    <w:rsid w:val="00F040BE"/>
    <w:rsid w:val="00F118F3"/>
    <w:rsid w:val="00F15E1D"/>
    <w:rsid w:val="00F20C0E"/>
    <w:rsid w:val="00F2618B"/>
    <w:rsid w:val="00F30CA8"/>
    <w:rsid w:val="00F33CBC"/>
    <w:rsid w:val="00F34FEE"/>
    <w:rsid w:val="00F43E66"/>
    <w:rsid w:val="00F44FF9"/>
    <w:rsid w:val="00F5572C"/>
    <w:rsid w:val="00F62235"/>
    <w:rsid w:val="00F64423"/>
    <w:rsid w:val="00F659CE"/>
    <w:rsid w:val="00F67228"/>
    <w:rsid w:val="00F7266F"/>
    <w:rsid w:val="00F7274E"/>
    <w:rsid w:val="00F728D3"/>
    <w:rsid w:val="00F767E4"/>
    <w:rsid w:val="00F77548"/>
    <w:rsid w:val="00F80ABE"/>
    <w:rsid w:val="00F83216"/>
    <w:rsid w:val="00F83DB2"/>
    <w:rsid w:val="00F846BA"/>
    <w:rsid w:val="00F86D8A"/>
    <w:rsid w:val="00F916E8"/>
    <w:rsid w:val="00F963E8"/>
    <w:rsid w:val="00F9669C"/>
    <w:rsid w:val="00F9793E"/>
    <w:rsid w:val="00FA24C3"/>
    <w:rsid w:val="00FA4DD0"/>
    <w:rsid w:val="00FA6861"/>
    <w:rsid w:val="00FA791A"/>
    <w:rsid w:val="00FB1EB5"/>
    <w:rsid w:val="00FB75F8"/>
    <w:rsid w:val="00FB799E"/>
    <w:rsid w:val="00FC074A"/>
    <w:rsid w:val="00FC211C"/>
    <w:rsid w:val="00FD19B8"/>
    <w:rsid w:val="00FD5BC3"/>
    <w:rsid w:val="00FF291F"/>
    <w:rsid w:val="00FF4F49"/>
    <w:rsid w:val="00FF630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82414F"/>
  <w15:chartTrackingRefBased/>
  <w15:docId w15:val="{04F0CCEC-5821-BE47-A562-66A35F56C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45C"/>
    <w:pPr>
      <w:spacing w:line="280" w:lineRule="atLeast"/>
      <w:jc w:val="both"/>
    </w:pPr>
    <w:rPr>
      <w:rFonts w:ascii="Palatino Linotype" w:hAnsi="Palatino Linotype"/>
      <w:color w:val="000000"/>
    </w:rPr>
  </w:style>
  <w:style w:type="paragraph" w:styleId="Heading1">
    <w:name w:val="heading 1"/>
    <w:basedOn w:val="Normal"/>
    <w:link w:val="Heading1Char"/>
    <w:uiPriority w:val="9"/>
    <w:qFormat/>
    <w:rsid w:val="00EC2940"/>
    <w:pPr>
      <w:spacing w:before="100" w:beforeAutospacing="1" w:after="100" w:afterAutospacing="1" w:line="240" w:lineRule="auto"/>
      <w:jc w:val="left"/>
      <w:outlineLvl w:val="0"/>
    </w:pPr>
    <w:rPr>
      <w:rFonts w:ascii="Times New Roman" w:eastAsia="Times New Roman" w:hAnsi="Times New Roman"/>
      <w:b/>
      <w:bCs/>
      <w:color w:val="auto"/>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9A445C"/>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A445C"/>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A445C"/>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A445C"/>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A445C"/>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A445C"/>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A445C"/>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A445C"/>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9A445C"/>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9A445C"/>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9A445C"/>
    <w:rPr>
      <w:rFonts w:ascii="Palatino Linotype" w:hAnsi="Palatino Linotype"/>
      <w:noProof/>
      <w:color w:val="000000"/>
      <w:szCs w:val="18"/>
    </w:rPr>
  </w:style>
  <w:style w:type="paragraph" w:styleId="Header">
    <w:name w:val="header"/>
    <w:basedOn w:val="Normal"/>
    <w:link w:val="HeaderChar"/>
    <w:uiPriority w:val="99"/>
    <w:rsid w:val="009A445C"/>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9A445C"/>
    <w:rPr>
      <w:rFonts w:ascii="Palatino Linotype" w:hAnsi="Palatino Linotype"/>
      <w:noProof/>
      <w:color w:val="000000"/>
      <w:szCs w:val="18"/>
    </w:rPr>
  </w:style>
  <w:style w:type="paragraph" w:customStyle="1" w:styleId="MDPI32textnoindent">
    <w:name w:val="MDPI_3.2_text_no_indent"/>
    <w:basedOn w:val="MDPI31text"/>
    <w:qFormat/>
    <w:rsid w:val="009A445C"/>
    <w:pPr>
      <w:ind w:firstLine="0"/>
    </w:pPr>
  </w:style>
  <w:style w:type="paragraph" w:customStyle="1" w:styleId="MDPI31text">
    <w:name w:val="MDPI_3.1_text"/>
    <w:qFormat/>
    <w:rsid w:val="0012334A"/>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A445C"/>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A445C"/>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A445C"/>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6C006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6C006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A445C"/>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A445C"/>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A445C"/>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A445C"/>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A445C"/>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A445C"/>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A445C"/>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A445C"/>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A445C"/>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8E5D61"/>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9A445C"/>
    <w:rPr>
      <w:rFonts w:cs="Tahoma"/>
      <w:szCs w:val="18"/>
    </w:rPr>
  </w:style>
  <w:style w:type="character" w:customStyle="1" w:styleId="BalloonTextChar">
    <w:name w:val="Balloon Text Char"/>
    <w:link w:val="BalloonText"/>
    <w:uiPriority w:val="99"/>
    <w:rsid w:val="009A445C"/>
    <w:rPr>
      <w:rFonts w:ascii="Palatino Linotype" w:hAnsi="Palatino Linotype" w:cs="Tahoma"/>
      <w:noProof/>
      <w:color w:val="000000"/>
      <w:szCs w:val="18"/>
    </w:rPr>
  </w:style>
  <w:style w:type="character" w:styleId="LineNumber">
    <w:name w:val="line number"/>
    <w:uiPriority w:val="99"/>
    <w:rsid w:val="00895895"/>
    <w:rPr>
      <w:rFonts w:ascii="Palatino Linotype" w:hAnsi="Palatino Linotype"/>
      <w:sz w:val="16"/>
    </w:rPr>
  </w:style>
  <w:style w:type="table" w:customStyle="1" w:styleId="MDPI41threelinetable">
    <w:name w:val="MDPI_4.1_three_line_table"/>
    <w:basedOn w:val="TableNormal"/>
    <w:uiPriority w:val="99"/>
    <w:rsid w:val="009A445C"/>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9A445C"/>
    <w:rPr>
      <w:color w:val="0000FF"/>
      <w:u w:val="single"/>
    </w:rPr>
  </w:style>
  <w:style w:type="character" w:styleId="UnresolvedMention">
    <w:name w:val="Unresolved Mention"/>
    <w:uiPriority w:val="99"/>
    <w:semiHidden/>
    <w:unhideWhenUsed/>
    <w:rsid w:val="007907E9"/>
    <w:rPr>
      <w:color w:val="605E5C"/>
      <w:shd w:val="clear" w:color="auto" w:fill="E1DFDD"/>
    </w:rPr>
  </w:style>
  <w:style w:type="table" w:styleId="PlainTable4">
    <w:name w:val="Plain Table 4"/>
    <w:basedOn w:val="Table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A445C"/>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A445C"/>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A445C"/>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A445C"/>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A445C"/>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A445C"/>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9B312F"/>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A445C"/>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A445C"/>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6C5F26"/>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Normal"/>
    <w:uiPriority w:val="99"/>
    <w:rsid w:val="009A445C"/>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A445C"/>
  </w:style>
  <w:style w:type="paragraph" w:styleId="Bibliography">
    <w:name w:val="Bibliography"/>
    <w:basedOn w:val="Normal"/>
    <w:next w:val="Normal"/>
    <w:uiPriority w:val="37"/>
    <w:semiHidden/>
    <w:unhideWhenUsed/>
    <w:rsid w:val="009A445C"/>
  </w:style>
  <w:style w:type="paragraph" w:styleId="BodyText">
    <w:name w:val="Body Text"/>
    <w:link w:val="BodyTextChar"/>
    <w:rsid w:val="009A445C"/>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9A445C"/>
    <w:rPr>
      <w:rFonts w:ascii="Palatino Linotype" w:hAnsi="Palatino Linotype"/>
      <w:color w:val="000000"/>
      <w:sz w:val="24"/>
      <w:lang w:eastAsia="de-DE"/>
    </w:rPr>
  </w:style>
  <w:style w:type="character" w:styleId="CommentReference">
    <w:name w:val="annotation reference"/>
    <w:rsid w:val="009A445C"/>
    <w:rPr>
      <w:sz w:val="21"/>
      <w:szCs w:val="21"/>
    </w:rPr>
  </w:style>
  <w:style w:type="paragraph" w:styleId="CommentText">
    <w:name w:val="annotation text"/>
    <w:basedOn w:val="Normal"/>
    <w:link w:val="CommentTextChar"/>
    <w:rsid w:val="009A445C"/>
  </w:style>
  <w:style w:type="character" w:customStyle="1" w:styleId="CommentTextChar">
    <w:name w:val="Comment Text Char"/>
    <w:link w:val="CommentText"/>
    <w:rsid w:val="009A445C"/>
    <w:rPr>
      <w:rFonts w:ascii="Palatino Linotype" w:hAnsi="Palatino Linotype"/>
      <w:noProof/>
      <w:color w:val="000000"/>
    </w:rPr>
  </w:style>
  <w:style w:type="paragraph" w:styleId="CommentSubject">
    <w:name w:val="annotation subject"/>
    <w:basedOn w:val="CommentText"/>
    <w:next w:val="CommentText"/>
    <w:link w:val="CommentSubjectChar"/>
    <w:rsid w:val="009A445C"/>
    <w:rPr>
      <w:b/>
      <w:bCs/>
    </w:rPr>
  </w:style>
  <w:style w:type="character" w:customStyle="1" w:styleId="CommentSubjectChar">
    <w:name w:val="Comment Subject Char"/>
    <w:link w:val="CommentSubject"/>
    <w:rsid w:val="009A445C"/>
    <w:rPr>
      <w:rFonts w:ascii="Palatino Linotype" w:hAnsi="Palatino Linotype"/>
      <w:b/>
      <w:bCs/>
      <w:noProof/>
      <w:color w:val="000000"/>
    </w:rPr>
  </w:style>
  <w:style w:type="character" w:styleId="EndnoteReference">
    <w:name w:val="endnote reference"/>
    <w:rsid w:val="009A445C"/>
    <w:rPr>
      <w:vertAlign w:val="superscript"/>
    </w:rPr>
  </w:style>
  <w:style w:type="paragraph" w:styleId="EndnoteText">
    <w:name w:val="endnote text"/>
    <w:basedOn w:val="Normal"/>
    <w:link w:val="EndnoteTextChar"/>
    <w:semiHidden/>
    <w:unhideWhenUsed/>
    <w:rsid w:val="009A445C"/>
    <w:pPr>
      <w:spacing w:line="240" w:lineRule="auto"/>
    </w:pPr>
  </w:style>
  <w:style w:type="character" w:customStyle="1" w:styleId="EndnoteTextChar">
    <w:name w:val="Endnote Text Char"/>
    <w:link w:val="EndnoteText"/>
    <w:semiHidden/>
    <w:rsid w:val="009A445C"/>
    <w:rPr>
      <w:rFonts w:ascii="Palatino Linotype" w:hAnsi="Palatino Linotype"/>
      <w:noProof/>
      <w:color w:val="000000"/>
    </w:rPr>
  </w:style>
  <w:style w:type="character" w:styleId="FollowedHyperlink">
    <w:name w:val="FollowedHyperlink"/>
    <w:rsid w:val="009A445C"/>
    <w:rPr>
      <w:color w:val="954F72"/>
      <w:u w:val="single"/>
    </w:rPr>
  </w:style>
  <w:style w:type="paragraph" w:styleId="FootnoteText">
    <w:name w:val="footnote text"/>
    <w:basedOn w:val="Normal"/>
    <w:link w:val="FootnoteTextChar"/>
    <w:semiHidden/>
    <w:unhideWhenUsed/>
    <w:rsid w:val="009A445C"/>
    <w:pPr>
      <w:spacing w:line="240" w:lineRule="auto"/>
    </w:pPr>
  </w:style>
  <w:style w:type="character" w:customStyle="1" w:styleId="FootnoteTextChar">
    <w:name w:val="Footnote Text Char"/>
    <w:link w:val="FootnoteText"/>
    <w:semiHidden/>
    <w:rsid w:val="009A445C"/>
    <w:rPr>
      <w:rFonts w:ascii="Palatino Linotype" w:hAnsi="Palatino Linotype"/>
      <w:noProof/>
      <w:color w:val="000000"/>
    </w:rPr>
  </w:style>
  <w:style w:type="paragraph" w:styleId="NormalWeb">
    <w:name w:val="Normal (Web)"/>
    <w:basedOn w:val="Normal"/>
    <w:uiPriority w:val="99"/>
    <w:rsid w:val="009A445C"/>
    <w:rPr>
      <w:szCs w:val="24"/>
    </w:rPr>
  </w:style>
  <w:style w:type="paragraph" w:customStyle="1" w:styleId="MsoFootnoteText0">
    <w:name w:val="MsoFootnoteText"/>
    <w:basedOn w:val="NormalWeb"/>
    <w:qFormat/>
    <w:rsid w:val="009A445C"/>
    <w:rPr>
      <w:rFonts w:ascii="Times New Roman" w:hAnsi="Times New Roman"/>
    </w:rPr>
  </w:style>
  <w:style w:type="character" w:styleId="PageNumber">
    <w:name w:val="page number"/>
    <w:rsid w:val="009A445C"/>
  </w:style>
  <w:style w:type="character" w:styleId="PlaceholderText">
    <w:name w:val="Placeholder Text"/>
    <w:uiPriority w:val="99"/>
    <w:semiHidden/>
    <w:rsid w:val="009A445C"/>
    <w:rPr>
      <w:color w:val="808080"/>
    </w:rPr>
  </w:style>
  <w:style w:type="paragraph" w:customStyle="1" w:styleId="MDPI71footnotes">
    <w:name w:val="MDPI_7.1_footnotes"/>
    <w:qFormat/>
    <w:rsid w:val="00BE2DB1"/>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Strong">
    <w:name w:val="Strong"/>
    <w:basedOn w:val="DefaultParagraphFont"/>
    <w:uiPriority w:val="22"/>
    <w:qFormat/>
    <w:rsid w:val="004F7CFD"/>
    <w:rPr>
      <w:b/>
      <w:bCs/>
    </w:rPr>
  </w:style>
  <w:style w:type="paragraph" w:customStyle="1" w:styleId="font-claude-response-body">
    <w:name w:val="font-claude-response-body"/>
    <w:basedOn w:val="Normal"/>
    <w:rsid w:val="008E4AE3"/>
    <w:pPr>
      <w:spacing w:before="100" w:beforeAutospacing="1" w:after="100" w:afterAutospacing="1" w:line="240" w:lineRule="auto"/>
      <w:jc w:val="left"/>
    </w:pPr>
    <w:rPr>
      <w:rFonts w:ascii="Times New Roman" w:eastAsia="Times New Roman" w:hAnsi="Times New Roman"/>
      <w:color w:val="auto"/>
      <w:sz w:val="24"/>
      <w:szCs w:val="24"/>
      <w:lang w:val="en-GB" w:eastAsia="en-GB"/>
    </w:rPr>
  </w:style>
  <w:style w:type="paragraph" w:customStyle="1" w:styleId="ds-markdown-paragraph">
    <w:name w:val="ds-markdown-paragraph"/>
    <w:basedOn w:val="Normal"/>
    <w:rsid w:val="008E4AE3"/>
    <w:pPr>
      <w:spacing w:before="100" w:beforeAutospacing="1" w:after="100" w:afterAutospacing="1" w:line="240" w:lineRule="auto"/>
      <w:jc w:val="left"/>
    </w:pPr>
    <w:rPr>
      <w:rFonts w:ascii="Times New Roman" w:eastAsia="Times New Roman" w:hAnsi="Times New Roman"/>
      <w:color w:val="auto"/>
      <w:sz w:val="24"/>
      <w:szCs w:val="24"/>
      <w:lang w:val="en-GB" w:eastAsia="en-GB"/>
    </w:rPr>
  </w:style>
  <w:style w:type="paragraph" w:styleId="ListParagraph">
    <w:name w:val="List Paragraph"/>
    <w:basedOn w:val="Normal"/>
    <w:uiPriority w:val="34"/>
    <w:qFormat/>
    <w:rsid w:val="008E4AE3"/>
    <w:pPr>
      <w:spacing w:after="200" w:line="276" w:lineRule="auto"/>
      <w:ind w:left="720"/>
      <w:contextualSpacing/>
    </w:pPr>
    <w:rPr>
      <w:rFonts w:asciiTheme="minorHAnsi" w:eastAsiaTheme="minorEastAsia" w:hAnsiTheme="minorHAnsi" w:cstheme="minorBidi"/>
      <w:color w:val="auto"/>
    </w:rPr>
  </w:style>
  <w:style w:type="table" w:styleId="GridTable4-Accent1">
    <w:name w:val="Grid Table 4 Accent 1"/>
    <w:basedOn w:val="TableNormal"/>
    <w:uiPriority w:val="49"/>
    <w:rsid w:val="00B70F48"/>
    <w:pPr>
      <w:jc w:val="both"/>
    </w:pPr>
    <w:rPr>
      <w:rFonts w:asciiTheme="minorHAnsi" w:eastAsiaTheme="minorEastAsia" w:hAnsiTheme="minorHAnsi" w:cstheme="minorBidi"/>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B70F48"/>
    <w:pPr>
      <w:spacing w:after="200" w:line="276" w:lineRule="auto"/>
      <w:jc w:val="both"/>
    </w:pPr>
    <w:rPr>
      <w:rFonts w:asciiTheme="minorHAnsi" w:eastAsiaTheme="minorEastAsia" w:hAnsiTheme="minorHAnsi" w:cstheme="minorBid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5">
    <w:name w:val="Grid Table 5 Dark Accent 5"/>
    <w:basedOn w:val="TableNormal"/>
    <w:uiPriority w:val="50"/>
    <w:rsid w:val="00B70F4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Revision">
    <w:name w:val="Revision"/>
    <w:hidden/>
    <w:uiPriority w:val="99"/>
    <w:semiHidden/>
    <w:rsid w:val="009C28BB"/>
    <w:rPr>
      <w:rFonts w:ascii="Palatino Linotype" w:hAnsi="Palatino Linotype"/>
      <w:color w:val="000000"/>
    </w:rPr>
  </w:style>
  <w:style w:type="character" w:styleId="Emphasis">
    <w:name w:val="Emphasis"/>
    <w:uiPriority w:val="20"/>
    <w:qFormat/>
    <w:rsid w:val="009C28BB"/>
    <w:rPr>
      <w:b/>
      <w:i/>
      <w:spacing w:val="10"/>
    </w:rPr>
  </w:style>
  <w:style w:type="character" w:styleId="HTMLCode">
    <w:name w:val="HTML Code"/>
    <w:basedOn w:val="DefaultParagraphFont"/>
    <w:uiPriority w:val="99"/>
    <w:semiHidden/>
    <w:unhideWhenUsed/>
    <w:rsid w:val="007B18D7"/>
    <w:rPr>
      <w:rFonts w:ascii="Courier New" w:eastAsia="Times New Roman" w:hAnsi="Courier New" w:cs="Courier New"/>
      <w:sz w:val="20"/>
      <w:szCs w:val="20"/>
    </w:rPr>
  </w:style>
  <w:style w:type="character" w:customStyle="1" w:styleId="anchor-text">
    <w:name w:val="anchor-text"/>
    <w:basedOn w:val="DefaultParagraphFont"/>
    <w:rsid w:val="0088342C"/>
  </w:style>
  <w:style w:type="paragraph" w:styleId="z-TopofForm">
    <w:name w:val="HTML Top of Form"/>
    <w:basedOn w:val="Normal"/>
    <w:next w:val="Normal"/>
    <w:link w:val="z-TopofFormChar"/>
    <w:hidden/>
    <w:uiPriority w:val="99"/>
    <w:semiHidden/>
    <w:unhideWhenUsed/>
    <w:rsid w:val="00672C55"/>
    <w:pPr>
      <w:pBdr>
        <w:bottom w:val="single" w:sz="6" w:space="1" w:color="auto"/>
      </w:pBdr>
      <w:spacing w:line="240" w:lineRule="auto"/>
      <w:jc w:val="center"/>
    </w:pPr>
    <w:rPr>
      <w:rFonts w:ascii="Arial" w:eastAsia="Times New Roman" w:hAnsi="Arial" w:cs="Arial"/>
      <w:vanish/>
      <w:color w:val="auto"/>
      <w:sz w:val="16"/>
      <w:szCs w:val="16"/>
      <w:lang w:val="en-GB" w:eastAsia="en-GB"/>
    </w:rPr>
  </w:style>
  <w:style w:type="character" w:customStyle="1" w:styleId="z-TopofFormChar">
    <w:name w:val="z-Top of Form Char"/>
    <w:basedOn w:val="DefaultParagraphFont"/>
    <w:link w:val="z-TopofForm"/>
    <w:uiPriority w:val="99"/>
    <w:semiHidden/>
    <w:rsid w:val="00672C55"/>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672C55"/>
    <w:pPr>
      <w:pBdr>
        <w:top w:val="single" w:sz="6" w:space="1" w:color="auto"/>
      </w:pBdr>
      <w:spacing w:line="240" w:lineRule="auto"/>
      <w:jc w:val="center"/>
    </w:pPr>
    <w:rPr>
      <w:rFonts w:ascii="Arial" w:eastAsia="Times New Roman" w:hAnsi="Arial" w:cs="Arial"/>
      <w:vanish/>
      <w:color w:val="auto"/>
      <w:sz w:val="16"/>
      <w:szCs w:val="16"/>
      <w:lang w:val="en-GB" w:eastAsia="en-GB"/>
    </w:rPr>
  </w:style>
  <w:style w:type="character" w:customStyle="1" w:styleId="z-BottomofFormChar">
    <w:name w:val="z-Bottom of Form Char"/>
    <w:basedOn w:val="DefaultParagraphFont"/>
    <w:link w:val="z-BottomofForm"/>
    <w:uiPriority w:val="99"/>
    <w:semiHidden/>
    <w:rsid w:val="00672C55"/>
    <w:rPr>
      <w:rFonts w:ascii="Arial" w:eastAsia="Times New Roman" w:hAnsi="Arial" w:cs="Arial"/>
      <w:vanish/>
      <w:sz w:val="16"/>
      <w:szCs w:val="16"/>
      <w:lang w:val="en-GB" w:eastAsia="en-GB"/>
    </w:rPr>
  </w:style>
  <w:style w:type="paragraph" w:customStyle="1" w:styleId="is-empty">
    <w:name w:val="is-empty"/>
    <w:basedOn w:val="Normal"/>
    <w:rsid w:val="00D72B9E"/>
    <w:pPr>
      <w:spacing w:before="100" w:beforeAutospacing="1" w:after="100" w:afterAutospacing="1" w:line="240" w:lineRule="auto"/>
      <w:jc w:val="left"/>
    </w:pPr>
    <w:rPr>
      <w:rFonts w:ascii="Times New Roman" w:eastAsia="Times New Roman" w:hAnsi="Times New Roman"/>
      <w:color w:val="auto"/>
      <w:sz w:val="24"/>
      <w:szCs w:val="24"/>
      <w:lang w:val="en-GB" w:eastAsia="en-GB"/>
    </w:rPr>
  </w:style>
  <w:style w:type="character" w:customStyle="1" w:styleId="ml-1">
    <w:name w:val="ml-1"/>
    <w:basedOn w:val="DefaultParagraphFont"/>
    <w:rsid w:val="00D72B9E"/>
  </w:style>
  <w:style w:type="paragraph" w:customStyle="1" w:styleId="small">
    <w:name w:val="small"/>
    <w:basedOn w:val="Normal"/>
    <w:rsid w:val="009966F2"/>
    <w:pPr>
      <w:spacing w:before="100" w:beforeAutospacing="1" w:after="100" w:afterAutospacing="1" w:line="240" w:lineRule="auto"/>
      <w:jc w:val="left"/>
    </w:pPr>
    <w:rPr>
      <w:rFonts w:ascii="Times New Roman" w:eastAsia="Times New Roman" w:hAnsi="Times New Roman"/>
      <w:color w:val="auto"/>
      <w:sz w:val="24"/>
      <w:szCs w:val="24"/>
      <w:lang w:val="en-GB" w:eastAsia="en-GB"/>
    </w:rPr>
  </w:style>
  <w:style w:type="character" w:customStyle="1" w:styleId="inline-flex">
    <w:name w:val="inline-flex"/>
    <w:basedOn w:val="DefaultParagraphFont"/>
    <w:rsid w:val="00FD19B8"/>
  </w:style>
  <w:style w:type="character" w:customStyle="1" w:styleId="text-nowrap">
    <w:name w:val="text-nowrap"/>
    <w:basedOn w:val="DefaultParagraphFont"/>
    <w:rsid w:val="00FD19B8"/>
  </w:style>
  <w:style w:type="character" w:customStyle="1" w:styleId="Heading1Char">
    <w:name w:val="Heading 1 Char"/>
    <w:basedOn w:val="DefaultParagraphFont"/>
    <w:link w:val="Heading1"/>
    <w:uiPriority w:val="9"/>
    <w:rsid w:val="00EC2940"/>
    <w:rPr>
      <w:rFonts w:ascii="Times New Roman" w:eastAsia="Times New Roman" w:hAnsi="Times New Roman"/>
      <w:b/>
      <w:bCs/>
      <w:kern w:val="36"/>
      <w:sz w:val="48"/>
      <w:szCs w:val="48"/>
      <w:lang w:val="en-GB" w:eastAsia="en-GB"/>
    </w:rPr>
  </w:style>
  <w:style w:type="character" w:customStyle="1" w:styleId="title-text">
    <w:name w:val="title-text"/>
    <w:basedOn w:val="DefaultParagraphFont"/>
    <w:rsid w:val="00EC2940"/>
  </w:style>
  <w:style w:type="paragraph" w:customStyle="1" w:styleId="p1">
    <w:name w:val="p1"/>
    <w:basedOn w:val="Normal"/>
    <w:rsid w:val="00E653CB"/>
    <w:pPr>
      <w:spacing w:line="240" w:lineRule="auto"/>
      <w:jc w:val="left"/>
    </w:pPr>
    <w:rPr>
      <w:rFonts w:ascii="Helvetica Neue" w:eastAsia="Times New Roman" w:hAnsi="Helvetica Neue"/>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730868">
      <w:bodyDiv w:val="1"/>
      <w:marLeft w:val="0"/>
      <w:marRight w:val="0"/>
      <w:marTop w:val="0"/>
      <w:marBottom w:val="0"/>
      <w:divBdr>
        <w:top w:val="none" w:sz="0" w:space="0" w:color="auto"/>
        <w:left w:val="none" w:sz="0" w:space="0" w:color="auto"/>
        <w:bottom w:val="none" w:sz="0" w:space="0" w:color="auto"/>
        <w:right w:val="none" w:sz="0" w:space="0" w:color="auto"/>
      </w:divBdr>
    </w:div>
    <w:div w:id="159396756">
      <w:bodyDiv w:val="1"/>
      <w:marLeft w:val="0"/>
      <w:marRight w:val="0"/>
      <w:marTop w:val="0"/>
      <w:marBottom w:val="0"/>
      <w:divBdr>
        <w:top w:val="none" w:sz="0" w:space="0" w:color="auto"/>
        <w:left w:val="none" w:sz="0" w:space="0" w:color="auto"/>
        <w:bottom w:val="none" w:sz="0" w:space="0" w:color="auto"/>
        <w:right w:val="none" w:sz="0" w:space="0" w:color="auto"/>
      </w:divBdr>
    </w:div>
    <w:div w:id="422840047">
      <w:bodyDiv w:val="1"/>
      <w:marLeft w:val="0"/>
      <w:marRight w:val="0"/>
      <w:marTop w:val="0"/>
      <w:marBottom w:val="0"/>
      <w:divBdr>
        <w:top w:val="none" w:sz="0" w:space="0" w:color="auto"/>
        <w:left w:val="none" w:sz="0" w:space="0" w:color="auto"/>
        <w:bottom w:val="none" w:sz="0" w:space="0" w:color="auto"/>
        <w:right w:val="none" w:sz="0" w:space="0" w:color="auto"/>
      </w:divBdr>
    </w:div>
    <w:div w:id="696588040">
      <w:bodyDiv w:val="1"/>
      <w:marLeft w:val="0"/>
      <w:marRight w:val="0"/>
      <w:marTop w:val="0"/>
      <w:marBottom w:val="0"/>
      <w:divBdr>
        <w:top w:val="none" w:sz="0" w:space="0" w:color="auto"/>
        <w:left w:val="none" w:sz="0" w:space="0" w:color="auto"/>
        <w:bottom w:val="none" w:sz="0" w:space="0" w:color="auto"/>
        <w:right w:val="none" w:sz="0" w:space="0" w:color="auto"/>
      </w:divBdr>
    </w:div>
    <w:div w:id="772898122">
      <w:bodyDiv w:val="1"/>
      <w:marLeft w:val="0"/>
      <w:marRight w:val="0"/>
      <w:marTop w:val="0"/>
      <w:marBottom w:val="0"/>
      <w:divBdr>
        <w:top w:val="none" w:sz="0" w:space="0" w:color="auto"/>
        <w:left w:val="none" w:sz="0" w:space="0" w:color="auto"/>
        <w:bottom w:val="none" w:sz="0" w:space="0" w:color="auto"/>
        <w:right w:val="none" w:sz="0" w:space="0" w:color="auto"/>
      </w:divBdr>
    </w:div>
    <w:div w:id="831725448">
      <w:bodyDiv w:val="1"/>
      <w:marLeft w:val="0"/>
      <w:marRight w:val="0"/>
      <w:marTop w:val="0"/>
      <w:marBottom w:val="0"/>
      <w:divBdr>
        <w:top w:val="none" w:sz="0" w:space="0" w:color="auto"/>
        <w:left w:val="none" w:sz="0" w:space="0" w:color="auto"/>
        <w:bottom w:val="none" w:sz="0" w:space="0" w:color="auto"/>
        <w:right w:val="none" w:sz="0" w:space="0" w:color="auto"/>
      </w:divBdr>
    </w:div>
    <w:div w:id="901450143">
      <w:bodyDiv w:val="1"/>
      <w:marLeft w:val="0"/>
      <w:marRight w:val="0"/>
      <w:marTop w:val="0"/>
      <w:marBottom w:val="0"/>
      <w:divBdr>
        <w:top w:val="none" w:sz="0" w:space="0" w:color="auto"/>
        <w:left w:val="none" w:sz="0" w:space="0" w:color="auto"/>
        <w:bottom w:val="none" w:sz="0" w:space="0" w:color="auto"/>
        <w:right w:val="none" w:sz="0" w:space="0" w:color="auto"/>
      </w:divBdr>
    </w:div>
    <w:div w:id="1017778766">
      <w:bodyDiv w:val="1"/>
      <w:marLeft w:val="0"/>
      <w:marRight w:val="0"/>
      <w:marTop w:val="0"/>
      <w:marBottom w:val="0"/>
      <w:divBdr>
        <w:top w:val="none" w:sz="0" w:space="0" w:color="auto"/>
        <w:left w:val="none" w:sz="0" w:space="0" w:color="auto"/>
        <w:bottom w:val="none" w:sz="0" w:space="0" w:color="auto"/>
        <w:right w:val="none" w:sz="0" w:space="0" w:color="auto"/>
      </w:divBdr>
    </w:div>
    <w:div w:id="1114405980">
      <w:bodyDiv w:val="1"/>
      <w:marLeft w:val="0"/>
      <w:marRight w:val="0"/>
      <w:marTop w:val="0"/>
      <w:marBottom w:val="0"/>
      <w:divBdr>
        <w:top w:val="none" w:sz="0" w:space="0" w:color="auto"/>
        <w:left w:val="none" w:sz="0" w:space="0" w:color="auto"/>
        <w:bottom w:val="none" w:sz="0" w:space="0" w:color="auto"/>
        <w:right w:val="none" w:sz="0" w:space="0" w:color="auto"/>
      </w:divBdr>
    </w:div>
    <w:div w:id="1286040524">
      <w:bodyDiv w:val="1"/>
      <w:marLeft w:val="0"/>
      <w:marRight w:val="0"/>
      <w:marTop w:val="0"/>
      <w:marBottom w:val="0"/>
      <w:divBdr>
        <w:top w:val="none" w:sz="0" w:space="0" w:color="auto"/>
        <w:left w:val="none" w:sz="0" w:space="0" w:color="auto"/>
        <w:bottom w:val="none" w:sz="0" w:space="0" w:color="auto"/>
        <w:right w:val="none" w:sz="0" w:space="0" w:color="auto"/>
      </w:divBdr>
    </w:div>
    <w:div w:id="1394741069">
      <w:bodyDiv w:val="1"/>
      <w:marLeft w:val="0"/>
      <w:marRight w:val="0"/>
      <w:marTop w:val="0"/>
      <w:marBottom w:val="0"/>
      <w:divBdr>
        <w:top w:val="none" w:sz="0" w:space="0" w:color="auto"/>
        <w:left w:val="none" w:sz="0" w:space="0" w:color="auto"/>
        <w:bottom w:val="none" w:sz="0" w:space="0" w:color="auto"/>
        <w:right w:val="none" w:sz="0" w:space="0" w:color="auto"/>
      </w:divBdr>
    </w:div>
    <w:div w:id="1397244861">
      <w:bodyDiv w:val="1"/>
      <w:marLeft w:val="0"/>
      <w:marRight w:val="0"/>
      <w:marTop w:val="0"/>
      <w:marBottom w:val="0"/>
      <w:divBdr>
        <w:top w:val="none" w:sz="0" w:space="0" w:color="auto"/>
        <w:left w:val="none" w:sz="0" w:space="0" w:color="auto"/>
        <w:bottom w:val="none" w:sz="0" w:space="0" w:color="auto"/>
        <w:right w:val="none" w:sz="0" w:space="0" w:color="auto"/>
      </w:divBdr>
    </w:div>
    <w:div w:id="1451902077">
      <w:bodyDiv w:val="1"/>
      <w:marLeft w:val="0"/>
      <w:marRight w:val="0"/>
      <w:marTop w:val="0"/>
      <w:marBottom w:val="0"/>
      <w:divBdr>
        <w:top w:val="none" w:sz="0" w:space="0" w:color="auto"/>
        <w:left w:val="none" w:sz="0" w:space="0" w:color="auto"/>
        <w:bottom w:val="none" w:sz="0" w:space="0" w:color="auto"/>
        <w:right w:val="none" w:sz="0" w:space="0" w:color="auto"/>
      </w:divBdr>
    </w:div>
    <w:div w:id="1540971492">
      <w:bodyDiv w:val="1"/>
      <w:marLeft w:val="0"/>
      <w:marRight w:val="0"/>
      <w:marTop w:val="0"/>
      <w:marBottom w:val="0"/>
      <w:divBdr>
        <w:top w:val="none" w:sz="0" w:space="0" w:color="auto"/>
        <w:left w:val="none" w:sz="0" w:space="0" w:color="auto"/>
        <w:bottom w:val="none" w:sz="0" w:space="0" w:color="auto"/>
        <w:right w:val="none" w:sz="0" w:space="0" w:color="auto"/>
      </w:divBdr>
    </w:div>
    <w:div w:id="1601372529">
      <w:bodyDiv w:val="1"/>
      <w:marLeft w:val="0"/>
      <w:marRight w:val="0"/>
      <w:marTop w:val="0"/>
      <w:marBottom w:val="0"/>
      <w:divBdr>
        <w:top w:val="none" w:sz="0" w:space="0" w:color="auto"/>
        <w:left w:val="none" w:sz="0" w:space="0" w:color="auto"/>
        <w:bottom w:val="none" w:sz="0" w:space="0" w:color="auto"/>
        <w:right w:val="none" w:sz="0" w:space="0" w:color="auto"/>
      </w:divBdr>
    </w:div>
    <w:div w:id="1635404727">
      <w:bodyDiv w:val="1"/>
      <w:marLeft w:val="0"/>
      <w:marRight w:val="0"/>
      <w:marTop w:val="0"/>
      <w:marBottom w:val="0"/>
      <w:divBdr>
        <w:top w:val="none" w:sz="0" w:space="0" w:color="auto"/>
        <w:left w:val="none" w:sz="0" w:space="0" w:color="auto"/>
        <w:bottom w:val="none" w:sz="0" w:space="0" w:color="auto"/>
        <w:right w:val="none" w:sz="0" w:space="0" w:color="auto"/>
      </w:divBdr>
    </w:div>
    <w:div w:id="1654483984">
      <w:bodyDiv w:val="1"/>
      <w:marLeft w:val="0"/>
      <w:marRight w:val="0"/>
      <w:marTop w:val="0"/>
      <w:marBottom w:val="0"/>
      <w:divBdr>
        <w:top w:val="none" w:sz="0" w:space="0" w:color="auto"/>
        <w:left w:val="none" w:sz="0" w:space="0" w:color="auto"/>
        <w:bottom w:val="none" w:sz="0" w:space="0" w:color="auto"/>
        <w:right w:val="none" w:sz="0" w:space="0" w:color="auto"/>
      </w:divBdr>
    </w:div>
    <w:div w:id="1793398536">
      <w:bodyDiv w:val="1"/>
      <w:marLeft w:val="0"/>
      <w:marRight w:val="0"/>
      <w:marTop w:val="0"/>
      <w:marBottom w:val="0"/>
      <w:divBdr>
        <w:top w:val="none" w:sz="0" w:space="0" w:color="auto"/>
        <w:left w:val="none" w:sz="0" w:space="0" w:color="auto"/>
        <w:bottom w:val="none" w:sz="0" w:space="0" w:color="auto"/>
        <w:right w:val="none" w:sz="0" w:space="0" w:color="auto"/>
      </w:divBdr>
    </w:div>
    <w:div w:id="1802722338">
      <w:bodyDiv w:val="1"/>
      <w:marLeft w:val="0"/>
      <w:marRight w:val="0"/>
      <w:marTop w:val="0"/>
      <w:marBottom w:val="0"/>
      <w:divBdr>
        <w:top w:val="none" w:sz="0" w:space="0" w:color="auto"/>
        <w:left w:val="none" w:sz="0" w:space="0" w:color="auto"/>
        <w:bottom w:val="none" w:sz="0" w:space="0" w:color="auto"/>
        <w:right w:val="none" w:sz="0" w:space="0" w:color="auto"/>
      </w:divBdr>
    </w:div>
    <w:div w:id="1899200176">
      <w:bodyDiv w:val="1"/>
      <w:marLeft w:val="0"/>
      <w:marRight w:val="0"/>
      <w:marTop w:val="0"/>
      <w:marBottom w:val="0"/>
      <w:divBdr>
        <w:top w:val="none" w:sz="0" w:space="0" w:color="auto"/>
        <w:left w:val="none" w:sz="0" w:space="0" w:color="auto"/>
        <w:bottom w:val="none" w:sz="0" w:space="0" w:color="auto"/>
        <w:right w:val="none" w:sz="0" w:space="0" w:color="auto"/>
      </w:divBdr>
    </w:div>
    <w:div w:id="2022587306">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rser.2015.01.061" TargetMode="External"/><Relationship Id="rId21" Type="http://schemas.openxmlformats.org/officeDocument/2006/relationships/hyperlink" Target="https://doi.org/10.1016/j.renene.2020.07.134" TargetMode="External"/><Relationship Id="rId42" Type="http://schemas.openxmlformats.org/officeDocument/2006/relationships/hyperlink" Target="https://doi.org/10.1016/j.renene.2016.03.024" TargetMode="External"/><Relationship Id="rId47" Type="http://schemas.openxmlformats.org/officeDocument/2006/relationships/hyperlink" Target="https://doi.org/10.1115/OMAE2008-57056" TargetMode="External"/><Relationship Id="rId63" Type="http://schemas.openxmlformats.org/officeDocument/2006/relationships/hyperlink" Target="https://doi.org/10.1016/j.renene.2022.09.014" TargetMode="External"/><Relationship Id="rId68" Type="http://schemas.openxmlformats.org/officeDocument/2006/relationships/hyperlink" Target="https://doi.org/10.1016/j.renene.2020.01.009" TargetMode="External"/><Relationship Id="rId84" Type="http://schemas.openxmlformats.org/officeDocument/2006/relationships/hyperlink" Target="https://doi.org/10.1016/j.techfore.2013.08.006" TargetMode="External"/><Relationship Id="rId89" Type="http://schemas.openxmlformats.org/officeDocument/2006/relationships/hyperlink" Target="https://doi.org/10.1016/j.energy.2012.07.042" TargetMode="External"/><Relationship Id="rId112" Type="http://schemas.openxmlformats.org/officeDocument/2006/relationships/header" Target="header3.xml"/><Relationship Id="rId16" Type="http://schemas.openxmlformats.org/officeDocument/2006/relationships/image" Target="media/image1.png"/><Relationship Id="rId107" Type="http://schemas.openxmlformats.org/officeDocument/2006/relationships/hyperlink" Target="https://doi.org/10.1016/j.oceaneng.2007.04.002" TargetMode="External"/><Relationship Id="rId11" Type="http://schemas.openxmlformats.org/officeDocument/2006/relationships/hyperlink" Target="mailto:z.wang@lancaster.ac.uk%20(Z.W.)%20;" TargetMode="External"/><Relationship Id="rId32" Type="http://schemas.openxmlformats.org/officeDocument/2006/relationships/hyperlink" Target="https://doi.org/10.1016/j.enconman.2019.111971" TargetMode="External"/><Relationship Id="rId37" Type="http://schemas.openxmlformats.org/officeDocument/2006/relationships/hyperlink" Target="https://doi.org/10.1115/OMAE2006-92291" TargetMode="External"/><Relationship Id="rId53" Type="http://schemas.openxmlformats.org/officeDocument/2006/relationships/hyperlink" Target="https://doi.org/10.1016/j.oceaneng.2013.03.002" TargetMode="External"/><Relationship Id="rId58" Type="http://schemas.openxmlformats.org/officeDocument/2006/relationships/hyperlink" Target="https://doi.org/10.1098/rsta.2011.0152" TargetMode="External"/><Relationship Id="rId74" Type="http://schemas.openxmlformats.org/officeDocument/2006/relationships/hyperlink" Target="https://doi.org/10.1016/j.marstruc.2012.03.003" TargetMode="External"/><Relationship Id="rId79" Type="http://schemas.openxmlformats.org/officeDocument/2006/relationships/hyperlink" Target="https://doi.org/10.1017/CBO9780511754630" TargetMode="External"/><Relationship Id="rId102" Type="http://schemas.openxmlformats.org/officeDocument/2006/relationships/hyperlink" Target="https://doi.org/10.1080/17445302.2020.1772667" TargetMode="External"/><Relationship Id="rId5" Type="http://schemas.openxmlformats.org/officeDocument/2006/relationships/webSettings" Target="webSettings.xml"/><Relationship Id="rId90" Type="http://schemas.openxmlformats.org/officeDocument/2006/relationships/hyperlink" Target="https://doi.org/10.1080/02286203.2022.2119524" TargetMode="External"/><Relationship Id="rId95" Type="http://schemas.openxmlformats.org/officeDocument/2006/relationships/hyperlink" Target="https://doi.org/10.1016/j.energy.2015.12.108" TargetMode="External"/><Relationship Id="rId22" Type="http://schemas.openxmlformats.org/officeDocument/2006/relationships/hyperlink" Target="https://doi.org/10.1016/j.apenergy.2025.126669" TargetMode="External"/><Relationship Id="rId27" Type="http://schemas.openxmlformats.org/officeDocument/2006/relationships/hyperlink" Target="https://doi.org/10.1016/j.renene.2017.09.080" TargetMode="External"/><Relationship Id="rId43" Type="http://schemas.openxmlformats.org/officeDocument/2006/relationships/hyperlink" Target="https://doi.org/10.1016/j.egypro.2017.10.333" TargetMode="External"/><Relationship Id="rId48" Type="http://schemas.openxmlformats.org/officeDocument/2006/relationships/hyperlink" Target="https://doi.org/10.4043/18287-MS" TargetMode="External"/><Relationship Id="rId64" Type="http://schemas.openxmlformats.org/officeDocument/2006/relationships/hyperlink" Target="https://doi.org/10.1016/j.energy.2019.01.018" TargetMode="External"/><Relationship Id="rId69" Type="http://schemas.openxmlformats.org/officeDocument/2006/relationships/hyperlink" Target="https://doi.org/10.1115/OMAE2018-77501" TargetMode="External"/><Relationship Id="rId113" Type="http://schemas.openxmlformats.org/officeDocument/2006/relationships/footer" Target="footer2.xml"/><Relationship Id="rId80" Type="http://schemas.openxmlformats.org/officeDocument/2006/relationships/hyperlink" Target="https://doi.org/10.3390/en8077344" TargetMode="External"/><Relationship Id="rId85" Type="http://schemas.openxmlformats.org/officeDocument/2006/relationships/hyperlink" Target="https://doi.org/10.1243/14750902JEME54" TargetMode="External"/><Relationship Id="rId12" Type="http://schemas.openxmlformats.org/officeDocument/2006/relationships/hyperlink" Target="mailto:z.wang82@lancaster.ac.uk" TargetMode="External"/><Relationship Id="rId17" Type="http://schemas.openxmlformats.org/officeDocument/2006/relationships/image" Target="media/image2.png"/><Relationship Id="rId33" Type="http://schemas.openxmlformats.org/officeDocument/2006/relationships/hyperlink" Target="https://doi.org/10.1016/j.renene.2009.10.027" TargetMode="External"/><Relationship Id="rId38" Type="http://schemas.openxmlformats.org/officeDocument/2006/relationships/hyperlink" Target="https://doi.org/10.1115/OMAE2007-29277" TargetMode="External"/><Relationship Id="rId59" Type="http://schemas.openxmlformats.org/officeDocument/2006/relationships/hyperlink" Target="https://doi.org/10.1115/OMAE2018-78178" TargetMode="External"/><Relationship Id="rId103" Type="http://schemas.openxmlformats.org/officeDocument/2006/relationships/hyperlink" Target="https://doi.org/10.1115/DETC2016-59373" TargetMode="External"/><Relationship Id="rId108" Type="http://schemas.openxmlformats.org/officeDocument/2006/relationships/hyperlink" Target="https://doi.org/10.1016/j.oceaneng.2018.12.046" TargetMode="External"/><Relationship Id="rId54" Type="http://schemas.openxmlformats.org/officeDocument/2006/relationships/hyperlink" Target="https://doi.org/10.1016/j.renene.2015.07.086" TargetMode="External"/><Relationship Id="rId70" Type="http://schemas.openxmlformats.org/officeDocument/2006/relationships/hyperlink" Target="https://doi.org/10.1016/j.rser.2019.05.010" TargetMode="External"/><Relationship Id="rId75" Type="http://schemas.openxmlformats.org/officeDocument/2006/relationships/hyperlink" Target="https://doi.org/10.1098/rsta.2011.0152" TargetMode="External"/><Relationship Id="rId91" Type="http://schemas.openxmlformats.org/officeDocument/2006/relationships/hyperlink" Target="https://doi.org/10.1016/j.renene.2012.04.044" TargetMode="External"/><Relationship Id="rId96" Type="http://schemas.openxmlformats.org/officeDocument/2006/relationships/hyperlink" Target="https://doi.org/10.1016/j.renene.2010.08.02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michailides@ihu.gr" TargetMode="External"/><Relationship Id="rId23" Type="http://schemas.openxmlformats.org/officeDocument/2006/relationships/hyperlink" Target="https://doi.org/10.1016/j.renene.2012.01.101" TargetMode="External"/><Relationship Id="rId28" Type="http://schemas.openxmlformats.org/officeDocument/2006/relationships/hyperlink" Target="https://doi.org/10.1016/j.oceaneng.2021.109177" TargetMode="External"/><Relationship Id="rId36" Type="http://schemas.openxmlformats.org/officeDocument/2006/relationships/hyperlink" Target="https://doi.org/10.1061/(ASCE)WW.1943-5460.0000087" TargetMode="External"/><Relationship Id="rId49" Type="http://schemas.openxmlformats.org/officeDocument/2006/relationships/hyperlink" Target="https://doi.org/10.1016/j.oceaneng.2014.10.001" TargetMode="External"/><Relationship Id="rId57" Type="http://schemas.openxmlformats.org/officeDocument/2006/relationships/hyperlink" Target="https://doi.org/10.3390/jmse9020228" TargetMode="External"/><Relationship Id="rId106" Type="http://schemas.openxmlformats.org/officeDocument/2006/relationships/hyperlink" Target="https://doi.org/10.1016/j.renene.2012.01.105" TargetMode="External"/><Relationship Id="rId114" Type="http://schemas.openxmlformats.org/officeDocument/2006/relationships/fontTable" Target="fontTable.xml"/><Relationship Id="rId10" Type="http://schemas.openxmlformats.org/officeDocument/2006/relationships/hyperlink" Target="file:///Users/amani/Desktop/g.aggidis@lancaster.ac.uk" TargetMode="External"/><Relationship Id="rId31" Type="http://schemas.openxmlformats.org/officeDocument/2006/relationships/hyperlink" Target="https://doi.org/10.1016/j.renene.2022.01.053" TargetMode="External"/><Relationship Id="rId44" Type="http://schemas.openxmlformats.org/officeDocument/2006/relationships/hyperlink" Target="https://doi.org/10.1088/1742-6596/524/1/012094" TargetMode="External"/><Relationship Id="rId52" Type="http://schemas.openxmlformats.org/officeDocument/2006/relationships/hyperlink" Target="https://doi.org/10.1115/1.4002735" TargetMode="External"/><Relationship Id="rId60" Type="http://schemas.openxmlformats.org/officeDocument/2006/relationships/hyperlink" Target="https://doi.org/10.1115/OMAE2014-24065" TargetMode="External"/><Relationship Id="rId65" Type="http://schemas.openxmlformats.org/officeDocument/2006/relationships/hyperlink" Target="https://doi.org/10.1016/j.renene.2020.01.078" TargetMode="External"/><Relationship Id="rId73" Type="http://schemas.openxmlformats.org/officeDocument/2006/relationships/hyperlink" Target="https://doi.org/10.1016/j.oceaneng.2006.05.015" TargetMode="External"/><Relationship Id="rId78" Type="http://schemas.openxmlformats.org/officeDocument/2006/relationships/hyperlink" Target="https://doi.org/10.1016/S0065-2156(08)70268-0" TargetMode="External"/><Relationship Id="rId81" Type="http://schemas.openxmlformats.org/officeDocument/2006/relationships/hyperlink" Target="https://doi.org/10.1016/j.renene.2015.02.049" TargetMode="External"/><Relationship Id="rId86" Type="http://schemas.openxmlformats.org/officeDocument/2006/relationships/hyperlink" Target="https://doi.org/10.1115/OMAE2017-62313" TargetMode="External"/><Relationship Id="rId94" Type="http://schemas.openxmlformats.org/officeDocument/2006/relationships/hyperlink" Target="https://doi.org/10.1016/j.marstruc.2016.06.005" TargetMode="External"/><Relationship Id="rId99" Type="http://schemas.openxmlformats.org/officeDocument/2006/relationships/hyperlink" Target="https://doi.org/10.3390/jmse8010058" TargetMode="External"/><Relationship Id="rId101" Type="http://schemas.openxmlformats.org/officeDocument/2006/relationships/hyperlink" Target="https://doi.org/10.1016/j.energy.2016.06.135" TargetMode="External"/><Relationship Id="rId4" Type="http://schemas.openxmlformats.org/officeDocument/2006/relationships/settings" Target="settings.xml"/><Relationship Id="rId9" Type="http://schemas.openxmlformats.org/officeDocument/2006/relationships/hyperlink" Target="mailto:a.zaylaee@lancaster.ac.uk" TargetMode="External"/><Relationship Id="rId13" Type="http://schemas.openxmlformats.org/officeDocument/2006/relationships/hyperlink" Target="mailto:xiandong.ma@lancaster.ac.uk" TargetMode="External"/><Relationship Id="rId18" Type="http://schemas.openxmlformats.org/officeDocument/2006/relationships/hyperlink" Target="https://doi.org/10.1017/9781009157926" TargetMode="External"/><Relationship Id="rId39" Type="http://schemas.openxmlformats.org/officeDocument/2006/relationships/hyperlink" Target="https://doi.org/10.1115/OMAE2012-84272" TargetMode="External"/><Relationship Id="rId109" Type="http://schemas.openxmlformats.org/officeDocument/2006/relationships/header" Target="header1.xml"/><Relationship Id="rId34" Type="http://schemas.openxmlformats.org/officeDocument/2006/relationships/hyperlink" Target="https://doi.org/10.3390/jmse11010212" TargetMode="External"/><Relationship Id="rId50" Type="http://schemas.openxmlformats.org/officeDocument/2006/relationships/hyperlink" Target="https://doi.org/10.1016/j.marstruc.2007.09.001" TargetMode="External"/><Relationship Id="rId55" Type="http://schemas.openxmlformats.org/officeDocument/2006/relationships/hyperlink" Target="https://doi.org/10.1016/j.renene.2016.11.061" TargetMode="External"/><Relationship Id="rId76" Type="http://schemas.openxmlformats.org/officeDocument/2006/relationships/hyperlink" Target="https://doi.org/10.1016/j.renene.2011.10.002" TargetMode="External"/><Relationship Id="rId97" Type="http://schemas.openxmlformats.org/officeDocument/2006/relationships/hyperlink" Target="https://doi.org/10.1016/j.renene.2023.119786" TargetMode="External"/><Relationship Id="rId104" Type="http://schemas.openxmlformats.org/officeDocument/2006/relationships/hyperlink" Target="https://doi.org/10.3390/en10070853" TargetMode="External"/><Relationship Id="rId7" Type="http://schemas.openxmlformats.org/officeDocument/2006/relationships/endnotes" Target="endnotes.xml"/><Relationship Id="rId71" Type="http://schemas.openxmlformats.org/officeDocument/2006/relationships/hyperlink" Target="https://doi.org/10.1016/j.rser.2018.04.019" TargetMode="External"/><Relationship Id="rId92" Type="http://schemas.openxmlformats.org/officeDocument/2006/relationships/hyperlink" Target="https://doi.org/10.1016/j.oceaneng.2020.108083" TargetMode="External"/><Relationship Id="rId2" Type="http://schemas.openxmlformats.org/officeDocument/2006/relationships/numbering" Target="numbering.xml"/><Relationship Id="rId29" Type="http://schemas.openxmlformats.org/officeDocument/2006/relationships/hyperlink" Target="https://doi.org/10.3390/jmse9101101" TargetMode="External"/><Relationship Id="rId24" Type="http://schemas.openxmlformats.org/officeDocument/2006/relationships/hyperlink" Target="https://doi.org/10.1243/09576509JPE782" TargetMode="External"/><Relationship Id="rId40" Type="http://schemas.openxmlformats.org/officeDocument/2006/relationships/hyperlink" Target="https://doi.org/10.1115/OMAE2009-79231" TargetMode="External"/><Relationship Id="rId45" Type="http://schemas.openxmlformats.org/officeDocument/2006/relationships/hyperlink" Target="https://doi.org/10.1115/OMAE2011-49014" TargetMode="External"/><Relationship Id="rId66" Type="http://schemas.openxmlformats.org/officeDocument/2006/relationships/hyperlink" Target="https://doi.org/10.1016/j.oceaneng.2021.108835" TargetMode="External"/><Relationship Id="rId87" Type="http://schemas.openxmlformats.org/officeDocument/2006/relationships/hyperlink" Target="https://doi.org/10.1109/MCS.2014.2333253" TargetMode="External"/><Relationship Id="rId110" Type="http://schemas.openxmlformats.org/officeDocument/2006/relationships/header" Target="header2.xml"/><Relationship Id="rId115" Type="http://schemas.openxmlformats.org/officeDocument/2006/relationships/theme" Target="theme/theme1.xml"/><Relationship Id="rId61" Type="http://schemas.openxmlformats.org/officeDocument/2006/relationships/hyperlink" Target="https://doi.org/10.1016/j.renene.2008.09.009" TargetMode="External"/><Relationship Id="rId82" Type="http://schemas.openxmlformats.org/officeDocument/2006/relationships/hyperlink" Target="https://doi.org/10.3390/en7128178" TargetMode="External"/><Relationship Id="rId19" Type="http://schemas.openxmlformats.org/officeDocument/2006/relationships/hyperlink" Target="https://doi.org/10.1016/j.rser.2009.11.003" TargetMode="External"/><Relationship Id="rId14" Type="http://schemas.openxmlformats.org/officeDocument/2006/relationships/hyperlink" Target="mailto:cmichailides@ihu.gr" TargetMode="External"/><Relationship Id="rId30" Type="http://schemas.openxmlformats.org/officeDocument/2006/relationships/hyperlink" Target="https://doi.org/10.1016/j.renene.2015.04.033" TargetMode="External"/><Relationship Id="rId35" Type="http://schemas.openxmlformats.org/officeDocument/2006/relationships/hyperlink" Target="https://doi.org/10.1063/1.3435339" TargetMode="External"/><Relationship Id="rId56" Type="http://schemas.openxmlformats.org/officeDocument/2006/relationships/hyperlink" Target="https://doi.org/10.1093/imamat/22.4.423" TargetMode="External"/><Relationship Id="rId77" Type="http://schemas.openxmlformats.org/officeDocument/2006/relationships/hyperlink" Target="https://doi.org/10.1177/1475090217726886" TargetMode="External"/><Relationship Id="rId100" Type="http://schemas.openxmlformats.org/officeDocument/2006/relationships/hyperlink" Target="https://doi.org/10.3390/en9050324" TargetMode="External"/><Relationship Id="rId105" Type="http://schemas.openxmlformats.org/officeDocument/2006/relationships/hyperlink" Target="https://doi.org/10.1016/j.apenergy.2024.122955" TargetMode="External"/><Relationship Id="rId8" Type="http://schemas.openxmlformats.org/officeDocument/2006/relationships/hyperlink" Target="https://creativecommons.org/licenses/by/4.0/" TargetMode="External"/><Relationship Id="rId51" Type="http://schemas.openxmlformats.org/officeDocument/2006/relationships/hyperlink" Target="https://doi.org/10.1016/j.renene.2012.05.025" TargetMode="External"/><Relationship Id="rId72" Type="http://schemas.openxmlformats.org/officeDocument/2006/relationships/hyperlink" Target="https://doi.org/10.1016/j.ijnaoe.2016.08.002" TargetMode="External"/><Relationship Id="rId93" Type="http://schemas.openxmlformats.org/officeDocument/2006/relationships/hyperlink" Target="https://doi.org/10.1016/j.oceaneng.2015.07.055" TargetMode="External"/><Relationship Id="rId98" Type="http://schemas.openxmlformats.org/officeDocument/2006/relationships/hyperlink" Target="https://doi.org/10.3390/en7128178" TargetMode="External"/><Relationship Id="rId3" Type="http://schemas.openxmlformats.org/officeDocument/2006/relationships/styles" Target="styles.xml"/><Relationship Id="rId25" Type="http://schemas.openxmlformats.org/officeDocument/2006/relationships/hyperlink" Target="https://doi.org/10.1115/OMAE2014-23798" TargetMode="External"/><Relationship Id="rId46" Type="http://schemas.openxmlformats.org/officeDocument/2006/relationships/hyperlink" Target="https://doi.org/10.2172/1004009" TargetMode="External"/><Relationship Id="rId67" Type="http://schemas.openxmlformats.org/officeDocument/2006/relationships/hyperlink" Target="https://doi.org/10.1016/j.apenergy.2020.114998" TargetMode="External"/><Relationship Id="rId20" Type="http://schemas.openxmlformats.org/officeDocument/2006/relationships/hyperlink" Target="https://doi.org/10.1016/j.rser.2014.09.032" TargetMode="External"/><Relationship Id="rId41" Type="http://schemas.openxmlformats.org/officeDocument/2006/relationships/hyperlink" Target="https://doi.org/10.1115/OMAE2009-79232" TargetMode="External"/><Relationship Id="rId62" Type="http://schemas.openxmlformats.org/officeDocument/2006/relationships/hyperlink" Target="https://doi.org/10.1016/j.renene.2005.09.005" TargetMode="External"/><Relationship Id="rId83" Type="http://schemas.openxmlformats.org/officeDocument/2006/relationships/hyperlink" Target="https://doi.org/10.1016/j.renene.2009.07.003" TargetMode="External"/><Relationship Id="rId88" Type="http://schemas.openxmlformats.org/officeDocument/2006/relationships/hyperlink" Target="https://doi.org/10.3390/en9070506" TargetMode="External"/><Relationship Id="rId111"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9E0A9B-F35C-BB46-AC2B-2093468FC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18845</Words>
  <Characters>107420</Characters>
  <Application>Microsoft Office Word</Application>
  <DocSecurity>0</DocSecurity>
  <Lines>895</Lines>
  <Paragraphs>252</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126013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amani</dc:creator>
  <cp:keywords/>
  <dc:description/>
  <cp:lastModifiedBy>Zaylaee, Amani (Postgraduate Researcher)</cp:lastModifiedBy>
  <cp:revision>2</cp:revision>
  <cp:lastPrinted>2026-05-27T19:01:00Z</cp:lastPrinted>
  <dcterms:created xsi:type="dcterms:W3CDTF">2026-05-27T20:51:00Z</dcterms:created>
  <dcterms:modified xsi:type="dcterms:W3CDTF">2026-05-27T20:51:00Z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4343c5a3c4b94610de8be8edcfa3c531faa5cee224843bc686a4ff1da8e82274</vt:lpwstr>
  </property>
  <property fmtid="{D5CDD505-2E9C-101B-9397-08002B2CF9AE}" pid="3" name="MSIP_Label_2dcba8be-90ad-4c39-8ffb-d795d61acc4a_Enabled">
    <vt:lpwstr>true</vt:lpwstr>
  </property>
  <property fmtid="{D5CDD505-2E9C-101B-9397-08002B2CF9AE}" pid="4" name="MSIP_Label_2dcba8be-90ad-4c39-8ffb-d795d61acc4a_SetDate">
    <vt:lpwstr>2026-05-22T18:02:10Z</vt:lpwstr>
  </property>
  <property fmtid="{D5CDD505-2E9C-101B-9397-08002B2CF9AE}" pid="5" name="MSIP_Label_2dcba8be-90ad-4c39-8ffb-d795d61acc4a_Method">
    <vt:lpwstr>Standard</vt:lpwstr>
  </property>
  <property fmtid="{D5CDD505-2E9C-101B-9397-08002B2CF9AE}" pid="6" name="MSIP_Label_2dcba8be-90ad-4c39-8ffb-d795d61acc4a_Name">
    <vt:lpwstr>Restricted</vt:lpwstr>
  </property>
  <property fmtid="{D5CDD505-2E9C-101B-9397-08002B2CF9AE}" pid="7" name="MSIP_Label_2dcba8be-90ad-4c39-8ffb-d795d61acc4a_SiteId">
    <vt:lpwstr>b6df3a0f-729a-46b9-84db-8d7a8bec2b0d</vt:lpwstr>
  </property>
  <property fmtid="{D5CDD505-2E9C-101B-9397-08002B2CF9AE}" pid="8" name="MSIP_Label_2dcba8be-90ad-4c39-8ffb-d795d61acc4a_ActionId">
    <vt:lpwstr>38508144-f3a2-48b4-b0b8-12e0651fb5c0</vt:lpwstr>
  </property>
  <property fmtid="{D5CDD505-2E9C-101B-9397-08002B2CF9AE}" pid="9" name="MSIP_Label_2dcba8be-90ad-4c39-8ffb-d795d61acc4a_ContentBits">
    <vt:lpwstr>0</vt:lpwstr>
  </property>
</Properties>
</file>