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856C" w14:textId="7B7B3307" w:rsidR="00C66FB4" w:rsidRPr="004A378A" w:rsidRDefault="00C66FB4" w:rsidP="00C66FB4">
      <w:pPr>
        <w:jc w:val="both"/>
        <w:rPr>
          <w:rFonts w:ascii="Times New Roman" w:hAnsi="Times New Roman" w:cs="Times New Roman"/>
          <w:b/>
          <w:bCs/>
          <w:sz w:val="22"/>
          <w:szCs w:val="22"/>
        </w:rPr>
      </w:pPr>
      <w:r w:rsidRPr="004A378A">
        <w:rPr>
          <w:rFonts w:ascii="Times New Roman" w:hAnsi="Times New Roman" w:cs="Times New Roman"/>
          <w:b/>
          <w:bCs/>
          <w:sz w:val="22"/>
          <w:szCs w:val="22"/>
        </w:rPr>
        <w:t>International Women’s Day: A Tribute to Gender Equality from the JH</w:t>
      </w:r>
      <w:r w:rsidR="00AE4664" w:rsidRPr="004A378A">
        <w:rPr>
          <w:rFonts w:ascii="Times New Roman" w:hAnsi="Times New Roman" w:cs="Times New Roman"/>
          <w:b/>
          <w:bCs/>
          <w:sz w:val="22"/>
          <w:szCs w:val="22"/>
        </w:rPr>
        <w:t>DC</w:t>
      </w:r>
    </w:p>
    <w:p w14:paraId="6889E957" w14:textId="53B882DE" w:rsidR="00186263" w:rsidRPr="008810D4" w:rsidRDefault="0063237B" w:rsidP="00C66FB4">
      <w:pPr>
        <w:jc w:val="both"/>
        <w:rPr>
          <w:rFonts w:ascii="Times New Roman" w:hAnsi="Times New Roman" w:cs="Times New Roman"/>
          <w:b/>
          <w:bCs/>
          <w:sz w:val="22"/>
          <w:szCs w:val="22"/>
        </w:rPr>
      </w:pPr>
      <w:r w:rsidRPr="004A378A">
        <w:rPr>
          <w:rFonts w:ascii="Times New Roman" w:hAnsi="Times New Roman" w:cs="Times New Roman"/>
          <w:b/>
          <w:bCs/>
          <w:sz w:val="22"/>
          <w:szCs w:val="22"/>
        </w:rPr>
        <w:t>Melis Cin, School of Social Sciences, Educational Research, Lancaster University</w:t>
      </w:r>
    </w:p>
    <w:p w14:paraId="1B657564" w14:textId="0CBDD941" w:rsidR="00F62469" w:rsidRDefault="008810D4" w:rsidP="00C66FB4">
      <w:pPr>
        <w:jc w:val="both"/>
        <w:rPr>
          <w:rFonts w:ascii="Times New Roman" w:hAnsi="Times New Roman" w:cs="Times New Roman"/>
          <w:sz w:val="22"/>
          <w:szCs w:val="22"/>
        </w:rPr>
      </w:pPr>
      <w:r w:rsidRPr="008810D4">
        <w:rPr>
          <w:rFonts w:ascii="Times New Roman" w:hAnsi="Times New Roman" w:cs="Times New Roman"/>
          <w:sz w:val="22"/>
          <w:szCs w:val="22"/>
        </w:rPr>
        <w:t xml:space="preserve">This </w:t>
      </w:r>
      <w:r>
        <w:rPr>
          <w:rFonts w:ascii="Times New Roman" w:hAnsi="Times New Roman" w:cs="Times New Roman"/>
          <w:sz w:val="22"/>
          <w:szCs w:val="22"/>
        </w:rPr>
        <w:t>short article</w:t>
      </w:r>
      <w:r w:rsidRPr="008810D4">
        <w:rPr>
          <w:rFonts w:ascii="Times New Roman" w:hAnsi="Times New Roman" w:cs="Times New Roman"/>
          <w:sz w:val="22"/>
          <w:szCs w:val="22"/>
        </w:rPr>
        <w:t xml:space="preserve"> introduces the edited</w:t>
      </w:r>
      <w:r w:rsidR="009577DE">
        <w:rPr>
          <w:rFonts w:ascii="Times New Roman" w:hAnsi="Times New Roman" w:cs="Times New Roman"/>
          <w:sz w:val="22"/>
          <w:szCs w:val="22"/>
        </w:rPr>
        <w:t xml:space="preserve"> open-access</w:t>
      </w:r>
      <w:r w:rsidRPr="008810D4">
        <w:rPr>
          <w:rFonts w:ascii="Times New Roman" w:hAnsi="Times New Roman" w:cs="Times New Roman"/>
          <w:sz w:val="22"/>
          <w:szCs w:val="22"/>
        </w:rPr>
        <w:t xml:space="preserve"> collection curated to mark 8 March, International Women’s Day, which brings together selected papers previously published in the Journal of Human Development and Capabilities</w:t>
      </w:r>
      <w:r w:rsidR="00811145">
        <w:rPr>
          <w:rFonts w:ascii="Times New Roman" w:hAnsi="Times New Roman" w:cs="Times New Roman"/>
          <w:sz w:val="22"/>
          <w:szCs w:val="22"/>
        </w:rPr>
        <w:t xml:space="preserve">. </w:t>
      </w:r>
      <w:r w:rsidR="00657959" w:rsidRPr="00657959">
        <w:rPr>
          <w:rFonts w:ascii="Times New Roman" w:hAnsi="Times New Roman" w:cs="Times New Roman"/>
          <w:sz w:val="22"/>
          <w:szCs w:val="22"/>
        </w:rPr>
        <w:t>It also appears as the editorial for Volume 27, Issue 2 of the journal and provides the introduction to this collection.</w:t>
      </w:r>
      <w:r w:rsidR="00657959">
        <w:rPr>
          <w:rFonts w:ascii="Times New Roman" w:hAnsi="Times New Roman" w:cs="Times New Roman"/>
          <w:sz w:val="22"/>
          <w:szCs w:val="22"/>
        </w:rPr>
        <w:t xml:space="preserve"> </w:t>
      </w:r>
      <w:r>
        <w:rPr>
          <w:rFonts w:ascii="Times New Roman" w:hAnsi="Times New Roman" w:cs="Times New Roman"/>
          <w:sz w:val="22"/>
          <w:szCs w:val="22"/>
        </w:rPr>
        <w:t>The edited collection</w:t>
      </w:r>
      <w:r w:rsidR="00F62469" w:rsidRPr="00F62469">
        <w:rPr>
          <w:rFonts w:ascii="Times New Roman" w:hAnsi="Times New Roman" w:cs="Times New Roman"/>
          <w:sz w:val="22"/>
          <w:szCs w:val="22"/>
        </w:rPr>
        <w:t xml:space="preserve"> brings selected contributions from the journal to the forefront of discussions on gender equality in development, policy, and practice, and reflects the journal’s critical engagement with, and long-standing commitment to, debates on gender equality over time. The collection brings together eleven papers published over the past decade in the Journal of Human Development and Capabilitie</w:t>
      </w:r>
      <w:r w:rsidR="00F62469" w:rsidRPr="00F62469">
        <w:rPr>
          <w:rFonts w:ascii="Times New Roman" w:hAnsi="Times New Roman" w:cs="Times New Roman"/>
          <w:i/>
          <w:iCs/>
          <w:sz w:val="22"/>
          <w:szCs w:val="22"/>
        </w:rPr>
        <w:t>s</w:t>
      </w:r>
      <w:r w:rsidR="00F62469" w:rsidRPr="00F62469">
        <w:rPr>
          <w:rFonts w:ascii="Times New Roman" w:hAnsi="Times New Roman" w:cs="Times New Roman"/>
          <w:sz w:val="22"/>
          <w:szCs w:val="22"/>
        </w:rPr>
        <w:t xml:space="preserve">, bringing into dialogue studies of </w:t>
      </w:r>
      <w:proofErr w:type="gramStart"/>
      <w:r w:rsidR="00F62469" w:rsidRPr="00F62469">
        <w:rPr>
          <w:rFonts w:ascii="Times New Roman" w:hAnsi="Times New Roman" w:cs="Times New Roman"/>
          <w:sz w:val="22"/>
          <w:szCs w:val="22"/>
        </w:rPr>
        <w:t>women’s</w:t>
      </w:r>
      <w:proofErr w:type="gramEnd"/>
      <w:r w:rsidR="00F62469" w:rsidRPr="00F62469">
        <w:rPr>
          <w:rFonts w:ascii="Times New Roman" w:hAnsi="Times New Roman" w:cs="Times New Roman"/>
          <w:sz w:val="22"/>
          <w:szCs w:val="22"/>
        </w:rPr>
        <w:t xml:space="preserve"> lived experiences across diverse contexts in the Global South with conceptual contributions to analytical debates, and offering detailed accounts of how gendered inequalities are produced, negotiated, and contested in everyday life. The papers attend to issues that structure women’s everyday freedoms and constraints, including education systems, livelihoods and political participation, care and dignity, collective organising, sanitation and bodily safety, and contexts of conflict and crisis. In doing so, they illuminate how women’s lives are shaped by intersecting institutional, social, and economic forces, and how formal policy achievements often coexist with persistent forms of insecurity, precarity, and unfreedom.</w:t>
      </w:r>
    </w:p>
    <w:p w14:paraId="46FBAC76" w14:textId="77777777" w:rsidR="00F62469" w:rsidRDefault="00F62469" w:rsidP="00C66FB4">
      <w:pPr>
        <w:jc w:val="both"/>
        <w:rPr>
          <w:rFonts w:ascii="Times New Roman" w:hAnsi="Times New Roman" w:cs="Times New Roman"/>
          <w:sz w:val="22"/>
          <w:szCs w:val="22"/>
        </w:rPr>
      </w:pPr>
    </w:p>
    <w:p w14:paraId="5CF6AF0D" w14:textId="77777777" w:rsidR="00F62469" w:rsidRPr="004A378A" w:rsidRDefault="00F62469" w:rsidP="00C66FB4">
      <w:pPr>
        <w:jc w:val="both"/>
        <w:rPr>
          <w:rFonts w:ascii="Times New Roman" w:hAnsi="Times New Roman" w:cs="Times New Roman"/>
          <w:sz w:val="22"/>
          <w:szCs w:val="22"/>
        </w:rPr>
      </w:pPr>
    </w:p>
    <w:p w14:paraId="2CABB706" w14:textId="18BAF225" w:rsidR="000C7110" w:rsidRPr="004A378A" w:rsidRDefault="00EA13B7" w:rsidP="00C66FB4">
      <w:pPr>
        <w:jc w:val="both"/>
        <w:rPr>
          <w:rFonts w:ascii="Times New Roman" w:hAnsi="Times New Roman" w:cs="Times New Roman"/>
          <w:sz w:val="22"/>
          <w:szCs w:val="22"/>
        </w:rPr>
      </w:pPr>
      <w:r w:rsidRPr="004A378A">
        <w:rPr>
          <w:rFonts w:ascii="Times New Roman" w:hAnsi="Times New Roman" w:cs="Times New Roman"/>
          <w:sz w:val="22"/>
          <w:szCs w:val="22"/>
        </w:rPr>
        <w:t>T</w:t>
      </w:r>
      <w:r w:rsidR="000C7110" w:rsidRPr="004A378A">
        <w:rPr>
          <w:rFonts w:ascii="Times New Roman" w:hAnsi="Times New Roman" w:cs="Times New Roman"/>
          <w:sz w:val="22"/>
          <w:szCs w:val="22"/>
        </w:rPr>
        <w:t xml:space="preserve">he articles challenge instrumental and technocratic approaches to gender equality that prioritise measurable outputs over substantive social transformation. They demonstrate how dominant policy frameworks frequently misrecognise the forms of labour, risk, and constraint that structure women’s everyday lives, particularly in settings marked by poverty, informality, weak institutional protection, and conflict. </w:t>
      </w:r>
      <w:r w:rsidR="009F7A8E" w:rsidRPr="004A378A">
        <w:rPr>
          <w:rFonts w:ascii="Times New Roman" w:hAnsi="Times New Roman" w:cs="Times New Roman"/>
          <w:sz w:val="22"/>
          <w:szCs w:val="22"/>
        </w:rPr>
        <w:t>The collection thus opens a space for critical engagement with what is claimed as progress in gender equality after more than a century of women’s struggles, interrogating whose experiences become the benchmark for policy success and whose lives remain marginal to prevailing development frameworks.</w:t>
      </w:r>
    </w:p>
    <w:p w14:paraId="52993B18" w14:textId="5D67E1EC" w:rsidR="000C7110" w:rsidRPr="004A378A" w:rsidRDefault="0037577E" w:rsidP="00C66FB4">
      <w:pPr>
        <w:jc w:val="both"/>
        <w:rPr>
          <w:rFonts w:ascii="Times New Roman" w:hAnsi="Times New Roman" w:cs="Times New Roman"/>
          <w:sz w:val="22"/>
          <w:szCs w:val="22"/>
        </w:rPr>
      </w:pPr>
      <w:r w:rsidRPr="004A378A">
        <w:rPr>
          <w:rFonts w:ascii="Times New Roman" w:hAnsi="Times New Roman" w:cs="Times New Roman"/>
          <w:sz w:val="22"/>
          <w:szCs w:val="22"/>
        </w:rPr>
        <w:t>The editorial focuses on five overarching themes in gender and development that reflect key debates in the field, without claiming to be exhaustive</w:t>
      </w:r>
      <w:r w:rsidR="00BA4D5D" w:rsidRPr="004A378A">
        <w:rPr>
          <w:rFonts w:ascii="Times New Roman" w:hAnsi="Times New Roman" w:cs="Times New Roman"/>
          <w:sz w:val="22"/>
          <w:szCs w:val="22"/>
        </w:rPr>
        <w:t xml:space="preserve">. </w:t>
      </w:r>
      <w:r w:rsidR="000C7110" w:rsidRPr="004A378A">
        <w:rPr>
          <w:rFonts w:ascii="Times New Roman" w:hAnsi="Times New Roman" w:cs="Times New Roman"/>
          <w:sz w:val="22"/>
          <w:szCs w:val="22"/>
        </w:rPr>
        <w:t xml:space="preserve">First, the limits of parity-based and indicator-driven approaches to gender equality capture a shared critique of how measurement practices shape what is recognised as progress. Second, the importance of examining women’s capabilities in practice addresses the persistent gap between formal access to opportunities and women’s substantive freedoms in everyday life. Third, the centrality of care, dignity, and relational forms of agency </w:t>
      </w:r>
      <w:r w:rsidR="005B4398" w:rsidRPr="004A378A">
        <w:rPr>
          <w:rFonts w:ascii="Times New Roman" w:hAnsi="Times New Roman" w:cs="Times New Roman"/>
          <w:sz w:val="22"/>
          <w:szCs w:val="22"/>
        </w:rPr>
        <w:t>showcases</w:t>
      </w:r>
      <w:r w:rsidR="000C7110" w:rsidRPr="004A378A">
        <w:rPr>
          <w:rFonts w:ascii="Times New Roman" w:hAnsi="Times New Roman" w:cs="Times New Roman"/>
          <w:sz w:val="22"/>
          <w:szCs w:val="22"/>
        </w:rPr>
        <w:t xml:space="preserve"> dimensions of women’s lives that remain structurally undervalued in policy design. </w:t>
      </w:r>
      <w:r w:rsidR="0092136C" w:rsidRPr="004A378A">
        <w:rPr>
          <w:rFonts w:ascii="Times New Roman" w:hAnsi="Times New Roman" w:cs="Times New Roman"/>
          <w:sz w:val="22"/>
          <w:szCs w:val="22"/>
        </w:rPr>
        <w:t xml:space="preserve">Fourth, the uneven and politically constrained nature of empowerment through work and political participation challenges linear narratives of progress by attending to the conditions under which agency is exercised. </w:t>
      </w:r>
      <w:r w:rsidR="000C7110" w:rsidRPr="004A378A">
        <w:rPr>
          <w:rFonts w:ascii="Times New Roman" w:hAnsi="Times New Roman" w:cs="Times New Roman"/>
          <w:sz w:val="22"/>
          <w:szCs w:val="22"/>
        </w:rPr>
        <w:t>Finally, the role of structural violence, crisis, and institutional failure highlights how insecurity, conflict, and everyday harm shape the terrain on which gender justice is pursued.</w:t>
      </w:r>
    </w:p>
    <w:p w14:paraId="280A1E3B" w14:textId="77777777" w:rsidR="000C7110" w:rsidRPr="004A378A" w:rsidRDefault="000C7110" w:rsidP="00C66FB4">
      <w:pPr>
        <w:jc w:val="both"/>
        <w:rPr>
          <w:rFonts w:ascii="Times New Roman" w:hAnsi="Times New Roman" w:cs="Times New Roman"/>
          <w:sz w:val="22"/>
          <w:szCs w:val="22"/>
        </w:rPr>
      </w:pPr>
    </w:p>
    <w:p w14:paraId="5A37D755" w14:textId="7A0B8C16" w:rsidR="00AF0546" w:rsidRPr="004A378A" w:rsidRDefault="00AF0546" w:rsidP="00C66FB4">
      <w:pPr>
        <w:jc w:val="both"/>
        <w:rPr>
          <w:rFonts w:ascii="Times New Roman" w:hAnsi="Times New Roman" w:cs="Times New Roman"/>
          <w:i/>
          <w:iCs/>
          <w:sz w:val="22"/>
          <w:szCs w:val="22"/>
        </w:rPr>
      </w:pPr>
      <w:r w:rsidRPr="004A378A">
        <w:rPr>
          <w:rFonts w:ascii="Times New Roman" w:hAnsi="Times New Roman" w:cs="Times New Roman"/>
          <w:i/>
          <w:iCs/>
          <w:sz w:val="22"/>
          <w:szCs w:val="22"/>
        </w:rPr>
        <w:t>The Limits of Numbers and the Politics of Measurement</w:t>
      </w:r>
    </w:p>
    <w:p w14:paraId="388FAE6A" w14:textId="45DD2069" w:rsidR="00AF0546" w:rsidRPr="004A378A" w:rsidRDefault="00AF0546" w:rsidP="00C66FB4">
      <w:pPr>
        <w:jc w:val="both"/>
        <w:rPr>
          <w:rFonts w:ascii="Times New Roman" w:hAnsi="Times New Roman" w:cs="Times New Roman"/>
          <w:sz w:val="22"/>
          <w:szCs w:val="22"/>
        </w:rPr>
      </w:pPr>
      <w:r w:rsidRPr="004A378A">
        <w:rPr>
          <w:rFonts w:ascii="Times New Roman" w:hAnsi="Times New Roman" w:cs="Times New Roman"/>
          <w:sz w:val="22"/>
          <w:szCs w:val="22"/>
        </w:rPr>
        <w:lastRenderedPageBreak/>
        <w:t xml:space="preserve">Each year on 8 March, International Women’s Day offers a moment to take stock of progress towards gender equality. The familiar language of celebration and commitment is accompanied by numbers: gender parity indices, targets met, policies adopted, programmes scaled. These indicators matter. They make injustice visible to institutions that demand evidence before acting. </w:t>
      </w:r>
      <w:r w:rsidR="002F3309" w:rsidRPr="004A378A">
        <w:rPr>
          <w:rFonts w:ascii="Times New Roman" w:hAnsi="Times New Roman" w:cs="Times New Roman"/>
          <w:sz w:val="22"/>
          <w:szCs w:val="22"/>
        </w:rPr>
        <w:t>The contributions</w:t>
      </w:r>
      <w:r w:rsidRPr="004A378A">
        <w:rPr>
          <w:rFonts w:ascii="Times New Roman" w:hAnsi="Times New Roman" w:cs="Times New Roman"/>
          <w:sz w:val="22"/>
          <w:szCs w:val="22"/>
        </w:rPr>
        <w:t xml:space="preserve"> in this edited caution against technocratic approaches to gender equality that privilege what is easily measured over what is socially transformative, and they stress the need for evaluation frameworks that remain accountable to </w:t>
      </w:r>
      <w:proofErr w:type="gramStart"/>
      <w:r w:rsidRPr="004A378A">
        <w:rPr>
          <w:rFonts w:ascii="Times New Roman" w:hAnsi="Times New Roman" w:cs="Times New Roman"/>
          <w:sz w:val="22"/>
          <w:szCs w:val="22"/>
        </w:rPr>
        <w:t>women’s</w:t>
      </w:r>
      <w:proofErr w:type="gramEnd"/>
      <w:r w:rsidRPr="004A378A">
        <w:rPr>
          <w:rFonts w:ascii="Times New Roman" w:hAnsi="Times New Roman" w:cs="Times New Roman"/>
          <w:sz w:val="22"/>
          <w:szCs w:val="22"/>
        </w:rPr>
        <w:t xml:space="preserve"> lived realities rather than to the logics of comparability and reporting.</w:t>
      </w:r>
    </w:p>
    <w:p w14:paraId="75971368" w14:textId="12E7EB92" w:rsidR="00164FFA" w:rsidRPr="004A378A" w:rsidRDefault="00164FFA" w:rsidP="00C66FB4">
      <w:pPr>
        <w:jc w:val="both"/>
        <w:rPr>
          <w:rFonts w:ascii="Times New Roman" w:hAnsi="Times New Roman" w:cs="Times New Roman"/>
          <w:sz w:val="22"/>
          <w:szCs w:val="22"/>
        </w:rPr>
      </w:pPr>
      <w:r w:rsidRPr="004A378A">
        <w:rPr>
          <w:rFonts w:ascii="Times New Roman" w:hAnsi="Times New Roman" w:cs="Times New Roman"/>
          <w:sz w:val="22"/>
          <w:szCs w:val="22"/>
        </w:rPr>
        <w:t>Loots and Walker’s</w:t>
      </w:r>
      <w:r w:rsidR="00D24258" w:rsidRPr="004A378A">
        <w:rPr>
          <w:rFonts w:ascii="Times New Roman" w:hAnsi="Times New Roman" w:cs="Times New Roman"/>
          <w:sz w:val="22"/>
          <w:szCs w:val="22"/>
        </w:rPr>
        <w:t xml:space="preserve"> (2016)</w:t>
      </w:r>
      <w:r w:rsidRPr="004A378A">
        <w:rPr>
          <w:rFonts w:ascii="Times New Roman" w:hAnsi="Times New Roman" w:cs="Times New Roman"/>
          <w:sz w:val="22"/>
          <w:szCs w:val="22"/>
        </w:rPr>
        <w:t xml:space="preserve"> analysis of gender equality policy in higher education provides a conceptual point of departure for understanding the limits of parity-based approaches to gender equality. Their capabilities-based framework challenges the tendency of policy regimes to prioritise numerical indicators</w:t>
      </w:r>
      <w:r w:rsidR="00AF0546" w:rsidRPr="004A378A">
        <w:rPr>
          <w:rFonts w:ascii="Times New Roman" w:hAnsi="Times New Roman" w:cs="Times New Roman"/>
          <w:sz w:val="22"/>
          <w:szCs w:val="22"/>
        </w:rPr>
        <w:t xml:space="preserve"> </w:t>
      </w:r>
      <w:r w:rsidRPr="004A378A">
        <w:rPr>
          <w:rFonts w:ascii="Times New Roman" w:hAnsi="Times New Roman" w:cs="Times New Roman"/>
          <w:sz w:val="22"/>
          <w:szCs w:val="22"/>
        </w:rPr>
        <w:t>such as enrolment ratios or representation statistics</w:t>
      </w:r>
      <w:r w:rsidR="00750997" w:rsidRPr="004A378A">
        <w:rPr>
          <w:rFonts w:ascii="Times New Roman" w:hAnsi="Times New Roman" w:cs="Times New Roman"/>
          <w:sz w:val="22"/>
          <w:szCs w:val="22"/>
        </w:rPr>
        <w:t xml:space="preserve"> </w:t>
      </w:r>
      <w:r w:rsidRPr="004A378A">
        <w:rPr>
          <w:rFonts w:ascii="Times New Roman" w:hAnsi="Times New Roman" w:cs="Times New Roman"/>
          <w:sz w:val="22"/>
          <w:szCs w:val="22"/>
        </w:rPr>
        <w:t>at the expense of examining whether women are substantively able to flourish within educational institutions. Drawing on mixed-methods evidence</w:t>
      </w:r>
      <w:r w:rsidR="009F7A8E" w:rsidRPr="004A378A">
        <w:rPr>
          <w:rFonts w:ascii="Times New Roman" w:hAnsi="Times New Roman" w:cs="Times New Roman"/>
          <w:sz w:val="22"/>
          <w:szCs w:val="22"/>
        </w:rPr>
        <w:t xml:space="preserve"> from South Africa</w:t>
      </w:r>
      <w:r w:rsidRPr="004A378A">
        <w:rPr>
          <w:rFonts w:ascii="Times New Roman" w:hAnsi="Times New Roman" w:cs="Times New Roman"/>
          <w:sz w:val="22"/>
          <w:szCs w:val="22"/>
        </w:rPr>
        <w:t xml:space="preserve">, they demonstrate how apparently neutral indicators obscure differences in what diverse groups of women value and the uneven distribution of opportunities to realise those valued </w:t>
      </w:r>
      <w:proofErr w:type="spellStart"/>
      <w:r w:rsidRPr="004A378A">
        <w:rPr>
          <w:rFonts w:ascii="Times New Roman" w:hAnsi="Times New Roman" w:cs="Times New Roman"/>
          <w:sz w:val="22"/>
          <w:szCs w:val="22"/>
        </w:rPr>
        <w:t>functionings</w:t>
      </w:r>
      <w:proofErr w:type="spellEnd"/>
      <w:r w:rsidRPr="004A378A">
        <w:rPr>
          <w:rFonts w:ascii="Times New Roman" w:hAnsi="Times New Roman" w:cs="Times New Roman"/>
          <w:sz w:val="22"/>
          <w:szCs w:val="22"/>
        </w:rPr>
        <w:t>. The implication is that policy evaluation framed narrowly around parity risks reproducing institutional cultures that continue to marginalise women’s experiences.</w:t>
      </w:r>
    </w:p>
    <w:p w14:paraId="3FD07B43" w14:textId="1C03B5FC" w:rsidR="00164FFA" w:rsidRPr="004A378A" w:rsidRDefault="00164FFA" w:rsidP="00C66FB4">
      <w:pPr>
        <w:jc w:val="both"/>
        <w:rPr>
          <w:rFonts w:ascii="Times New Roman" w:hAnsi="Times New Roman" w:cs="Times New Roman"/>
          <w:sz w:val="22"/>
          <w:szCs w:val="22"/>
        </w:rPr>
      </w:pPr>
      <w:r w:rsidRPr="004A378A">
        <w:rPr>
          <w:rFonts w:ascii="Times New Roman" w:hAnsi="Times New Roman" w:cs="Times New Roman"/>
          <w:sz w:val="22"/>
          <w:szCs w:val="22"/>
        </w:rPr>
        <w:t xml:space="preserve">This critique is extended by </w:t>
      </w:r>
      <w:proofErr w:type="spellStart"/>
      <w:r w:rsidRPr="004A378A">
        <w:rPr>
          <w:rFonts w:ascii="Times New Roman" w:hAnsi="Times New Roman" w:cs="Times New Roman"/>
          <w:sz w:val="22"/>
          <w:szCs w:val="22"/>
        </w:rPr>
        <w:t>Unterhalter</w:t>
      </w:r>
      <w:proofErr w:type="spellEnd"/>
      <w:r w:rsidRPr="004A378A">
        <w:rPr>
          <w:rFonts w:ascii="Times New Roman" w:hAnsi="Times New Roman" w:cs="Times New Roman"/>
          <w:sz w:val="22"/>
          <w:szCs w:val="22"/>
        </w:rPr>
        <w:t>, Longlands and Vaughan</w:t>
      </w:r>
      <w:r w:rsidR="00D1013A" w:rsidRPr="004A378A">
        <w:rPr>
          <w:rFonts w:ascii="Times New Roman" w:hAnsi="Times New Roman" w:cs="Times New Roman"/>
          <w:sz w:val="22"/>
          <w:szCs w:val="22"/>
        </w:rPr>
        <w:t xml:space="preserve"> (2022)</w:t>
      </w:r>
      <w:r w:rsidRPr="004A378A">
        <w:rPr>
          <w:rFonts w:ascii="Times New Roman" w:hAnsi="Times New Roman" w:cs="Times New Roman"/>
          <w:sz w:val="22"/>
          <w:szCs w:val="22"/>
        </w:rPr>
        <w:t xml:space="preserve"> in their reflection on measurement frameworks for gender and intersecting inequalities in education. Their AGEE framework highlights the inadequacy of existing indicator regimes for capturing relational, institutional, and discursive dimensions of inequality. </w:t>
      </w:r>
      <w:r w:rsidR="00D24EA4" w:rsidRPr="004A378A">
        <w:rPr>
          <w:rFonts w:ascii="Times New Roman" w:hAnsi="Times New Roman" w:cs="Times New Roman"/>
          <w:sz w:val="22"/>
          <w:szCs w:val="22"/>
        </w:rPr>
        <w:t>T</w:t>
      </w:r>
      <w:r w:rsidRPr="004A378A">
        <w:rPr>
          <w:rFonts w:ascii="Times New Roman" w:hAnsi="Times New Roman" w:cs="Times New Roman"/>
          <w:sz w:val="22"/>
          <w:szCs w:val="22"/>
        </w:rPr>
        <w:t>he authors challenge policy makers to reconsider what is counted as evidence of progress and whose experiences are rendered legible within dominant accountability systems. The emphasis on intersecting inequalities complicates parity-based narratives by demonstrating how gendered disadvantage is mediated by class, location, and other axes of inequality.</w:t>
      </w:r>
    </w:p>
    <w:p w14:paraId="1FE464B9" w14:textId="15DDB958" w:rsidR="007F28B5" w:rsidRPr="004A378A" w:rsidRDefault="007F28B5" w:rsidP="007F28B5">
      <w:pPr>
        <w:jc w:val="both"/>
        <w:rPr>
          <w:rFonts w:ascii="Times New Roman" w:hAnsi="Times New Roman" w:cs="Times New Roman"/>
          <w:sz w:val="22"/>
          <w:szCs w:val="22"/>
        </w:rPr>
      </w:pPr>
      <w:r w:rsidRPr="004A378A">
        <w:rPr>
          <w:rFonts w:ascii="Times New Roman" w:hAnsi="Times New Roman" w:cs="Times New Roman"/>
          <w:sz w:val="22"/>
          <w:szCs w:val="22"/>
        </w:rPr>
        <w:t xml:space="preserve">Pérez Piñán and Vibert (2019) make tangible the concerns raised by </w:t>
      </w:r>
      <w:proofErr w:type="spellStart"/>
      <w:r w:rsidRPr="004A378A">
        <w:rPr>
          <w:rFonts w:ascii="Times New Roman" w:hAnsi="Times New Roman" w:cs="Times New Roman"/>
          <w:sz w:val="22"/>
          <w:szCs w:val="22"/>
        </w:rPr>
        <w:t>Unterhalter</w:t>
      </w:r>
      <w:proofErr w:type="spellEnd"/>
      <w:r w:rsidRPr="004A378A">
        <w:rPr>
          <w:rFonts w:ascii="Times New Roman" w:hAnsi="Times New Roman" w:cs="Times New Roman"/>
          <w:sz w:val="22"/>
          <w:szCs w:val="22"/>
        </w:rPr>
        <w:t xml:space="preserve"> et al. (2022) by tracing how indicator-driven global goals translate into audit burdens that actively reshape women’s everyday practices within a cooperative farm. Their analysis highlights the limits of measurement identified in global frameworks and shows the ways in which these are lived and negotiated in everyday settings, as accountability logics privilege what is countable over what is socially transformative. In practice, reporting requirements generate new forms of administrative labour that divert women’s time and energy away from sustaining livelihoods, care, and collective well-being, reproducing intersecting inequalities that remain marginal to dominant accounts of progress.</w:t>
      </w:r>
    </w:p>
    <w:p w14:paraId="433CFAC2" w14:textId="77777777" w:rsidR="007F28B5" w:rsidRPr="004A378A" w:rsidRDefault="007F28B5" w:rsidP="00C66FB4">
      <w:pPr>
        <w:jc w:val="both"/>
        <w:rPr>
          <w:rFonts w:ascii="Times New Roman" w:hAnsi="Times New Roman" w:cs="Times New Roman"/>
          <w:sz w:val="22"/>
          <w:szCs w:val="22"/>
        </w:rPr>
      </w:pPr>
    </w:p>
    <w:p w14:paraId="7EBD57DB" w14:textId="3755F308" w:rsidR="00164FFA" w:rsidRPr="004A378A" w:rsidRDefault="00AF0546" w:rsidP="00C66FB4">
      <w:pPr>
        <w:jc w:val="both"/>
        <w:rPr>
          <w:rFonts w:ascii="Times New Roman" w:hAnsi="Times New Roman" w:cs="Times New Roman"/>
          <w:i/>
          <w:iCs/>
          <w:sz w:val="22"/>
          <w:szCs w:val="22"/>
        </w:rPr>
      </w:pPr>
      <w:r w:rsidRPr="004A378A">
        <w:rPr>
          <w:rFonts w:ascii="Times New Roman" w:hAnsi="Times New Roman" w:cs="Times New Roman"/>
          <w:i/>
          <w:iCs/>
          <w:sz w:val="22"/>
          <w:szCs w:val="22"/>
        </w:rPr>
        <w:t>Contextualising capabilities: Why Access Is Not the Same as Freedom</w:t>
      </w:r>
    </w:p>
    <w:p w14:paraId="0A6C81EE" w14:textId="25BBBFC3" w:rsidR="005E45D3" w:rsidRPr="004A378A" w:rsidRDefault="005E45D3" w:rsidP="00C66FB4">
      <w:pPr>
        <w:jc w:val="both"/>
        <w:rPr>
          <w:rFonts w:ascii="Times New Roman" w:hAnsi="Times New Roman" w:cs="Times New Roman"/>
          <w:i/>
          <w:iCs/>
          <w:sz w:val="22"/>
          <w:szCs w:val="22"/>
        </w:rPr>
      </w:pPr>
    </w:p>
    <w:p w14:paraId="3B1B0886" w14:textId="761C16F1" w:rsidR="00EB4BD3" w:rsidRPr="004A378A" w:rsidRDefault="00EB4BD3" w:rsidP="00C66FB4">
      <w:pPr>
        <w:jc w:val="both"/>
        <w:rPr>
          <w:rFonts w:ascii="Times New Roman" w:hAnsi="Times New Roman" w:cs="Times New Roman"/>
          <w:sz w:val="22"/>
          <w:szCs w:val="22"/>
        </w:rPr>
      </w:pPr>
      <w:r w:rsidRPr="004A378A">
        <w:rPr>
          <w:rFonts w:ascii="Times New Roman" w:hAnsi="Times New Roman" w:cs="Times New Roman"/>
          <w:sz w:val="22"/>
          <w:szCs w:val="22"/>
        </w:rPr>
        <w:t xml:space="preserve">Building on the critique of indicator-driven approaches outlined above, several contributions in this edited collection shift attention from what can be counted to what women are </w:t>
      </w:r>
      <w:proofErr w:type="gramStart"/>
      <w:r w:rsidRPr="004A378A">
        <w:rPr>
          <w:rFonts w:ascii="Times New Roman" w:hAnsi="Times New Roman" w:cs="Times New Roman"/>
          <w:sz w:val="22"/>
          <w:szCs w:val="22"/>
        </w:rPr>
        <w:t>actually able</w:t>
      </w:r>
      <w:proofErr w:type="gramEnd"/>
      <w:r w:rsidRPr="004A378A">
        <w:rPr>
          <w:rFonts w:ascii="Times New Roman" w:hAnsi="Times New Roman" w:cs="Times New Roman"/>
          <w:sz w:val="22"/>
          <w:szCs w:val="22"/>
        </w:rPr>
        <w:t xml:space="preserve"> to do and be in practice. Moving beyond access and parity as proxies for progress, these papers illuminate the gap between formal opportunities and women’s substantive freedoms. They show that access to work, mobility, or organisational participation does not in itself secure freedom, as capabilities are shaped by social relations, institutional arrangements, and power structures that condition what women are able to do and be in everyday life.</w:t>
      </w:r>
    </w:p>
    <w:p w14:paraId="42187286" w14:textId="32E8D2A6" w:rsidR="00EB5F35" w:rsidRPr="004A378A" w:rsidRDefault="00164FFA" w:rsidP="00C66FB4">
      <w:pPr>
        <w:jc w:val="both"/>
        <w:rPr>
          <w:rFonts w:ascii="Times New Roman" w:hAnsi="Times New Roman" w:cs="Times New Roman"/>
          <w:sz w:val="22"/>
          <w:szCs w:val="22"/>
        </w:rPr>
      </w:pPr>
      <w:r w:rsidRPr="004A378A">
        <w:rPr>
          <w:rFonts w:ascii="Times New Roman" w:hAnsi="Times New Roman" w:cs="Times New Roman"/>
          <w:sz w:val="22"/>
          <w:szCs w:val="22"/>
        </w:rPr>
        <w:t>Vansteenkiste and Schuller’s</w:t>
      </w:r>
      <w:r w:rsidR="00042E13" w:rsidRPr="004A378A">
        <w:rPr>
          <w:rFonts w:ascii="Times New Roman" w:hAnsi="Times New Roman" w:cs="Times New Roman"/>
          <w:sz w:val="22"/>
          <w:szCs w:val="22"/>
        </w:rPr>
        <w:t xml:space="preserve"> (2018)</w:t>
      </w:r>
      <w:r w:rsidRPr="004A378A">
        <w:rPr>
          <w:rFonts w:ascii="Times New Roman" w:hAnsi="Times New Roman" w:cs="Times New Roman"/>
          <w:sz w:val="22"/>
          <w:szCs w:val="22"/>
        </w:rPr>
        <w:t xml:space="preserve"> study of community-based organisations in Haiti </w:t>
      </w:r>
      <w:r w:rsidR="007F28B5" w:rsidRPr="004A378A">
        <w:rPr>
          <w:rFonts w:ascii="Times New Roman" w:hAnsi="Times New Roman" w:cs="Times New Roman"/>
          <w:sz w:val="22"/>
          <w:szCs w:val="22"/>
        </w:rPr>
        <w:t>draws attention to</w:t>
      </w:r>
      <w:r w:rsidRPr="004A378A">
        <w:rPr>
          <w:rFonts w:ascii="Times New Roman" w:hAnsi="Times New Roman" w:cs="Times New Roman"/>
          <w:sz w:val="22"/>
          <w:szCs w:val="22"/>
        </w:rPr>
        <w:t xml:space="preserve"> the importance of examining </w:t>
      </w:r>
      <w:r w:rsidR="007F28B5" w:rsidRPr="004A378A">
        <w:rPr>
          <w:rFonts w:ascii="Times New Roman" w:hAnsi="Times New Roman" w:cs="Times New Roman"/>
          <w:sz w:val="22"/>
          <w:szCs w:val="22"/>
        </w:rPr>
        <w:t>the</w:t>
      </w:r>
      <w:r w:rsidRPr="004A378A">
        <w:rPr>
          <w:rFonts w:ascii="Times New Roman" w:hAnsi="Times New Roman" w:cs="Times New Roman"/>
          <w:sz w:val="22"/>
          <w:szCs w:val="22"/>
        </w:rPr>
        <w:t xml:space="preserve"> institutional frameworks shap</w:t>
      </w:r>
      <w:r w:rsidR="007F28B5" w:rsidRPr="004A378A">
        <w:rPr>
          <w:rFonts w:ascii="Times New Roman" w:hAnsi="Times New Roman" w:cs="Times New Roman"/>
          <w:sz w:val="22"/>
          <w:szCs w:val="22"/>
        </w:rPr>
        <w:t>ing</w:t>
      </w:r>
      <w:r w:rsidRPr="004A378A">
        <w:rPr>
          <w:rFonts w:ascii="Times New Roman" w:hAnsi="Times New Roman" w:cs="Times New Roman"/>
          <w:sz w:val="22"/>
          <w:szCs w:val="22"/>
        </w:rPr>
        <w:t xml:space="preserve"> women’s capabilities in practice. </w:t>
      </w:r>
      <w:r w:rsidRPr="004A378A">
        <w:rPr>
          <w:rFonts w:ascii="Times New Roman" w:hAnsi="Times New Roman" w:cs="Times New Roman"/>
          <w:sz w:val="22"/>
          <w:szCs w:val="22"/>
        </w:rPr>
        <w:lastRenderedPageBreak/>
        <w:t xml:space="preserve">Their comparative analysis of women’s organisations and mixed-gender organisations </w:t>
      </w:r>
      <w:r w:rsidR="00904DC2" w:rsidRPr="004A378A">
        <w:rPr>
          <w:rFonts w:ascii="Times New Roman" w:hAnsi="Times New Roman" w:cs="Times New Roman"/>
          <w:sz w:val="22"/>
          <w:szCs w:val="22"/>
        </w:rPr>
        <w:t>illustrate</w:t>
      </w:r>
      <w:r w:rsidRPr="004A378A">
        <w:rPr>
          <w:rFonts w:ascii="Times New Roman" w:hAnsi="Times New Roman" w:cs="Times New Roman"/>
          <w:sz w:val="22"/>
          <w:szCs w:val="22"/>
        </w:rPr>
        <w:t xml:space="preserve"> </w:t>
      </w:r>
      <w:r w:rsidR="007E190C" w:rsidRPr="004A378A">
        <w:rPr>
          <w:rFonts w:ascii="Times New Roman" w:hAnsi="Times New Roman" w:cs="Times New Roman"/>
          <w:sz w:val="22"/>
          <w:szCs w:val="22"/>
        </w:rPr>
        <w:t>that</w:t>
      </w:r>
      <w:r w:rsidRPr="004A378A">
        <w:rPr>
          <w:rFonts w:ascii="Times New Roman" w:hAnsi="Times New Roman" w:cs="Times New Roman"/>
          <w:sz w:val="22"/>
          <w:szCs w:val="22"/>
        </w:rPr>
        <w:t xml:space="preserve"> making gender central to organisational design can expand women’s opportunities for affiliation, practical reasoning, and collective action. </w:t>
      </w:r>
      <w:r w:rsidR="007E190C" w:rsidRPr="004A378A">
        <w:rPr>
          <w:rFonts w:ascii="Times New Roman" w:hAnsi="Times New Roman" w:cs="Times New Roman"/>
          <w:sz w:val="22"/>
          <w:szCs w:val="22"/>
        </w:rPr>
        <w:t>T</w:t>
      </w:r>
      <w:r w:rsidRPr="004A378A">
        <w:rPr>
          <w:rFonts w:ascii="Times New Roman" w:hAnsi="Times New Roman" w:cs="Times New Roman"/>
          <w:sz w:val="22"/>
          <w:szCs w:val="22"/>
        </w:rPr>
        <w:t>heir work highlights the relational and institutional conditions that enable women to imagine and pursue valued ways of being and doing. Capabilities are shown to be socially produced, contingent on the presence of supportive collective spaces that recognise women’s strategic interests</w:t>
      </w:r>
      <w:r w:rsidR="00EB5F35" w:rsidRPr="004A378A">
        <w:rPr>
          <w:rFonts w:ascii="Times New Roman" w:hAnsi="Times New Roman" w:cs="Times New Roman"/>
          <w:sz w:val="22"/>
          <w:szCs w:val="22"/>
        </w:rPr>
        <w:t>. The analysis makes clear that women’s agency is exercised under severe constraints, and that gains in some capabilities coexist with persistent unfreedoms in others</w:t>
      </w:r>
      <w:r w:rsidR="00904DC2" w:rsidRPr="004A378A">
        <w:rPr>
          <w:rFonts w:ascii="Times New Roman" w:hAnsi="Times New Roman" w:cs="Times New Roman"/>
          <w:sz w:val="22"/>
          <w:szCs w:val="22"/>
        </w:rPr>
        <w:t>.</w:t>
      </w:r>
    </w:p>
    <w:p w14:paraId="7B40B773" w14:textId="61FA672C" w:rsidR="00164FFA" w:rsidRPr="004A378A" w:rsidRDefault="00164FFA" w:rsidP="00C66FB4">
      <w:pPr>
        <w:jc w:val="both"/>
        <w:rPr>
          <w:rFonts w:ascii="Times New Roman" w:hAnsi="Times New Roman" w:cs="Times New Roman"/>
          <w:sz w:val="22"/>
          <w:szCs w:val="22"/>
        </w:rPr>
      </w:pPr>
      <w:r w:rsidRPr="004A378A">
        <w:rPr>
          <w:rFonts w:ascii="Times New Roman" w:hAnsi="Times New Roman" w:cs="Times New Roman"/>
          <w:sz w:val="22"/>
          <w:szCs w:val="22"/>
        </w:rPr>
        <w:t>Seeberg and Luo’s</w:t>
      </w:r>
      <w:r w:rsidR="000C38E8" w:rsidRPr="004A378A">
        <w:rPr>
          <w:rFonts w:ascii="Times New Roman" w:hAnsi="Times New Roman" w:cs="Times New Roman"/>
          <w:sz w:val="22"/>
          <w:szCs w:val="22"/>
        </w:rPr>
        <w:t xml:space="preserve"> (2018)</w:t>
      </w:r>
      <w:r w:rsidRPr="004A378A">
        <w:rPr>
          <w:rFonts w:ascii="Times New Roman" w:hAnsi="Times New Roman" w:cs="Times New Roman"/>
          <w:sz w:val="22"/>
          <w:szCs w:val="22"/>
        </w:rPr>
        <w:t xml:space="preserve"> research with young rural women migrating to cities in north-west China further complicates dominant narratives of women’s deprivation by </w:t>
      </w:r>
      <w:r w:rsidR="00757648" w:rsidRPr="004A378A">
        <w:rPr>
          <w:rFonts w:ascii="Times New Roman" w:hAnsi="Times New Roman" w:cs="Times New Roman"/>
          <w:sz w:val="22"/>
          <w:szCs w:val="22"/>
        </w:rPr>
        <w:t>looking into</w:t>
      </w:r>
      <w:r w:rsidRPr="004A378A">
        <w:rPr>
          <w:rFonts w:ascii="Times New Roman" w:hAnsi="Times New Roman" w:cs="Times New Roman"/>
          <w:sz w:val="22"/>
          <w:szCs w:val="22"/>
        </w:rPr>
        <w:t xml:space="preserve"> women’s agency under conditions of constraint. Migration is shown to expand certain capabilities, including financial independence, aspiration, and partial autonomy from patriarchal controls in rural settings. At the same time, these expanded freedoms are negotiated within precarious labour markets, discriminatory migration regimes, and persistent gendered vulnerabilities. </w:t>
      </w:r>
      <w:r w:rsidR="00AF0546" w:rsidRPr="004A378A">
        <w:rPr>
          <w:rFonts w:ascii="Times New Roman" w:hAnsi="Times New Roman" w:cs="Times New Roman"/>
          <w:sz w:val="22"/>
          <w:szCs w:val="22"/>
        </w:rPr>
        <w:t>They focus on</w:t>
      </w:r>
      <w:r w:rsidRPr="004A378A">
        <w:rPr>
          <w:rFonts w:ascii="Times New Roman" w:hAnsi="Times New Roman" w:cs="Times New Roman"/>
          <w:sz w:val="22"/>
          <w:szCs w:val="22"/>
        </w:rPr>
        <w:t xml:space="preserve"> what women are </w:t>
      </w:r>
      <w:proofErr w:type="gramStart"/>
      <w:r w:rsidRPr="004A378A">
        <w:rPr>
          <w:rFonts w:ascii="Times New Roman" w:hAnsi="Times New Roman" w:cs="Times New Roman"/>
          <w:sz w:val="22"/>
          <w:szCs w:val="22"/>
        </w:rPr>
        <w:t>actually able</w:t>
      </w:r>
      <w:proofErr w:type="gramEnd"/>
      <w:r w:rsidRPr="004A378A">
        <w:rPr>
          <w:rFonts w:ascii="Times New Roman" w:hAnsi="Times New Roman" w:cs="Times New Roman"/>
          <w:sz w:val="22"/>
          <w:szCs w:val="22"/>
        </w:rPr>
        <w:t xml:space="preserve"> to do and be within these constrained contexts, </w:t>
      </w:r>
      <w:r w:rsidR="00AF0546" w:rsidRPr="004A378A">
        <w:rPr>
          <w:rFonts w:ascii="Times New Roman" w:hAnsi="Times New Roman" w:cs="Times New Roman"/>
          <w:sz w:val="22"/>
          <w:szCs w:val="22"/>
        </w:rPr>
        <w:t xml:space="preserve">thus </w:t>
      </w:r>
      <w:r w:rsidRPr="004A378A">
        <w:rPr>
          <w:rFonts w:ascii="Times New Roman" w:hAnsi="Times New Roman" w:cs="Times New Roman"/>
          <w:sz w:val="22"/>
          <w:szCs w:val="22"/>
        </w:rPr>
        <w:t>move beyond deficit framings and highlight empowerment as a situated, relational, and uneven process.</w:t>
      </w:r>
    </w:p>
    <w:p w14:paraId="4D403223" w14:textId="77777777" w:rsidR="00904DC2" w:rsidRPr="004A378A" w:rsidRDefault="00904DC2" w:rsidP="00C66FB4">
      <w:pPr>
        <w:jc w:val="both"/>
        <w:rPr>
          <w:rFonts w:ascii="Times New Roman" w:hAnsi="Times New Roman" w:cs="Times New Roman"/>
          <w:i/>
          <w:iCs/>
          <w:sz w:val="22"/>
          <w:szCs w:val="22"/>
        </w:rPr>
      </w:pPr>
    </w:p>
    <w:p w14:paraId="4324C2FD" w14:textId="4B2A510D" w:rsidR="00AF0546" w:rsidRPr="004A378A" w:rsidRDefault="00AF0546" w:rsidP="00C66FB4">
      <w:pPr>
        <w:jc w:val="both"/>
        <w:rPr>
          <w:rFonts w:ascii="Times New Roman" w:hAnsi="Times New Roman" w:cs="Times New Roman"/>
          <w:i/>
          <w:iCs/>
          <w:sz w:val="22"/>
          <w:szCs w:val="22"/>
        </w:rPr>
      </w:pPr>
      <w:r w:rsidRPr="004A378A">
        <w:rPr>
          <w:rFonts w:ascii="Times New Roman" w:hAnsi="Times New Roman" w:cs="Times New Roman"/>
          <w:i/>
          <w:iCs/>
          <w:sz w:val="22"/>
          <w:szCs w:val="22"/>
        </w:rPr>
        <w:t>Care as Infrastructure: Gendered Responsibility, Agency, and Invisible Labour</w:t>
      </w:r>
    </w:p>
    <w:p w14:paraId="2098BAD4" w14:textId="77777777" w:rsidR="007F28B5" w:rsidRPr="004A378A" w:rsidRDefault="007F28B5" w:rsidP="00C66FB4">
      <w:pPr>
        <w:jc w:val="both"/>
        <w:rPr>
          <w:rFonts w:ascii="Times New Roman" w:hAnsi="Times New Roman" w:cs="Times New Roman"/>
          <w:i/>
          <w:iCs/>
          <w:sz w:val="22"/>
          <w:szCs w:val="22"/>
        </w:rPr>
      </w:pPr>
    </w:p>
    <w:p w14:paraId="30BADA4C" w14:textId="63836085" w:rsidR="00C23CB0" w:rsidRPr="004A378A" w:rsidRDefault="00C23CB0" w:rsidP="00C66FB4">
      <w:pPr>
        <w:jc w:val="both"/>
        <w:rPr>
          <w:rFonts w:ascii="Times New Roman" w:hAnsi="Times New Roman" w:cs="Times New Roman"/>
          <w:sz w:val="22"/>
          <w:szCs w:val="22"/>
        </w:rPr>
      </w:pPr>
      <w:r w:rsidRPr="004A378A">
        <w:rPr>
          <w:rFonts w:ascii="Times New Roman" w:hAnsi="Times New Roman" w:cs="Times New Roman"/>
          <w:sz w:val="22"/>
          <w:szCs w:val="22"/>
        </w:rPr>
        <w:t>Care underpins the reproduction of labour, households, and communities, yet remains largely invisible within development and gender equality policy frameworks. When care is treated as residual to markets and institutions, policy interventions risk misrecognising both the sources of women’s and gender-diverse people’s disadvantage and the conditions that enable their participation. Responding to this persistent marginalisation of care in gender and development policy, two of the contributions bring care to the centre of analysis by conceptualising it as a foundational condition of dignity and agency in contexts of marginalisation and conflict. These papers re-centre care, dignity, and relational forms of agency as core concerns for gender equality, challenging policy approaches that prioritise market participation and institutional representation while neglecting the everyday ethical labour and responsibilities through which women and gender-diverse people sustain social life. They show that care functions as a condition of possibility for both livelihoods and political participation, revealing a persistent blind spot in dominant gender equality agendas.</w:t>
      </w:r>
    </w:p>
    <w:p w14:paraId="0D4668AC" w14:textId="77777777" w:rsidR="00C23CB0" w:rsidRPr="004A378A" w:rsidRDefault="00C23CB0" w:rsidP="00C66FB4">
      <w:pPr>
        <w:jc w:val="both"/>
        <w:rPr>
          <w:rFonts w:ascii="Times New Roman" w:hAnsi="Times New Roman" w:cs="Times New Roman"/>
          <w:sz w:val="22"/>
          <w:szCs w:val="22"/>
        </w:rPr>
      </w:pPr>
    </w:p>
    <w:p w14:paraId="3DE7804D" w14:textId="032DC0B4" w:rsidR="00A034D3" w:rsidRPr="004A378A" w:rsidRDefault="00A034D3" w:rsidP="00C66FB4">
      <w:pPr>
        <w:jc w:val="both"/>
        <w:rPr>
          <w:rFonts w:ascii="Times New Roman" w:hAnsi="Times New Roman" w:cs="Times New Roman"/>
          <w:sz w:val="22"/>
          <w:szCs w:val="22"/>
        </w:rPr>
      </w:pPr>
      <w:r w:rsidRPr="004A378A">
        <w:rPr>
          <w:rFonts w:ascii="Times New Roman" w:hAnsi="Times New Roman" w:cs="Times New Roman"/>
          <w:sz w:val="22"/>
          <w:szCs w:val="22"/>
        </w:rPr>
        <w:t>Cross Riddle’s (2019) ethnographic study of women’s peacebuilding identities in Manipur shows that women’s peace work is shaped by socially ascribed responsibilities of care, enacted through roles as mothers and widows in contexts of protracted conflict. The analysis centres care as a relational practice and form of everyday political labour. Women peacebuilders take up socially ascribed caring responsibilities</w:t>
      </w:r>
      <w:r w:rsidR="0008679B" w:rsidRPr="004A378A">
        <w:rPr>
          <w:rFonts w:ascii="Times New Roman" w:hAnsi="Times New Roman" w:cs="Times New Roman"/>
          <w:sz w:val="22"/>
          <w:szCs w:val="22"/>
        </w:rPr>
        <w:t xml:space="preserve"> </w:t>
      </w:r>
      <w:r w:rsidRPr="004A378A">
        <w:rPr>
          <w:rFonts w:ascii="Times New Roman" w:hAnsi="Times New Roman" w:cs="Times New Roman"/>
          <w:sz w:val="22"/>
          <w:szCs w:val="22"/>
        </w:rPr>
        <w:t>as mothers, widows, and community members and mobilise them as a basis for political action and conflict transformation. Care here emerges not as something private or apolitical, but as ethical and relational labour through which women exercise constrained yet transformative agency, even as gender norms and power structures limit their choices.</w:t>
      </w:r>
    </w:p>
    <w:p w14:paraId="31F1C87E" w14:textId="14308B48" w:rsidR="00164FFA" w:rsidRPr="004A378A" w:rsidRDefault="00164FFA" w:rsidP="00C66FB4">
      <w:pPr>
        <w:jc w:val="both"/>
        <w:rPr>
          <w:rFonts w:ascii="Times New Roman" w:hAnsi="Times New Roman" w:cs="Times New Roman"/>
          <w:sz w:val="22"/>
          <w:szCs w:val="22"/>
        </w:rPr>
      </w:pPr>
      <w:r w:rsidRPr="004A378A">
        <w:rPr>
          <w:rFonts w:ascii="Times New Roman" w:hAnsi="Times New Roman" w:cs="Times New Roman"/>
          <w:sz w:val="22"/>
          <w:szCs w:val="22"/>
        </w:rPr>
        <w:t>Reed</w:t>
      </w:r>
      <w:r w:rsidR="00BD4476" w:rsidRPr="004A378A">
        <w:rPr>
          <w:rFonts w:ascii="Times New Roman" w:hAnsi="Times New Roman" w:cs="Times New Roman"/>
          <w:sz w:val="22"/>
          <w:szCs w:val="22"/>
        </w:rPr>
        <w:t xml:space="preserve"> (2020) </w:t>
      </w:r>
      <w:r w:rsidRPr="004A378A">
        <w:rPr>
          <w:rFonts w:ascii="Times New Roman" w:hAnsi="Times New Roman" w:cs="Times New Roman"/>
          <w:sz w:val="22"/>
          <w:szCs w:val="22"/>
        </w:rPr>
        <w:t xml:space="preserve">capabilities-based analysis of dignity </w:t>
      </w:r>
      <w:r w:rsidR="00560D8B" w:rsidRPr="004A378A">
        <w:rPr>
          <w:rFonts w:ascii="Times New Roman" w:hAnsi="Times New Roman" w:cs="Times New Roman"/>
          <w:sz w:val="22"/>
          <w:szCs w:val="22"/>
        </w:rPr>
        <w:t>shows how transgender people’s lives are structured by dependence on care systems that often fail them</w:t>
      </w:r>
      <w:r w:rsidR="00625AD1" w:rsidRPr="004A378A">
        <w:rPr>
          <w:rFonts w:ascii="Times New Roman" w:hAnsi="Times New Roman" w:cs="Times New Roman"/>
          <w:sz w:val="22"/>
          <w:szCs w:val="22"/>
        </w:rPr>
        <w:t>, e.g.</w:t>
      </w:r>
      <w:r w:rsidR="00560D8B" w:rsidRPr="004A378A">
        <w:rPr>
          <w:rFonts w:ascii="Times New Roman" w:hAnsi="Times New Roman" w:cs="Times New Roman"/>
          <w:sz w:val="22"/>
          <w:szCs w:val="22"/>
        </w:rPr>
        <w:t xml:space="preserve"> healthcare, legal recognition, protection from violence, and social affiliation. Care appears here as institutional care and social support</w:t>
      </w:r>
      <w:r w:rsidR="00625AD1" w:rsidRPr="004A378A">
        <w:rPr>
          <w:rFonts w:ascii="Times New Roman" w:hAnsi="Times New Roman" w:cs="Times New Roman"/>
          <w:sz w:val="22"/>
          <w:szCs w:val="22"/>
        </w:rPr>
        <w:t xml:space="preserve"> such as</w:t>
      </w:r>
      <w:r w:rsidR="00560D8B" w:rsidRPr="004A378A">
        <w:rPr>
          <w:rFonts w:ascii="Times New Roman" w:hAnsi="Times New Roman" w:cs="Times New Roman"/>
          <w:sz w:val="22"/>
          <w:szCs w:val="22"/>
        </w:rPr>
        <w:t xml:space="preserve"> access to respectful healthcare, freedom from humiliation in public services, and protection from harm are </w:t>
      </w:r>
      <w:r w:rsidR="00560D8B" w:rsidRPr="004A378A">
        <w:rPr>
          <w:rFonts w:ascii="Times New Roman" w:hAnsi="Times New Roman" w:cs="Times New Roman"/>
          <w:sz w:val="22"/>
          <w:szCs w:val="22"/>
        </w:rPr>
        <w:lastRenderedPageBreak/>
        <w:t>conditions of dignified life that are routinely denied to transgender people</w:t>
      </w:r>
      <w:r w:rsidR="00625AD1" w:rsidRPr="004A378A">
        <w:rPr>
          <w:rFonts w:ascii="Times New Roman" w:hAnsi="Times New Roman" w:cs="Times New Roman"/>
          <w:sz w:val="22"/>
          <w:szCs w:val="22"/>
        </w:rPr>
        <w:t xml:space="preserve">. </w:t>
      </w:r>
      <w:r w:rsidR="00560D8B" w:rsidRPr="004A378A">
        <w:rPr>
          <w:rFonts w:ascii="Times New Roman" w:hAnsi="Times New Roman" w:cs="Times New Roman"/>
          <w:sz w:val="22"/>
          <w:szCs w:val="22"/>
        </w:rPr>
        <w:t>The paper thus speaks to care as infrastructure</w:t>
      </w:r>
      <w:r w:rsidR="00625AD1" w:rsidRPr="004A378A">
        <w:rPr>
          <w:rFonts w:ascii="Times New Roman" w:hAnsi="Times New Roman" w:cs="Times New Roman"/>
          <w:sz w:val="22"/>
          <w:szCs w:val="22"/>
        </w:rPr>
        <w:t xml:space="preserve"> and argues that </w:t>
      </w:r>
      <w:r w:rsidR="00560D8B" w:rsidRPr="004A378A">
        <w:rPr>
          <w:rFonts w:ascii="Times New Roman" w:hAnsi="Times New Roman" w:cs="Times New Roman"/>
          <w:sz w:val="22"/>
          <w:szCs w:val="22"/>
        </w:rPr>
        <w:t>when care institutions are discriminatory or absent, dignity and basic capabilities (bodily integrity, health, affiliation) are systematically undermined.</w:t>
      </w:r>
    </w:p>
    <w:p w14:paraId="7CAB5AAE" w14:textId="2B5F6A30" w:rsidR="00AF0546" w:rsidRPr="004A378A" w:rsidRDefault="00AF0546" w:rsidP="00C66FB4">
      <w:pPr>
        <w:jc w:val="both"/>
        <w:rPr>
          <w:rFonts w:ascii="Times New Roman" w:hAnsi="Times New Roman" w:cs="Times New Roman"/>
          <w:i/>
          <w:iCs/>
          <w:sz w:val="22"/>
          <w:szCs w:val="22"/>
        </w:rPr>
      </w:pPr>
      <w:r w:rsidRPr="004A378A">
        <w:rPr>
          <w:rFonts w:ascii="Times New Roman" w:hAnsi="Times New Roman" w:cs="Times New Roman"/>
          <w:i/>
          <w:iCs/>
          <w:sz w:val="22"/>
          <w:szCs w:val="22"/>
        </w:rPr>
        <w:t>Empowerment as Uneven, Partial, and Politically Constrained</w:t>
      </w:r>
    </w:p>
    <w:p w14:paraId="5EFF29E8" w14:textId="36A5BC22" w:rsidR="00A72C1A" w:rsidRPr="004A378A" w:rsidRDefault="005C2569" w:rsidP="00C66FB4">
      <w:pPr>
        <w:jc w:val="both"/>
        <w:rPr>
          <w:rFonts w:ascii="Times New Roman" w:hAnsi="Times New Roman" w:cs="Times New Roman"/>
          <w:sz w:val="22"/>
          <w:szCs w:val="22"/>
        </w:rPr>
      </w:pPr>
      <w:r w:rsidRPr="004A378A">
        <w:rPr>
          <w:rFonts w:ascii="Times New Roman" w:hAnsi="Times New Roman" w:cs="Times New Roman"/>
          <w:sz w:val="22"/>
          <w:szCs w:val="22"/>
        </w:rPr>
        <w:t xml:space="preserve">Dominant gender equality frameworks often conceptualise empowerment as a linear process, defined through measurable gains across a set of standardised areas such as health, political participation, and labour market inclusion, embedded in global policy architectures such as the SDGs and in widely used gender indices and monitoring tools (e.g. the Global Gender Gap Index, UNDP’s Gender Inequality Index). These approaches have been instrumental in making gendered inequalities visible within policy arenas, yet they may overlook the structural and political conditions that shape how participation is experienced and with what consequences. </w:t>
      </w:r>
      <w:r w:rsidR="00A72C1A" w:rsidRPr="004A378A">
        <w:rPr>
          <w:rFonts w:ascii="Times New Roman" w:hAnsi="Times New Roman" w:cs="Times New Roman"/>
          <w:sz w:val="22"/>
          <w:szCs w:val="22"/>
        </w:rPr>
        <w:t xml:space="preserve">Contributions </w:t>
      </w:r>
      <w:r w:rsidRPr="004A378A">
        <w:rPr>
          <w:rFonts w:ascii="Times New Roman" w:hAnsi="Times New Roman" w:cs="Times New Roman"/>
          <w:sz w:val="22"/>
          <w:szCs w:val="22"/>
        </w:rPr>
        <w:t>in these collection</w:t>
      </w:r>
      <w:r w:rsidR="00A72C1A" w:rsidRPr="004A378A">
        <w:rPr>
          <w:rFonts w:ascii="Times New Roman" w:hAnsi="Times New Roman" w:cs="Times New Roman"/>
          <w:sz w:val="22"/>
          <w:szCs w:val="22"/>
        </w:rPr>
        <w:t xml:space="preserve"> caution against linear narratives of empowerment that equate participation in work or politics with expanded freedom or social transformation. They treat economic activity and political inclusion as uneven, partial, and politically constrained, showing how the effects of participation are mediated by institutional arrangements, gendered power relations, and wider political-economic conditions. </w:t>
      </w:r>
      <w:r w:rsidRPr="004A378A">
        <w:rPr>
          <w:rFonts w:ascii="Times New Roman" w:hAnsi="Times New Roman" w:cs="Times New Roman"/>
          <w:sz w:val="22"/>
          <w:szCs w:val="22"/>
        </w:rPr>
        <w:t>Thus, their analyses</w:t>
      </w:r>
      <w:r w:rsidR="00A72C1A" w:rsidRPr="004A378A">
        <w:rPr>
          <w:rFonts w:ascii="Times New Roman" w:hAnsi="Times New Roman" w:cs="Times New Roman"/>
          <w:sz w:val="22"/>
          <w:szCs w:val="22"/>
        </w:rPr>
        <w:t xml:space="preserve"> draw attention to the gap between formal inclusion and lived experience, highlighting how gains in representation or labour market participation may coexist with persistent forms of precarity, dependency, and constraint.</w:t>
      </w:r>
    </w:p>
    <w:p w14:paraId="1944C2B8" w14:textId="1ABFF88B" w:rsidR="00164FFA" w:rsidRPr="004A378A" w:rsidRDefault="00164FFA" w:rsidP="00C66FB4">
      <w:pPr>
        <w:jc w:val="both"/>
        <w:rPr>
          <w:rFonts w:ascii="Times New Roman" w:hAnsi="Times New Roman" w:cs="Times New Roman"/>
          <w:sz w:val="22"/>
          <w:szCs w:val="22"/>
        </w:rPr>
      </w:pPr>
      <w:proofErr w:type="spellStart"/>
      <w:r w:rsidRPr="004A378A">
        <w:rPr>
          <w:rFonts w:ascii="Times New Roman" w:hAnsi="Times New Roman" w:cs="Times New Roman"/>
          <w:sz w:val="22"/>
          <w:szCs w:val="22"/>
        </w:rPr>
        <w:t>Hornset</w:t>
      </w:r>
      <w:proofErr w:type="spellEnd"/>
      <w:r w:rsidRPr="004A378A">
        <w:rPr>
          <w:rFonts w:ascii="Times New Roman" w:hAnsi="Times New Roman" w:cs="Times New Roman"/>
          <w:sz w:val="22"/>
          <w:szCs w:val="22"/>
        </w:rPr>
        <w:t xml:space="preserve"> and de Soysa’s</w:t>
      </w:r>
      <w:r w:rsidR="00B857DE" w:rsidRPr="004A378A">
        <w:rPr>
          <w:rFonts w:ascii="Times New Roman" w:hAnsi="Times New Roman" w:cs="Times New Roman"/>
          <w:sz w:val="22"/>
          <w:szCs w:val="22"/>
        </w:rPr>
        <w:t xml:space="preserve"> (2022)</w:t>
      </w:r>
      <w:r w:rsidRPr="004A378A">
        <w:rPr>
          <w:rFonts w:ascii="Times New Roman" w:hAnsi="Times New Roman" w:cs="Times New Roman"/>
          <w:sz w:val="22"/>
          <w:szCs w:val="22"/>
        </w:rPr>
        <w:t xml:space="preserve"> large-N analysis of women’s political empowerment and human development offers robust evidence of positive associations between women’s political participation and improvements in education and child health outcomes. Their findings provide important empirical support for claims that gender-inclusive political institutions are linked to broader developmental gains. However, when situated alongside the more fine-grained empirical work in this collection, the analysis also invites reflection on the uneven translation of political empowerment into everyday freedoms. Aggregate improvements in human development indicators may coexist with persistent gendered constraints at household and community levels.</w:t>
      </w:r>
    </w:p>
    <w:p w14:paraId="7DEEDE36" w14:textId="73907C9E" w:rsidR="00164FFA" w:rsidRPr="004A378A" w:rsidRDefault="00164FFA" w:rsidP="00C66FB4">
      <w:pPr>
        <w:jc w:val="both"/>
        <w:rPr>
          <w:rFonts w:ascii="Times New Roman" w:hAnsi="Times New Roman" w:cs="Times New Roman"/>
          <w:sz w:val="22"/>
          <w:szCs w:val="22"/>
        </w:rPr>
      </w:pPr>
      <w:r w:rsidRPr="004A378A">
        <w:rPr>
          <w:rFonts w:ascii="Times New Roman" w:hAnsi="Times New Roman" w:cs="Times New Roman"/>
          <w:sz w:val="22"/>
          <w:szCs w:val="22"/>
        </w:rPr>
        <w:t>Fincham’s</w:t>
      </w:r>
      <w:r w:rsidR="0042461E" w:rsidRPr="004A378A">
        <w:rPr>
          <w:rFonts w:ascii="Times New Roman" w:hAnsi="Times New Roman" w:cs="Times New Roman"/>
          <w:sz w:val="22"/>
          <w:szCs w:val="22"/>
        </w:rPr>
        <w:t xml:space="preserve"> (2025)</w:t>
      </w:r>
      <w:r w:rsidRPr="004A378A">
        <w:rPr>
          <w:rFonts w:ascii="Times New Roman" w:hAnsi="Times New Roman" w:cs="Times New Roman"/>
          <w:sz w:val="22"/>
          <w:szCs w:val="22"/>
        </w:rPr>
        <w:t xml:space="preserve"> qualitative study of women’s self-employment in informal settlements in Delhi illustrates the limits of economic participation as a pathway to empowerment. While engagement in self-employment can enhance women’s capacity to manage immediate financial challenges, the structural conditions shaping informal labour markets often limit the extent to which such participation translates into durable social and economic transformation. Gendered divisions of labour, care responsibilities, and insecure working conditions continue to constrain women’s ability to convert income into expanded choice and long-term well-being. </w:t>
      </w:r>
    </w:p>
    <w:p w14:paraId="0D3610AE" w14:textId="16BCE31E" w:rsidR="000C7110" w:rsidRPr="004A378A" w:rsidRDefault="000C7110" w:rsidP="00C66FB4">
      <w:pPr>
        <w:jc w:val="both"/>
        <w:rPr>
          <w:rFonts w:ascii="Times New Roman" w:hAnsi="Times New Roman" w:cs="Times New Roman"/>
          <w:i/>
          <w:iCs/>
          <w:sz w:val="22"/>
          <w:szCs w:val="22"/>
        </w:rPr>
      </w:pPr>
      <w:r w:rsidRPr="004A378A">
        <w:rPr>
          <w:rFonts w:ascii="Times New Roman" w:hAnsi="Times New Roman" w:cs="Times New Roman"/>
          <w:i/>
          <w:iCs/>
          <w:sz w:val="22"/>
          <w:szCs w:val="22"/>
        </w:rPr>
        <w:t>Living with Structural Violence: Crisis, Conflict, and Gendered Insecurity</w:t>
      </w:r>
    </w:p>
    <w:p w14:paraId="2096551A" w14:textId="282784DC" w:rsidR="000C7110" w:rsidRPr="004A378A" w:rsidRDefault="0042630B" w:rsidP="00C66FB4">
      <w:pPr>
        <w:jc w:val="both"/>
        <w:rPr>
          <w:rFonts w:ascii="Times New Roman" w:hAnsi="Times New Roman" w:cs="Times New Roman"/>
          <w:sz w:val="22"/>
          <w:szCs w:val="22"/>
        </w:rPr>
      </w:pPr>
      <w:r w:rsidRPr="004A378A">
        <w:rPr>
          <w:rFonts w:ascii="Times New Roman" w:hAnsi="Times New Roman" w:cs="Times New Roman"/>
          <w:sz w:val="22"/>
          <w:szCs w:val="22"/>
        </w:rPr>
        <w:t>Structural violence, conflict, and institutional failure further condition how empowerment is lived, negotiated, and constrained in contexts of crisis and insecurity</w:t>
      </w:r>
      <w:r w:rsidR="00D843F0" w:rsidRPr="004A378A">
        <w:rPr>
          <w:rFonts w:ascii="Times New Roman" w:hAnsi="Times New Roman" w:cs="Times New Roman"/>
          <w:sz w:val="22"/>
          <w:szCs w:val="22"/>
        </w:rPr>
        <w:t xml:space="preserve">. The papers here situate gender equality within ongoing harm and precarity, </w:t>
      </w:r>
      <w:r w:rsidR="00AB1A34">
        <w:rPr>
          <w:rFonts w:ascii="Times New Roman" w:hAnsi="Times New Roman" w:cs="Times New Roman"/>
          <w:sz w:val="22"/>
          <w:szCs w:val="22"/>
        </w:rPr>
        <w:t>demonstrating</w:t>
      </w:r>
      <w:r w:rsidR="00D843F0" w:rsidRPr="004A378A">
        <w:rPr>
          <w:rFonts w:ascii="Times New Roman" w:hAnsi="Times New Roman" w:cs="Times New Roman"/>
          <w:sz w:val="22"/>
          <w:szCs w:val="22"/>
        </w:rPr>
        <w:t xml:space="preserve"> the need for policy frameworks that treat crisis as a constitutive condition of many women’s lives rather than as an exceptional disruption to otherwise stable social orders.</w:t>
      </w:r>
    </w:p>
    <w:p w14:paraId="44ACD8E4" w14:textId="4D758F3F" w:rsidR="000C4832" w:rsidRPr="004A378A" w:rsidRDefault="00C250FE" w:rsidP="00C66FB4">
      <w:pPr>
        <w:jc w:val="both"/>
        <w:rPr>
          <w:rFonts w:ascii="Times New Roman" w:hAnsi="Times New Roman" w:cs="Times New Roman"/>
          <w:sz w:val="22"/>
          <w:szCs w:val="22"/>
        </w:rPr>
      </w:pPr>
      <w:r w:rsidRPr="004A378A">
        <w:rPr>
          <w:rFonts w:ascii="Times New Roman" w:hAnsi="Times New Roman" w:cs="Times New Roman"/>
          <w:sz w:val="22"/>
          <w:szCs w:val="22"/>
        </w:rPr>
        <w:t xml:space="preserve">Khare and Suresh’s (2024) analysis of sanitation “slippage” in rural India exposes how policy success narratives can obscure women’s ongoing experiences of gendered insecurity. Despite the provision of sanitation infrastructure, women’s continued practice of open defecation is shaped by domestic violence, surveillance, shame, restrictive gender norms, and state messaging around honour, embedding insecurity in everyday family and cultural relations. The paper reframes sanitation as a security issue, </w:t>
      </w:r>
      <w:r w:rsidRPr="004A378A">
        <w:rPr>
          <w:rFonts w:ascii="Times New Roman" w:hAnsi="Times New Roman" w:cs="Times New Roman"/>
          <w:sz w:val="22"/>
          <w:szCs w:val="22"/>
        </w:rPr>
        <w:lastRenderedPageBreak/>
        <w:t>where women’s bodily safety, privacy, and dignity remain at risk, demonstrating how technocratic policy success can coexist with the reproduction of everyday harm under conditions of constrained agency.</w:t>
      </w:r>
    </w:p>
    <w:p w14:paraId="556A9416" w14:textId="77777777" w:rsidR="000C4832" w:rsidRDefault="000C4832" w:rsidP="00C66FB4">
      <w:pPr>
        <w:jc w:val="both"/>
        <w:rPr>
          <w:rFonts w:ascii="Times New Roman" w:hAnsi="Times New Roman" w:cs="Times New Roman"/>
          <w:sz w:val="22"/>
          <w:szCs w:val="22"/>
        </w:rPr>
      </w:pPr>
      <w:proofErr w:type="spellStart"/>
      <w:r w:rsidRPr="004A378A">
        <w:rPr>
          <w:rFonts w:ascii="Times New Roman" w:hAnsi="Times New Roman" w:cs="Times New Roman"/>
          <w:sz w:val="22"/>
          <w:szCs w:val="22"/>
        </w:rPr>
        <w:t>Horbachevska-Konstankevych</w:t>
      </w:r>
      <w:proofErr w:type="spellEnd"/>
      <w:r w:rsidRPr="004A378A">
        <w:rPr>
          <w:rFonts w:ascii="Times New Roman" w:hAnsi="Times New Roman" w:cs="Times New Roman"/>
          <w:sz w:val="22"/>
          <w:szCs w:val="22"/>
        </w:rPr>
        <w:t xml:space="preserve"> and Uvarova’s (2026) conceptual intervention on heightened human rights due diligence in wartime Ukraine shows how crisis contexts reshape women’s capabilities. The authors demonstrate that business and human rights frameworks designed for peacetime are inadequate for addressing the intensified, gender-specific risks women face during conflict and post-conflict recovery, and they call for a shift from harm-avoidance towards the proactive enhancement of women’s rights and freedoms. Security here extends beyond protection from violence to include safeguards against institutional neglect, such as evacuation policies, labour protections, healthcare access, and corporate practices that fail to account for </w:t>
      </w:r>
      <w:proofErr w:type="gramStart"/>
      <w:r w:rsidRPr="004A378A">
        <w:rPr>
          <w:rFonts w:ascii="Times New Roman" w:hAnsi="Times New Roman" w:cs="Times New Roman"/>
          <w:sz w:val="22"/>
          <w:szCs w:val="22"/>
        </w:rPr>
        <w:t>women’s</w:t>
      </w:r>
      <w:proofErr w:type="gramEnd"/>
      <w:r w:rsidRPr="004A378A">
        <w:rPr>
          <w:rFonts w:ascii="Times New Roman" w:hAnsi="Times New Roman" w:cs="Times New Roman"/>
          <w:sz w:val="22"/>
          <w:szCs w:val="22"/>
        </w:rPr>
        <w:t xml:space="preserve"> compounded responsibilities and exposure to harm.</w:t>
      </w:r>
    </w:p>
    <w:p w14:paraId="33C85070" w14:textId="71CB043E" w:rsidR="00E16CFE" w:rsidRDefault="00E16CFE" w:rsidP="00C66FB4">
      <w:pPr>
        <w:jc w:val="both"/>
        <w:rPr>
          <w:rFonts w:ascii="Times New Roman" w:hAnsi="Times New Roman" w:cs="Times New Roman"/>
          <w:sz w:val="22"/>
          <w:szCs w:val="22"/>
        </w:rPr>
      </w:pPr>
      <w:r w:rsidRPr="00E16CFE">
        <w:rPr>
          <w:rFonts w:ascii="Times New Roman" w:hAnsi="Times New Roman" w:cs="Times New Roman"/>
          <w:sz w:val="22"/>
          <w:szCs w:val="22"/>
        </w:rPr>
        <w:t xml:space="preserve">As this collection demonstrates, questions of gender equality remain central to debates on human development and capabilities, even as the conditions shaping women’s lives continue to be characterised by deep and uneven forms of insecurity, precarity, and unfreedom. </w:t>
      </w:r>
      <w:r w:rsidR="00AB1A34" w:rsidRPr="00AB1A34">
        <w:rPr>
          <w:rFonts w:ascii="Times New Roman" w:hAnsi="Times New Roman" w:cs="Times New Roman"/>
          <w:sz w:val="22"/>
          <w:szCs w:val="22"/>
        </w:rPr>
        <w:t xml:space="preserve">The contributions brought together here </w:t>
      </w:r>
      <w:r w:rsidR="00AB1A34">
        <w:rPr>
          <w:rFonts w:ascii="Times New Roman" w:hAnsi="Times New Roman" w:cs="Times New Roman"/>
          <w:sz w:val="22"/>
          <w:szCs w:val="22"/>
        </w:rPr>
        <w:t>show</w:t>
      </w:r>
      <w:r w:rsidR="00AB1A34" w:rsidRPr="00AB1A34">
        <w:rPr>
          <w:rFonts w:ascii="Times New Roman" w:hAnsi="Times New Roman" w:cs="Times New Roman"/>
          <w:sz w:val="22"/>
          <w:szCs w:val="22"/>
        </w:rPr>
        <w:t xml:space="preserve"> the importance of ongoing scholarship attentive to local contexts and lived realities, and to the everyday production of inequality, alongside women’s agency, collective organising, and struggles for dignity and justice.</w:t>
      </w:r>
    </w:p>
    <w:p w14:paraId="560EBD70" w14:textId="19FED636" w:rsidR="0066642B" w:rsidRPr="00AB1A34" w:rsidRDefault="000C4832" w:rsidP="00C66FB4">
      <w:pPr>
        <w:jc w:val="both"/>
        <w:rPr>
          <w:sz w:val="22"/>
          <w:szCs w:val="22"/>
        </w:rPr>
      </w:pPr>
      <w:r w:rsidRPr="004A378A">
        <w:rPr>
          <w:rFonts w:ascii="Times New Roman" w:hAnsi="Times New Roman" w:cs="Times New Roman"/>
          <w:vanish/>
          <w:sz w:val="22"/>
          <w:szCs w:val="22"/>
        </w:rPr>
        <w:t>Bottom of Form</w:t>
      </w:r>
    </w:p>
    <w:p w14:paraId="6BF9CF0E" w14:textId="34E24529" w:rsidR="00164FFA" w:rsidRPr="004A378A" w:rsidRDefault="00B363B5" w:rsidP="00C66FB4">
      <w:pPr>
        <w:jc w:val="both"/>
        <w:rPr>
          <w:rFonts w:ascii="Times New Roman" w:hAnsi="Times New Roman" w:cs="Times New Roman"/>
          <w:b/>
          <w:bCs/>
          <w:sz w:val="22"/>
          <w:szCs w:val="22"/>
        </w:rPr>
      </w:pPr>
      <w:r w:rsidRPr="004A378A">
        <w:rPr>
          <w:rFonts w:ascii="Times New Roman" w:hAnsi="Times New Roman" w:cs="Times New Roman"/>
          <w:b/>
          <w:bCs/>
          <w:sz w:val="22"/>
          <w:szCs w:val="22"/>
        </w:rPr>
        <w:t>The collection of articles</w:t>
      </w:r>
    </w:p>
    <w:p w14:paraId="0BE989A5" w14:textId="6E0EBB60" w:rsidR="0042461E" w:rsidRPr="004A378A" w:rsidRDefault="0042461E" w:rsidP="00C66FB4">
      <w:pPr>
        <w:jc w:val="both"/>
        <w:rPr>
          <w:rFonts w:ascii="Times New Roman" w:hAnsi="Times New Roman" w:cs="Times New Roman"/>
          <w:sz w:val="22"/>
          <w:szCs w:val="22"/>
        </w:rPr>
      </w:pPr>
      <w:r w:rsidRPr="004A378A">
        <w:rPr>
          <w:rFonts w:ascii="Times New Roman" w:hAnsi="Times New Roman" w:cs="Times New Roman"/>
          <w:sz w:val="22"/>
          <w:szCs w:val="22"/>
        </w:rPr>
        <w:t xml:space="preserve">Fincham, K. (2025). Women’s Self-Employment in Informal Settlements in Delhi, India: A Pathway to </w:t>
      </w:r>
      <w:proofErr w:type="gramStart"/>
      <w:r w:rsidRPr="004A378A">
        <w:rPr>
          <w:rFonts w:ascii="Times New Roman" w:hAnsi="Times New Roman" w:cs="Times New Roman"/>
          <w:sz w:val="22"/>
          <w:szCs w:val="22"/>
        </w:rPr>
        <w:t>Empowerment?.</w:t>
      </w:r>
      <w:proofErr w:type="gramEnd"/>
      <w:r w:rsidRPr="004A378A">
        <w:rPr>
          <w:rFonts w:ascii="Times New Roman" w:hAnsi="Times New Roman" w:cs="Times New Roman"/>
          <w:sz w:val="22"/>
          <w:szCs w:val="22"/>
        </w:rPr>
        <w:t>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1-27.</w:t>
      </w:r>
    </w:p>
    <w:p w14:paraId="03CA9264" w14:textId="27879A81" w:rsidR="00F23828" w:rsidRPr="004A378A" w:rsidRDefault="00F23828" w:rsidP="00C66FB4">
      <w:pPr>
        <w:jc w:val="both"/>
        <w:rPr>
          <w:rFonts w:ascii="Times New Roman" w:hAnsi="Times New Roman" w:cs="Times New Roman"/>
          <w:sz w:val="22"/>
          <w:szCs w:val="22"/>
        </w:rPr>
      </w:pPr>
      <w:proofErr w:type="spellStart"/>
      <w:r w:rsidRPr="004A378A">
        <w:rPr>
          <w:rFonts w:ascii="Times New Roman" w:hAnsi="Times New Roman" w:cs="Times New Roman"/>
          <w:sz w:val="22"/>
          <w:szCs w:val="22"/>
        </w:rPr>
        <w:t>Horbachevska-Konstankevych</w:t>
      </w:r>
      <w:proofErr w:type="spellEnd"/>
      <w:r w:rsidRPr="004A378A">
        <w:rPr>
          <w:rFonts w:ascii="Times New Roman" w:hAnsi="Times New Roman" w:cs="Times New Roman"/>
          <w:sz w:val="22"/>
          <w:szCs w:val="22"/>
        </w:rPr>
        <w:t>, T., &amp; Uvarova, O. (2026). Reimagining Heightened Human Rights Due Diligence: A Capability Approach Informed by Women’s Experiences in Wartime Ukraine.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1-25.</w:t>
      </w:r>
    </w:p>
    <w:p w14:paraId="61611479" w14:textId="678210C7" w:rsidR="00972F58" w:rsidRPr="004A378A" w:rsidRDefault="00972F58" w:rsidP="00C66FB4">
      <w:pPr>
        <w:jc w:val="both"/>
        <w:rPr>
          <w:rFonts w:ascii="Times New Roman" w:hAnsi="Times New Roman" w:cs="Times New Roman"/>
          <w:sz w:val="22"/>
          <w:szCs w:val="22"/>
        </w:rPr>
      </w:pPr>
      <w:proofErr w:type="spellStart"/>
      <w:r w:rsidRPr="004A378A">
        <w:rPr>
          <w:rFonts w:ascii="Times New Roman" w:hAnsi="Times New Roman" w:cs="Times New Roman"/>
          <w:sz w:val="22"/>
          <w:szCs w:val="22"/>
        </w:rPr>
        <w:t>Hornset</w:t>
      </w:r>
      <w:proofErr w:type="spellEnd"/>
      <w:r w:rsidRPr="004A378A">
        <w:rPr>
          <w:rFonts w:ascii="Times New Roman" w:hAnsi="Times New Roman" w:cs="Times New Roman"/>
          <w:sz w:val="22"/>
          <w:szCs w:val="22"/>
        </w:rPr>
        <w:t>, N., &amp; de Soysa, I. (2022). Does empowering women in politics boost human development? An empirical analysis, 1960–2018.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23</w:t>
      </w:r>
      <w:r w:rsidRPr="004A378A">
        <w:rPr>
          <w:rFonts w:ascii="Times New Roman" w:hAnsi="Times New Roman" w:cs="Times New Roman"/>
          <w:sz w:val="22"/>
          <w:szCs w:val="22"/>
        </w:rPr>
        <w:t>(2), 291-318.</w:t>
      </w:r>
    </w:p>
    <w:p w14:paraId="50599119" w14:textId="2C212102" w:rsidR="00B363B5" w:rsidRPr="004A378A" w:rsidRDefault="00A0180E" w:rsidP="00C66FB4">
      <w:pPr>
        <w:jc w:val="both"/>
        <w:rPr>
          <w:rFonts w:ascii="Times New Roman" w:hAnsi="Times New Roman" w:cs="Times New Roman"/>
          <w:sz w:val="22"/>
          <w:szCs w:val="22"/>
        </w:rPr>
      </w:pPr>
      <w:r w:rsidRPr="004A378A">
        <w:rPr>
          <w:rFonts w:ascii="Times New Roman" w:hAnsi="Times New Roman" w:cs="Times New Roman"/>
          <w:sz w:val="22"/>
          <w:szCs w:val="22"/>
        </w:rPr>
        <w:t>Khare, K., &amp; Suresh, L. (2024). Women and invisible boundaries: A case of slippage in sanitation in two Gram Panchayats, Shravasti, UP, India.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25</w:t>
      </w:r>
      <w:r w:rsidRPr="004A378A">
        <w:rPr>
          <w:rFonts w:ascii="Times New Roman" w:hAnsi="Times New Roman" w:cs="Times New Roman"/>
          <w:sz w:val="22"/>
          <w:szCs w:val="22"/>
        </w:rPr>
        <w:t>(2), 281-304.</w:t>
      </w:r>
    </w:p>
    <w:p w14:paraId="4CB41A12" w14:textId="7BCED825" w:rsidR="00B363B5" w:rsidRPr="004A378A" w:rsidRDefault="00B363B5" w:rsidP="00C66FB4">
      <w:pPr>
        <w:jc w:val="both"/>
        <w:rPr>
          <w:rFonts w:ascii="Times New Roman" w:hAnsi="Times New Roman" w:cs="Times New Roman"/>
          <w:sz w:val="22"/>
          <w:szCs w:val="22"/>
        </w:rPr>
      </w:pPr>
      <w:r w:rsidRPr="004A378A">
        <w:rPr>
          <w:rFonts w:ascii="Times New Roman" w:hAnsi="Times New Roman" w:cs="Times New Roman"/>
          <w:sz w:val="22"/>
          <w:szCs w:val="22"/>
        </w:rPr>
        <w:t>Loots, S., &amp; Walker, M. (2016). A capabilities-based gender equality policy for higher education: Conceptual and methodological considerations.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17</w:t>
      </w:r>
      <w:r w:rsidRPr="004A378A">
        <w:rPr>
          <w:rFonts w:ascii="Times New Roman" w:hAnsi="Times New Roman" w:cs="Times New Roman"/>
          <w:sz w:val="22"/>
          <w:szCs w:val="22"/>
        </w:rPr>
        <w:t>(2), 260-277.</w:t>
      </w:r>
    </w:p>
    <w:p w14:paraId="1A9C380C" w14:textId="19D18495" w:rsidR="00D24EA4" w:rsidRPr="004A378A" w:rsidRDefault="008A41E0" w:rsidP="00C66FB4">
      <w:pPr>
        <w:jc w:val="both"/>
        <w:rPr>
          <w:rFonts w:ascii="Times New Roman" w:hAnsi="Times New Roman" w:cs="Times New Roman"/>
          <w:sz w:val="22"/>
          <w:szCs w:val="22"/>
        </w:rPr>
      </w:pPr>
      <w:r w:rsidRPr="004A378A">
        <w:rPr>
          <w:rFonts w:ascii="Times New Roman" w:hAnsi="Times New Roman" w:cs="Times New Roman"/>
          <w:sz w:val="22"/>
          <w:szCs w:val="22"/>
        </w:rPr>
        <w:t>Pérez Piñán, A., &amp; Vibert, E. (2019). The view from the farm: Gendered contradictions of the measurement imperative in global goals.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20</w:t>
      </w:r>
      <w:r w:rsidRPr="004A378A">
        <w:rPr>
          <w:rFonts w:ascii="Times New Roman" w:hAnsi="Times New Roman" w:cs="Times New Roman"/>
          <w:sz w:val="22"/>
          <w:szCs w:val="22"/>
        </w:rPr>
        <w:t>(4), 436-450.</w:t>
      </w:r>
    </w:p>
    <w:p w14:paraId="1270EEB1" w14:textId="76C0A931" w:rsidR="00D45E5F" w:rsidRPr="004A378A" w:rsidRDefault="00D45E5F" w:rsidP="00C66FB4">
      <w:pPr>
        <w:jc w:val="both"/>
        <w:rPr>
          <w:rFonts w:ascii="Times New Roman" w:hAnsi="Times New Roman" w:cs="Times New Roman"/>
          <w:sz w:val="22"/>
          <w:szCs w:val="22"/>
        </w:rPr>
      </w:pPr>
      <w:r w:rsidRPr="004A378A">
        <w:rPr>
          <w:rFonts w:ascii="Times New Roman" w:hAnsi="Times New Roman" w:cs="Times New Roman"/>
          <w:sz w:val="22"/>
          <w:szCs w:val="22"/>
        </w:rPr>
        <w:t>Reed, R. (2020). Dignity in transgender lives: a capabilities approach.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21</w:t>
      </w:r>
      <w:r w:rsidRPr="004A378A">
        <w:rPr>
          <w:rFonts w:ascii="Times New Roman" w:hAnsi="Times New Roman" w:cs="Times New Roman"/>
          <w:sz w:val="22"/>
          <w:szCs w:val="22"/>
        </w:rPr>
        <w:t>(1), 36-48.</w:t>
      </w:r>
    </w:p>
    <w:p w14:paraId="5F03E544" w14:textId="65B209B1" w:rsidR="00AE4372" w:rsidRPr="004A378A" w:rsidRDefault="00AE4372" w:rsidP="00C66FB4">
      <w:pPr>
        <w:jc w:val="both"/>
        <w:rPr>
          <w:rFonts w:ascii="Times New Roman" w:hAnsi="Times New Roman" w:cs="Times New Roman"/>
          <w:sz w:val="22"/>
          <w:szCs w:val="22"/>
        </w:rPr>
      </w:pPr>
      <w:r w:rsidRPr="004A378A">
        <w:rPr>
          <w:rFonts w:ascii="Times New Roman" w:hAnsi="Times New Roman" w:cs="Times New Roman"/>
          <w:sz w:val="22"/>
          <w:szCs w:val="22"/>
        </w:rPr>
        <w:t>Riddle, K. C. (2019). Reasoned choice or performative care? Women’s transformative peacebuilding identities in Manipur, India.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20</w:t>
      </w:r>
      <w:r w:rsidRPr="004A378A">
        <w:rPr>
          <w:rFonts w:ascii="Times New Roman" w:hAnsi="Times New Roman" w:cs="Times New Roman"/>
          <w:sz w:val="22"/>
          <w:szCs w:val="22"/>
        </w:rPr>
        <w:t>(1), 54-68.</w:t>
      </w:r>
    </w:p>
    <w:p w14:paraId="1FBB14BD" w14:textId="40A244A8" w:rsidR="00F24764" w:rsidRPr="004A378A" w:rsidRDefault="00F24764" w:rsidP="00C66FB4">
      <w:pPr>
        <w:jc w:val="both"/>
        <w:rPr>
          <w:rFonts w:ascii="Times New Roman" w:hAnsi="Times New Roman" w:cs="Times New Roman"/>
          <w:sz w:val="22"/>
          <w:szCs w:val="22"/>
        </w:rPr>
      </w:pPr>
      <w:r w:rsidRPr="004A378A">
        <w:rPr>
          <w:rFonts w:ascii="Times New Roman" w:hAnsi="Times New Roman" w:cs="Times New Roman"/>
          <w:sz w:val="22"/>
          <w:szCs w:val="22"/>
        </w:rPr>
        <w:lastRenderedPageBreak/>
        <w:t xml:space="preserve">Seeberg, V., &amp; Luo, S. (2018). Migrating to the City in </w:t>
      </w:r>
      <w:proofErr w:type="gramStart"/>
      <w:r w:rsidRPr="004A378A">
        <w:rPr>
          <w:rFonts w:ascii="Times New Roman" w:hAnsi="Times New Roman" w:cs="Times New Roman"/>
          <w:sz w:val="22"/>
          <w:szCs w:val="22"/>
        </w:rPr>
        <w:t>north West</w:t>
      </w:r>
      <w:proofErr w:type="gramEnd"/>
      <w:r w:rsidRPr="004A378A">
        <w:rPr>
          <w:rFonts w:ascii="Times New Roman" w:hAnsi="Times New Roman" w:cs="Times New Roman"/>
          <w:sz w:val="22"/>
          <w:szCs w:val="22"/>
        </w:rPr>
        <w:t xml:space="preserve"> China: young rural Women’s empowerment.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19</w:t>
      </w:r>
      <w:r w:rsidRPr="004A378A">
        <w:rPr>
          <w:rFonts w:ascii="Times New Roman" w:hAnsi="Times New Roman" w:cs="Times New Roman"/>
          <w:sz w:val="22"/>
          <w:szCs w:val="22"/>
        </w:rPr>
        <w:t>(3), 289-307.</w:t>
      </w:r>
    </w:p>
    <w:p w14:paraId="1B86A3FC" w14:textId="42849AC3" w:rsidR="00F23828" w:rsidRPr="004A378A" w:rsidRDefault="00D24EA4" w:rsidP="00C66FB4">
      <w:pPr>
        <w:jc w:val="both"/>
        <w:rPr>
          <w:rFonts w:ascii="Times New Roman" w:hAnsi="Times New Roman" w:cs="Times New Roman"/>
          <w:sz w:val="22"/>
          <w:szCs w:val="22"/>
        </w:rPr>
      </w:pPr>
      <w:proofErr w:type="spellStart"/>
      <w:r w:rsidRPr="004A378A">
        <w:rPr>
          <w:rFonts w:ascii="Times New Roman" w:hAnsi="Times New Roman" w:cs="Times New Roman"/>
          <w:sz w:val="22"/>
          <w:szCs w:val="22"/>
        </w:rPr>
        <w:t>Unterhalter</w:t>
      </w:r>
      <w:proofErr w:type="spellEnd"/>
      <w:r w:rsidRPr="004A378A">
        <w:rPr>
          <w:rFonts w:ascii="Times New Roman" w:hAnsi="Times New Roman" w:cs="Times New Roman"/>
          <w:sz w:val="22"/>
          <w:szCs w:val="22"/>
        </w:rPr>
        <w:t>, E., Longlands, H., &amp; Peppin Vaughan, R. (2022). Gender and intersecting inequalities in education: Reflections on a framework for measurement.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23</w:t>
      </w:r>
      <w:r w:rsidRPr="004A378A">
        <w:rPr>
          <w:rFonts w:ascii="Times New Roman" w:hAnsi="Times New Roman" w:cs="Times New Roman"/>
          <w:sz w:val="22"/>
          <w:szCs w:val="22"/>
        </w:rPr>
        <w:t>(4), 509-538.</w:t>
      </w:r>
    </w:p>
    <w:p w14:paraId="575C750A" w14:textId="5D446256" w:rsidR="009F1D5D" w:rsidRPr="004A378A" w:rsidRDefault="009F1D5D" w:rsidP="00C66FB4">
      <w:pPr>
        <w:jc w:val="both"/>
        <w:rPr>
          <w:rFonts w:ascii="Times New Roman" w:hAnsi="Times New Roman" w:cs="Times New Roman"/>
          <w:sz w:val="22"/>
          <w:szCs w:val="22"/>
        </w:rPr>
      </w:pPr>
      <w:r w:rsidRPr="004A378A">
        <w:rPr>
          <w:rFonts w:ascii="Times New Roman" w:hAnsi="Times New Roman" w:cs="Times New Roman"/>
          <w:sz w:val="22"/>
          <w:szCs w:val="22"/>
        </w:rPr>
        <w:t xml:space="preserve">Vansteenkiste, J., &amp; Schuller, M. (2018). The gendered space of capabilities and </w:t>
      </w:r>
      <w:proofErr w:type="spellStart"/>
      <w:r w:rsidRPr="004A378A">
        <w:rPr>
          <w:rFonts w:ascii="Times New Roman" w:hAnsi="Times New Roman" w:cs="Times New Roman"/>
          <w:sz w:val="22"/>
          <w:szCs w:val="22"/>
        </w:rPr>
        <w:t>functionings</w:t>
      </w:r>
      <w:proofErr w:type="spellEnd"/>
      <w:r w:rsidRPr="004A378A">
        <w:rPr>
          <w:rFonts w:ascii="Times New Roman" w:hAnsi="Times New Roman" w:cs="Times New Roman"/>
          <w:sz w:val="22"/>
          <w:szCs w:val="22"/>
        </w:rPr>
        <w:t>: Lessons from Haitian community-based organizations. </w:t>
      </w:r>
      <w:r w:rsidRPr="004A378A">
        <w:rPr>
          <w:rFonts w:ascii="Times New Roman" w:hAnsi="Times New Roman" w:cs="Times New Roman"/>
          <w:i/>
          <w:iCs/>
          <w:sz w:val="22"/>
          <w:szCs w:val="22"/>
        </w:rPr>
        <w:t>Journal of Human Development and Capabilities</w:t>
      </w:r>
      <w:r w:rsidRPr="004A378A">
        <w:rPr>
          <w:rFonts w:ascii="Times New Roman" w:hAnsi="Times New Roman" w:cs="Times New Roman"/>
          <w:sz w:val="22"/>
          <w:szCs w:val="22"/>
        </w:rPr>
        <w:t>, </w:t>
      </w:r>
      <w:r w:rsidRPr="004A378A">
        <w:rPr>
          <w:rFonts w:ascii="Times New Roman" w:hAnsi="Times New Roman" w:cs="Times New Roman"/>
          <w:i/>
          <w:iCs/>
          <w:sz w:val="22"/>
          <w:szCs w:val="22"/>
        </w:rPr>
        <w:t>19</w:t>
      </w:r>
      <w:r w:rsidRPr="004A378A">
        <w:rPr>
          <w:rFonts w:ascii="Times New Roman" w:hAnsi="Times New Roman" w:cs="Times New Roman"/>
          <w:sz w:val="22"/>
          <w:szCs w:val="22"/>
        </w:rPr>
        <w:t>(2), 147-165.</w:t>
      </w:r>
    </w:p>
    <w:sectPr w:rsidR="009F1D5D" w:rsidRPr="004A3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FA"/>
    <w:rsid w:val="000067B9"/>
    <w:rsid w:val="00006D2A"/>
    <w:rsid w:val="00023F2D"/>
    <w:rsid w:val="00042E13"/>
    <w:rsid w:val="00074085"/>
    <w:rsid w:val="00076D87"/>
    <w:rsid w:val="0008679B"/>
    <w:rsid w:val="000B2A0A"/>
    <w:rsid w:val="000C38E8"/>
    <w:rsid w:val="000C4832"/>
    <w:rsid w:val="000C7110"/>
    <w:rsid w:val="00145DF1"/>
    <w:rsid w:val="00164FFA"/>
    <w:rsid w:val="00186263"/>
    <w:rsid w:val="001E2743"/>
    <w:rsid w:val="001F3528"/>
    <w:rsid w:val="001F4CEB"/>
    <w:rsid w:val="00243931"/>
    <w:rsid w:val="00247A6B"/>
    <w:rsid w:val="0026560F"/>
    <w:rsid w:val="002E2A3B"/>
    <w:rsid w:val="002F3309"/>
    <w:rsid w:val="00347FEE"/>
    <w:rsid w:val="00370D23"/>
    <w:rsid w:val="0037577E"/>
    <w:rsid w:val="003812C1"/>
    <w:rsid w:val="003B287D"/>
    <w:rsid w:val="003D7A45"/>
    <w:rsid w:val="003F4431"/>
    <w:rsid w:val="0042461E"/>
    <w:rsid w:val="0042630B"/>
    <w:rsid w:val="0043641F"/>
    <w:rsid w:val="004379F4"/>
    <w:rsid w:val="004A01B3"/>
    <w:rsid w:val="004A378A"/>
    <w:rsid w:val="004B78DD"/>
    <w:rsid w:val="004D3A13"/>
    <w:rsid w:val="004D7AE2"/>
    <w:rsid w:val="004E5441"/>
    <w:rsid w:val="0050691E"/>
    <w:rsid w:val="00520CC4"/>
    <w:rsid w:val="005406A7"/>
    <w:rsid w:val="00560D8B"/>
    <w:rsid w:val="00573C6D"/>
    <w:rsid w:val="005B4398"/>
    <w:rsid w:val="005C2569"/>
    <w:rsid w:val="005C3D70"/>
    <w:rsid w:val="005E45D3"/>
    <w:rsid w:val="00625AD1"/>
    <w:rsid w:val="0063237B"/>
    <w:rsid w:val="00651D9B"/>
    <w:rsid w:val="00657959"/>
    <w:rsid w:val="0066642B"/>
    <w:rsid w:val="006960DF"/>
    <w:rsid w:val="006C2546"/>
    <w:rsid w:val="006F61F3"/>
    <w:rsid w:val="006F745D"/>
    <w:rsid w:val="00712BEE"/>
    <w:rsid w:val="0071539D"/>
    <w:rsid w:val="007428F2"/>
    <w:rsid w:val="00750997"/>
    <w:rsid w:val="00757648"/>
    <w:rsid w:val="0077236A"/>
    <w:rsid w:val="00783BA5"/>
    <w:rsid w:val="00797BCF"/>
    <w:rsid w:val="007E190C"/>
    <w:rsid w:val="007F28B5"/>
    <w:rsid w:val="00811145"/>
    <w:rsid w:val="00827139"/>
    <w:rsid w:val="008605D5"/>
    <w:rsid w:val="008810D4"/>
    <w:rsid w:val="008A41E0"/>
    <w:rsid w:val="008E06AA"/>
    <w:rsid w:val="008E74BD"/>
    <w:rsid w:val="00902E89"/>
    <w:rsid w:val="00904DC2"/>
    <w:rsid w:val="0092136C"/>
    <w:rsid w:val="009577DE"/>
    <w:rsid w:val="00972F58"/>
    <w:rsid w:val="009C0014"/>
    <w:rsid w:val="009F1D5D"/>
    <w:rsid w:val="009F7A8E"/>
    <w:rsid w:val="00A0180E"/>
    <w:rsid w:val="00A034D3"/>
    <w:rsid w:val="00A2480F"/>
    <w:rsid w:val="00A35D8E"/>
    <w:rsid w:val="00A64C4B"/>
    <w:rsid w:val="00A72C1A"/>
    <w:rsid w:val="00A9201A"/>
    <w:rsid w:val="00AB1A34"/>
    <w:rsid w:val="00AC695E"/>
    <w:rsid w:val="00AE4372"/>
    <w:rsid w:val="00AE4664"/>
    <w:rsid w:val="00AF0546"/>
    <w:rsid w:val="00AF2634"/>
    <w:rsid w:val="00B211DF"/>
    <w:rsid w:val="00B363B5"/>
    <w:rsid w:val="00B71F2C"/>
    <w:rsid w:val="00B857DE"/>
    <w:rsid w:val="00BA4D5D"/>
    <w:rsid w:val="00BD1688"/>
    <w:rsid w:val="00BD1A6E"/>
    <w:rsid w:val="00BD4476"/>
    <w:rsid w:val="00BE0CB2"/>
    <w:rsid w:val="00BE230A"/>
    <w:rsid w:val="00BF1B79"/>
    <w:rsid w:val="00C07474"/>
    <w:rsid w:val="00C23CB0"/>
    <w:rsid w:val="00C250FE"/>
    <w:rsid w:val="00C27BA5"/>
    <w:rsid w:val="00C402E1"/>
    <w:rsid w:val="00C44876"/>
    <w:rsid w:val="00C545A4"/>
    <w:rsid w:val="00C56539"/>
    <w:rsid w:val="00C66FB4"/>
    <w:rsid w:val="00C94286"/>
    <w:rsid w:val="00CE56A6"/>
    <w:rsid w:val="00D1013A"/>
    <w:rsid w:val="00D24258"/>
    <w:rsid w:val="00D24EA4"/>
    <w:rsid w:val="00D45E5F"/>
    <w:rsid w:val="00D55A5E"/>
    <w:rsid w:val="00D8016A"/>
    <w:rsid w:val="00D843F0"/>
    <w:rsid w:val="00DE092B"/>
    <w:rsid w:val="00DE0D8C"/>
    <w:rsid w:val="00E16CFE"/>
    <w:rsid w:val="00E537A7"/>
    <w:rsid w:val="00EA13B7"/>
    <w:rsid w:val="00EB4BD3"/>
    <w:rsid w:val="00EB5F35"/>
    <w:rsid w:val="00F10D17"/>
    <w:rsid w:val="00F12B47"/>
    <w:rsid w:val="00F20899"/>
    <w:rsid w:val="00F23828"/>
    <w:rsid w:val="00F24764"/>
    <w:rsid w:val="00F27743"/>
    <w:rsid w:val="00F34C6F"/>
    <w:rsid w:val="00F62469"/>
    <w:rsid w:val="00FA2156"/>
    <w:rsid w:val="00FD6734"/>
    <w:rsid w:val="00FE1BD9"/>
    <w:rsid w:val="00FF7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BF5D"/>
  <w15:chartTrackingRefBased/>
  <w15:docId w15:val="{4A16A2B2-CB10-4D38-B57F-44AE21AF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FFA"/>
    <w:rPr>
      <w:rFonts w:eastAsiaTheme="majorEastAsia" w:cstheme="majorBidi"/>
      <w:color w:val="272727" w:themeColor="text1" w:themeTint="D8"/>
    </w:rPr>
  </w:style>
  <w:style w:type="paragraph" w:styleId="Title">
    <w:name w:val="Title"/>
    <w:basedOn w:val="Normal"/>
    <w:next w:val="Normal"/>
    <w:link w:val="TitleChar"/>
    <w:uiPriority w:val="10"/>
    <w:qFormat/>
    <w:rsid w:val="00164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FFA"/>
    <w:pPr>
      <w:spacing w:before="160"/>
      <w:jc w:val="center"/>
    </w:pPr>
    <w:rPr>
      <w:i/>
      <w:iCs/>
      <w:color w:val="404040" w:themeColor="text1" w:themeTint="BF"/>
    </w:rPr>
  </w:style>
  <w:style w:type="character" w:customStyle="1" w:styleId="QuoteChar">
    <w:name w:val="Quote Char"/>
    <w:basedOn w:val="DefaultParagraphFont"/>
    <w:link w:val="Quote"/>
    <w:uiPriority w:val="29"/>
    <w:rsid w:val="00164FFA"/>
    <w:rPr>
      <w:i/>
      <w:iCs/>
      <w:color w:val="404040" w:themeColor="text1" w:themeTint="BF"/>
    </w:rPr>
  </w:style>
  <w:style w:type="paragraph" w:styleId="ListParagraph">
    <w:name w:val="List Paragraph"/>
    <w:basedOn w:val="Normal"/>
    <w:uiPriority w:val="34"/>
    <w:qFormat/>
    <w:rsid w:val="00164FFA"/>
    <w:pPr>
      <w:ind w:left="720"/>
      <w:contextualSpacing/>
    </w:pPr>
  </w:style>
  <w:style w:type="character" w:styleId="IntenseEmphasis">
    <w:name w:val="Intense Emphasis"/>
    <w:basedOn w:val="DefaultParagraphFont"/>
    <w:uiPriority w:val="21"/>
    <w:qFormat/>
    <w:rsid w:val="00164FFA"/>
    <w:rPr>
      <w:i/>
      <w:iCs/>
      <w:color w:val="0F4761" w:themeColor="accent1" w:themeShade="BF"/>
    </w:rPr>
  </w:style>
  <w:style w:type="paragraph" w:styleId="IntenseQuote">
    <w:name w:val="Intense Quote"/>
    <w:basedOn w:val="Normal"/>
    <w:next w:val="Normal"/>
    <w:link w:val="IntenseQuoteChar"/>
    <w:uiPriority w:val="30"/>
    <w:qFormat/>
    <w:rsid w:val="00164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FFA"/>
    <w:rPr>
      <w:i/>
      <w:iCs/>
      <w:color w:val="0F4761" w:themeColor="accent1" w:themeShade="BF"/>
    </w:rPr>
  </w:style>
  <w:style w:type="character" w:styleId="IntenseReference">
    <w:name w:val="Intense Reference"/>
    <w:basedOn w:val="DefaultParagraphFont"/>
    <w:uiPriority w:val="32"/>
    <w:qFormat/>
    <w:rsid w:val="00164FFA"/>
    <w:rPr>
      <w:b/>
      <w:bCs/>
      <w:smallCaps/>
      <w:color w:val="0F4761" w:themeColor="accent1" w:themeShade="BF"/>
      <w:spacing w:val="5"/>
    </w:rPr>
  </w:style>
  <w:style w:type="character" w:styleId="Emphasis">
    <w:name w:val="Emphasis"/>
    <w:basedOn w:val="DefaultParagraphFont"/>
    <w:uiPriority w:val="20"/>
    <w:qFormat/>
    <w:rsid w:val="005C3D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 Melis</dc:creator>
  <cp:keywords/>
  <dc:description/>
  <cp:lastModifiedBy>Cin, Melis</cp:lastModifiedBy>
  <cp:revision>2</cp:revision>
  <dcterms:created xsi:type="dcterms:W3CDTF">2026-02-16T12:35:00Z</dcterms:created>
  <dcterms:modified xsi:type="dcterms:W3CDTF">2026-02-16T12:35:00Z</dcterms:modified>
</cp:coreProperties>
</file>