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320E1" w14:textId="77777777" w:rsidR="00B25BAD" w:rsidRDefault="00B25BAD" w:rsidP="00B25BAD">
      <w:pPr>
        <w:spacing w:line="240" w:lineRule="auto"/>
      </w:pPr>
      <w:bookmarkStart w:id="0" w:name="_Int_6P3NqbR1"/>
      <w:proofErr w:type="gramStart"/>
      <w:r w:rsidRPr="66BA5CFC">
        <w:rPr>
          <w:b/>
          <w:bCs/>
        </w:rPr>
        <w:t>Title</w:t>
      </w:r>
      <w:bookmarkEnd w:id="0"/>
      <w:r w:rsidRPr="66BA5CFC">
        <w:rPr>
          <w:b/>
          <w:bCs/>
        </w:rPr>
        <w:t xml:space="preserve">  </w:t>
      </w:r>
      <w:r>
        <w:t>‘</w:t>
      </w:r>
      <w:proofErr w:type="gramEnd"/>
      <w:r>
        <w:t xml:space="preserve">Very’ Selective Licensing – an exploration of English local authorities’ adoption of a discretionary landlord licensing scheme, 2006-2019 </w:t>
      </w:r>
    </w:p>
    <w:p w14:paraId="6B57CFA7" w14:textId="77777777" w:rsidR="00B25BAD" w:rsidRDefault="00B25BAD" w:rsidP="00B25BAD">
      <w:pPr>
        <w:spacing w:line="240" w:lineRule="auto"/>
        <w:rPr>
          <w:b/>
          <w:bCs/>
        </w:rPr>
      </w:pPr>
    </w:p>
    <w:p w14:paraId="1718C537" w14:textId="6BEC8283" w:rsidR="00B25BAD" w:rsidRDefault="00B25BAD" w:rsidP="00B25BAD">
      <w:pPr>
        <w:spacing w:line="240" w:lineRule="auto"/>
      </w:pPr>
      <w:r w:rsidRPr="4083D90E">
        <w:rPr>
          <w:b/>
          <w:bCs/>
        </w:rPr>
        <w:t>Authors</w:t>
      </w:r>
      <w:r>
        <w:t xml:space="preserve"> </w:t>
      </w:r>
    </w:p>
    <w:p w14:paraId="0408CB73" w14:textId="03654C4A" w:rsidR="00C82FFA" w:rsidRDefault="00B25BAD" w:rsidP="007F4BA8">
      <w:pPr>
        <w:spacing w:after="0"/>
        <w:ind w:left="720" w:hanging="720"/>
        <w:rPr>
          <w:rFonts w:ascii="Aptos" w:eastAsia="Aptos" w:hAnsi="Aptos" w:cs="Aptos"/>
        </w:rPr>
      </w:pPr>
      <w:r w:rsidRPr="00163F3F">
        <w:rPr>
          <w:rFonts w:ascii="Aptos" w:eastAsia="Aptos" w:hAnsi="Aptos" w:cs="Aptos"/>
        </w:rPr>
        <w:t>Jakob Petersen</w:t>
      </w:r>
      <w:r w:rsidR="009A76DC" w:rsidRPr="009A76DC">
        <w:rPr>
          <w:rFonts w:ascii="Aptos" w:eastAsia="Aptos" w:hAnsi="Aptos" w:cs="Aptos"/>
          <w:vertAlign w:val="superscript"/>
        </w:rPr>
        <w:t>1</w:t>
      </w:r>
      <w:r w:rsidR="009A76DC">
        <w:rPr>
          <w:rFonts w:ascii="Aptos" w:eastAsia="Aptos" w:hAnsi="Aptos" w:cs="Aptos"/>
        </w:rPr>
        <w:t>*</w:t>
      </w:r>
      <w:r w:rsidRPr="00163F3F">
        <w:rPr>
          <w:rFonts w:ascii="Aptos" w:eastAsia="Aptos" w:hAnsi="Aptos" w:cs="Aptos"/>
        </w:rPr>
        <w:t xml:space="preserve">, </w:t>
      </w:r>
      <w:r w:rsidR="00C5567B">
        <w:rPr>
          <w:rFonts w:ascii="Aptos" w:eastAsia="Aptos" w:hAnsi="Aptos" w:cs="Aptos"/>
        </w:rPr>
        <w:t xml:space="preserve">Research Fellow, </w:t>
      </w:r>
      <w:hyperlink r:id="rId11" w:history="1">
        <w:r w:rsidR="00A613E2" w:rsidRPr="00DF0EB5">
          <w:rPr>
            <w:rStyle w:val="Hyperlink"/>
            <w:rFonts w:ascii="Aptos" w:eastAsia="Aptos" w:hAnsi="Aptos" w:cs="Aptos"/>
          </w:rPr>
          <w:t>jakob.petersen2@lshtm.ac.uk</w:t>
        </w:r>
      </w:hyperlink>
      <w:r w:rsidR="00A613E2">
        <w:rPr>
          <w:rFonts w:ascii="Aptos" w:eastAsia="Aptos" w:hAnsi="Aptos" w:cs="Aptos"/>
        </w:rPr>
        <w:t xml:space="preserve"> </w:t>
      </w:r>
    </w:p>
    <w:p w14:paraId="048461CC" w14:textId="602C6CA7" w:rsidR="00C82FFA" w:rsidRDefault="00B25BAD" w:rsidP="007F4BA8">
      <w:pPr>
        <w:spacing w:after="0"/>
        <w:ind w:left="720" w:hanging="720"/>
        <w:rPr>
          <w:rFonts w:ascii="Aptos" w:eastAsia="Aptos" w:hAnsi="Aptos" w:cs="Aptos"/>
        </w:rPr>
      </w:pPr>
      <w:r w:rsidRPr="00163F3F">
        <w:rPr>
          <w:rFonts w:ascii="Aptos" w:eastAsia="Aptos" w:hAnsi="Aptos" w:cs="Aptos"/>
        </w:rPr>
        <w:t>Alexandros Alexiou</w:t>
      </w:r>
      <w:r w:rsidR="00870D79" w:rsidRPr="00870D79">
        <w:rPr>
          <w:rFonts w:ascii="Aptos" w:eastAsia="Aptos" w:hAnsi="Aptos" w:cs="Aptos"/>
          <w:vertAlign w:val="superscript"/>
        </w:rPr>
        <w:t>2</w:t>
      </w:r>
      <w:r w:rsidRPr="00163F3F">
        <w:rPr>
          <w:rFonts w:ascii="Aptos" w:eastAsia="Aptos" w:hAnsi="Aptos" w:cs="Aptos"/>
        </w:rPr>
        <w:t xml:space="preserve">, </w:t>
      </w:r>
      <w:r w:rsidR="00C5567B">
        <w:rPr>
          <w:rFonts w:ascii="Aptos" w:eastAsia="Aptos" w:hAnsi="Aptos" w:cs="Aptos"/>
        </w:rPr>
        <w:t xml:space="preserve">Assistant Professor, </w:t>
      </w:r>
      <w:hyperlink r:id="rId12" w:history="1">
        <w:r w:rsidR="0037450E" w:rsidRPr="0037450E">
          <w:rPr>
            <w:rStyle w:val="Hyperlink"/>
            <w:rFonts w:ascii="Aptos" w:eastAsia="Aptos" w:hAnsi="Aptos" w:cs="Aptos"/>
          </w:rPr>
          <w:t>a.alexiou@panteion.gr</w:t>
        </w:r>
      </w:hyperlink>
    </w:p>
    <w:p w14:paraId="0D27E059" w14:textId="23511E3B" w:rsidR="00C82FFA" w:rsidRDefault="00B25BAD" w:rsidP="007F4BA8">
      <w:pPr>
        <w:spacing w:after="0"/>
        <w:ind w:left="720" w:hanging="720"/>
        <w:rPr>
          <w:rFonts w:ascii="Aptos" w:eastAsia="Aptos" w:hAnsi="Aptos" w:cs="Aptos"/>
        </w:rPr>
      </w:pPr>
      <w:r w:rsidRPr="00163F3F">
        <w:rPr>
          <w:rFonts w:ascii="Aptos" w:eastAsia="Aptos" w:hAnsi="Aptos" w:cs="Aptos"/>
        </w:rPr>
        <w:t>Katie Fahy</w:t>
      </w:r>
      <w:r w:rsidR="00870D79" w:rsidRPr="00870D79">
        <w:rPr>
          <w:rFonts w:ascii="Aptos" w:eastAsia="Aptos" w:hAnsi="Aptos" w:cs="Aptos"/>
          <w:vertAlign w:val="superscript"/>
        </w:rPr>
        <w:t>3</w:t>
      </w:r>
      <w:r w:rsidRPr="00163F3F">
        <w:rPr>
          <w:rFonts w:ascii="Aptos" w:eastAsia="Aptos" w:hAnsi="Aptos" w:cs="Aptos"/>
        </w:rPr>
        <w:t xml:space="preserve">, </w:t>
      </w:r>
      <w:r w:rsidR="00B11198">
        <w:rPr>
          <w:rFonts w:ascii="Aptos" w:eastAsia="Aptos" w:hAnsi="Aptos" w:cs="Aptos"/>
        </w:rPr>
        <w:t>Research Associate</w:t>
      </w:r>
      <w:r w:rsidR="009E5A46">
        <w:rPr>
          <w:rFonts w:ascii="Aptos" w:eastAsia="Aptos" w:hAnsi="Aptos" w:cs="Aptos"/>
        </w:rPr>
        <w:t xml:space="preserve">, </w:t>
      </w:r>
      <w:hyperlink r:id="rId13" w:history="1">
        <w:r w:rsidR="00441F51" w:rsidRPr="006016AB">
          <w:rPr>
            <w:rStyle w:val="Hyperlink"/>
            <w:rFonts w:ascii="Aptos" w:eastAsia="Aptos" w:hAnsi="Aptos" w:cs="Aptos"/>
          </w:rPr>
          <w:t>katie.fahy2@liverpool.ac.uk</w:t>
        </w:r>
      </w:hyperlink>
    </w:p>
    <w:p w14:paraId="368911A8" w14:textId="7A0195EC" w:rsidR="00C82FFA" w:rsidRDefault="00B25BAD" w:rsidP="007F4BA8">
      <w:pPr>
        <w:spacing w:after="0"/>
        <w:ind w:left="720" w:hanging="720"/>
        <w:rPr>
          <w:rFonts w:ascii="Aptos" w:eastAsia="Aptos" w:hAnsi="Aptos" w:cs="Aptos"/>
        </w:rPr>
      </w:pPr>
      <w:r w:rsidRPr="00163F3F">
        <w:rPr>
          <w:rFonts w:ascii="Aptos" w:eastAsia="Aptos" w:hAnsi="Aptos" w:cs="Aptos"/>
        </w:rPr>
        <w:t>Debbie Humphry</w:t>
      </w:r>
      <w:r w:rsidR="00441F51" w:rsidRPr="00441F51">
        <w:rPr>
          <w:rFonts w:ascii="Aptos" w:eastAsia="Aptos" w:hAnsi="Aptos" w:cs="Aptos"/>
          <w:vertAlign w:val="superscript"/>
        </w:rPr>
        <w:t>1</w:t>
      </w:r>
      <w:r w:rsidRPr="00163F3F">
        <w:rPr>
          <w:rFonts w:ascii="Aptos" w:eastAsia="Aptos" w:hAnsi="Aptos" w:cs="Aptos"/>
        </w:rPr>
        <w:t xml:space="preserve">, </w:t>
      </w:r>
      <w:r w:rsidR="009E5A46">
        <w:rPr>
          <w:rFonts w:ascii="Aptos" w:eastAsia="Aptos" w:hAnsi="Aptos" w:cs="Aptos"/>
        </w:rPr>
        <w:t>Research Fellow</w:t>
      </w:r>
      <w:r w:rsidR="00730AB1">
        <w:rPr>
          <w:rFonts w:ascii="Aptos" w:eastAsia="Aptos" w:hAnsi="Aptos" w:cs="Aptos"/>
        </w:rPr>
        <w:t xml:space="preserve">, </w:t>
      </w:r>
      <w:hyperlink r:id="rId14" w:history="1">
        <w:r w:rsidR="00730AB1" w:rsidRPr="00DF0EB5">
          <w:rPr>
            <w:rStyle w:val="Hyperlink"/>
            <w:rFonts w:ascii="Aptos" w:eastAsia="Aptos" w:hAnsi="Aptos" w:cs="Aptos"/>
          </w:rPr>
          <w:t>debbie.humphry@lshtm.ac.uk</w:t>
        </w:r>
      </w:hyperlink>
      <w:r w:rsidR="00730AB1">
        <w:rPr>
          <w:rFonts w:ascii="Aptos" w:eastAsia="Aptos" w:hAnsi="Aptos" w:cs="Aptos"/>
        </w:rPr>
        <w:t xml:space="preserve"> </w:t>
      </w:r>
    </w:p>
    <w:p w14:paraId="4C30C4A9" w14:textId="29E16C6E" w:rsidR="00C82FFA" w:rsidRDefault="00B25BAD" w:rsidP="007F4BA8">
      <w:pPr>
        <w:spacing w:after="0"/>
        <w:ind w:left="720" w:hanging="720"/>
        <w:rPr>
          <w:rFonts w:ascii="Aptos" w:eastAsia="Aptos" w:hAnsi="Aptos" w:cs="Aptos"/>
        </w:rPr>
      </w:pPr>
      <w:r w:rsidRPr="00163F3F">
        <w:rPr>
          <w:rFonts w:ascii="Aptos" w:eastAsia="Aptos" w:hAnsi="Aptos" w:cs="Aptos"/>
        </w:rPr>
        <w:t>Katharina Janke</w:t>
      </w:r>
      <w:r w:rsidR="00BC3047" w:rsidRPr="00BC3047">
        <w:rPr>
          <w:rFonts w:ascii="Aptos" w:eastAsia="Aptos" w:hAnsi="Aptos" w:cs="Aptos"/>
          <w:vertAlign w:val="superscript"/>
        </w:rPr>
        <w:t>4</w:t>
      </w:r>
      <w:r w:rsidRPr="00163F3F">
        <w:rPr>
          <w:rFonts w:ascii="Aptos" w:eastAsia="Aptos" w:hAnsi="Aptos" w:cs="Aptos"/>
        </w:rPr>
        <w:t xml:space="preserve">, </w:t>
      </w:r>
      <w:r w:rsidR="009E5A46">
        <w:rPr>
          <w:rFonts w:ascii="Aptos" w:eastAsia="Aptos" w:hAnsi="Aptos" w:cs="Aptos"/>
        </w:rPr>
        <w:t>Lecturer</w:t>
      </w:r>
      <w:r w:rsidR="00EB23A8">
        <w:rPr>
          <w:rFonts w:ascii="Aptos" w:eastAsia="Aptos" w:hAnsi="Aptos" w:cs="Aptos"/>
        </w:rPr>
        <w:t xml:space="preserve">, </w:t>
      </w:r>
      <w:hyperlink r:id="rId15" w:history="1">
        <w:r w:rsidR="00EB23A8" w:rsidRPr="00EB23A8">
          <w:rPr>
            <w:rStyle w:val="Hyperlink"/>
            <w:rFonts w:ascii="Aptos" w:eastAsia="Aptos" w:hAnsi="Aptos" w:cs="Aptos"/>
          </w:rPr>
          <w:t>k.janke@lancaster.ac.uk</w:t>
        </w:r>
      </w:hyperlink>
    </w:p>
    <w:p w14:paraId="33D09340" w14:textId="48098ECD" w:rsidR="00C82FFA" w:rsidRDefault="00B25BAD" w:rsidP="007F4BA8">
      <w:pPr>
        <w:spacing w:after="0"/>
        <w:ind w:left="720" w:hanging="720"/>
        <w:rPr>
          <w:rFonts w:ascii="Aptos" w:eastAsia="Aptos" w:hAnsi="Aptos" w:cs="Aptos"/>
        </w:rPr>
      </w:pPr>
      <w:r w:rsidRPr="00163F3F">
        <w:rPr>
          <w:rFonts w:ascii="Aptos" w:eastAsia="Aptos" w:hAnsi="Aptos" w:cs="Aptos"/>
        </w:rPr>
        <w:t>Dalya Marks</w:t>
      </w:r>
      <w:r w:rsidR="00BC3047" w:rsidRPr="00BC3047">
        <w:rPr>
          <w:rFonts w:ascii="Aptos" w:eastAsia="Aptos" w:hAnsi="Aptos" w:cs="Aptos"/>
          <w:vertAlign w:val="superscript"/>
        </w:rPr>
        <w:t>1,</w:t>
      </w:r>
      <w:r w:rsidR="00C77E1B">
        <w:rPr>
          <w:rFonts w:ascii="Aptos" w:eastAsia="Aptos" w:hAnsi="Aptos" w:cs="Aptos"/>
          <w:vertAlign w:val="superscript"/>
        </w:rPr>
        <w:t>5</w:t>
      </w:r>
      <w:r w:rsidRPr="00163F3F">
        <w:rPr>
          <w:rFonts w:ascii="Aptos" w:eastAsia="Aptos" w:hAnsi="Aptos" w:cs="Aptos"/>
        </w:rPr>
        <w:t xml:space="preserve">, </w:t>
      </w:r>
      <w:r w:rsidR="009E5A46">
        <w:rPr>
          <w:rFonts w:ascii="Aptos" w:eastAsia="Aptos" w:hAnsi="Aptos" w:cs="Aptos"/>
        </w:rPr>
        <w:t>Associate Professor</w:t>
      </w:r>
      <w:r w:rsidR="00BC3047">
        <w:rPr>
          <w:rFonts w:ascii="Aptos" w:eastAsia="Aptos" w:hAnsi="Aptos" w:cs="Aptos"/>
        </w:rPr>
        <w:t>,</w:t>
      </w:r>
      <w:r w:rsidR="00730AB1">
        <w:rPr>
          <w:rFonts w:ascii="Aptos" w:eastAsia="Aptos" w:hAnsi="Aptos" w:cs="Aptos"/>
        </w:rPr>
        <w:t xml:space="preserve"> </w:t>
      </w:r>
      <w:hyperlink r:id="rId16" w:history="1">
        <w:r w:rsidR="00B92BEB" w:rsidRPr="00DF0EB5">
          <w:rPr>
            <w:rStyle w:val="Hyperlink"/>
            <w:rFonts w:ascii="Aptos" w:eastAsia="Aptos" w:hAnsi="Aptos" w:cs="Aptos"/>
          </w:rPr>
          <w:t>dalya.marks@lshtm.ac.uk</w:t>
        </w:r>
      </w:hyperlink>
      <w:r w:rsidR="00B92BEB">
        <w:rPr>
          <w:rFonts w:ascii="Aptos" w:eastAsia="Aptos" w:hAnsi="Aptos" w:cs="Aptos"/>
        </w:rPr>
        <w:t xml:space="preserve"> </w:t>
      </w:r>
      <w:r w:rsidR="0066320E" w:rsidRPr="00163F3F">
        <w:rPr>
          <w:rFonts w:ascii="Aptos" w:eastAsia="Aptos" w:hAnsi="Aptos" w:cs="Aptos"/>
        </w:rPr>
        <w:t xml:space="preserve"> </w:t>
      </w:r>
    </w:p>
    <w:p w14:paraId="1F841950" w14:textId="34AC140E" w:rsidR="00C82FFA" w:rsidRDefault="00B25BAD" w:rsidP="007F4BA8">
      <w:pPr>
        <w:spacing w:after="0"/>
        <w:ind w:left="720" w:hanging="720"/>
        <w:rPr>
          <w:rFonts w:ascii="Aptos" w:eastAsia="Aptos" w:hAnsi="Aptos" w:cs="Aptos"/>
        </w:rPr>
      </w:pPr>
      <w:r w:rsidRPr="00163F3F">
        <w:rPr>
          <w:rFonts w:ascii="Aptos" w:eastAsia="Aptos" w:hAnsi="Aptos" w:cs="Aptos"/>
        </w:rPr>
        <w:t>Rose McDonald</w:t>
      </w:r>
      <w:r w:rsidR="00C74F27" w:rsidRPr="00C74F27">
        <w:rPr>
          <w:rFonts w:ascii="Aptos" w:eastAsia="Aptos" w:hAnsi="Aptos" w:cs="Aptos"/>
          <w:vertAlign w:val="superscript"/>
        </w:rPr>
        <w:t>6</w:t>
      </w:r>
      <w:r w:rsidRPr="00163F3F">
        <w:rPr>
          <w:rFonts w:ascii="Aptos" w:eastAsia="Aptos" w:hAnsi="Aptos" w:cs="Aptos"/>
        </w:rPr>
        <w:t>,</w:t>
      </w:r>
      <w:r w:rsidR="00C74F27">
        <w:rPr>
          <w:rFonts w:ascii="Aptos" w:eastAsia="Aptos" w:hAnsi="Aptos" w:cs="Aptos"/>
        </w:rPr>
        <w:t xml:space="preserve"> PPI, </w:t>
      </w:r>
      <w:hyperlink r:id="rId17" w:history="1">
        <w:r w:rsidR="00953E75" w:rsidRPr="00953E75">
          <w:rPr>
            <w:rStyle w:val="Hyperlink"/>
            <w:rFonts w:ascii="Aptos" w:eastAsia="Aptos" w:hAnsi="Aptos" w:cs="Aptos"/>
          </w:rPr>
          <w:t>rosemmcdonald@yahoo.com</w:t>
        </w:r>
      </w:hyperlink>
    </w:p>
    <w:p w14:paraId="0D9C0050" w14:textId="31B83C52" w:rsidR="00C82FFA" w:rsidRDefault="00B25BAD" w:rsidP="007F4BA8">
      <w:pPr>
        <w:spacing w:after="0"/>
        <w:ind w:left="720" w:hanging="720"/>
        <w:rPr>
          <w:rFonts w:ascii="Aptos" w:eastAsia="Aptos" w:hAnsi="Aptos" w:cs="Aptos"/>
        </w:rPr>
      </w:pPr>
      <w:r w:rsidRPr="00163F3F">
        <w:rPr>
          <w:rFonts w:ascii="Aptos" w:eastAsia="Aptos" w:hAnsi="Aptos" w:cs="Aptos"/>
        </w:rPr>
        <w:t>Maureen Seguin</w:t>
      </w:r>
      <w:r w:rsidR="00F70B75" w:rsidRPr="00F70B75">
        <w:rPr>
          <w:rFonts w:ascii="Aptos" w:eastAsia="Aptos" w:hAnsi="Aptos" w:cs="Aptos"/>
          <w:vertAlign w:val="superscript"/>
        </w:rPr>
        <w:t>1</w:t>
      </w:r>
      <w:r w:rsidRPr="00163F3F">
        <w:rPr>
          <w:rFonts w:ascii="Aptos" w:eastAsia="Aptos" w:hAnsi="Aptos" w:cs="Aptos"/>
        </w:rPr>
        <w:t xml:space="preserve">, </w:t>
      </w:r>
      <w:r w:rsidR="009E5A46">
        <w:rPr>
          <w:rFonts w:ascii="Aptos" w:eastAsia="Aptos" w:hAnsi="Aptos" w:cs="Aptos"/>
        </w:rPr>
        <w:t>Assistant Professor</w:t>
      </w:r>
      <w:r w:rsidR="00B92BEB">
        <w:rPr>
          <w:rFonts w:ascii="Aptos" w:eastAsia="Aptos" w:hAnsi="Aptos" w:cs="Aptos"/>
        </w:rPr>
        <w:t xml:space="preserve">, </w:t>
      </w:r>
      <w:hyperlink r:id="rId18" w:history="1">
        <w:r w:rsidR="00B92BEB" w:rsidRPr="00DF0EB5">
          <w:rPr>
            <w:rStyle w:val="Hyperlink"/>
            <w:rFonts w:ascii="Aptos" w:eastAsia="Aptos" w:hAnsi="Aptos" w:cs="Aptos"/>
          </w:rPr>
          <w:t>maureen.seguin@lshtm.ac.uk</w:t>
        </w:r>
      </w:hyperlink>
      <w:r w:rsidR="00B92BEB">
        <w:rPr>
          <w:rFonts w:ascii="Aptos" w:eastAsia="Aptos" w:hAnsi="Aptos" w:cs="Aptos"/>
        </w:rPr>
        <w:t xml:space="preserve"> </w:t>
      </w:r>
      <w:r w:rsidR="0066320E" w:rsidRPr="00163F3F">
        <w:rPr>
          <w:rFonts w:ascii="Aptos" w:eastAsia="Aptos" w:hAnsi="Aptos" w:cs="Aptos"/>
        </w:rPr>
        <w:t xml:space="preserve"> </w:t>
      </w:r>
    </w:p>
    <w:p w14:paraId="28A8BCC4" w14:textId="03EED435" w:rsidR="00B25BAD" w:rsidRPr="00163F3F" w:rsidRDefault="00B25BAD" w:rsidP="007F4BA8">
      <w:pPr>
        <w:spacing w:after="0"/>
        <w:ind w:left="720" w:hanging="720"/>
        <w:rPr>
          <w:rFonts w:ascii="Aptos" w:eastAsia="Aptos" w:hAnsi="Aptos" w:cs="Aptos"/>
        </w:rPr>
      </w:pPr>
      <w:r w:rsidRPr="00163F3F">
        <w:rPr>
          <w:rFonts w:ascii="Aptos" w:eastAsia="Aptos" w:hAnsi="Aptos" w:cs="Aptos"/>
        </w:rPr>
        <w:t>Jill Stewart</w:t>
      </w:r>
      <w:r w:rsidR="00F70B75" w:rsidRPr="00F70B75">
        <w:rPr>
          <w:rFonts w:ascii="Aptos" w:eastAsia="Aptos" w:hAnsi="Aptos" w:cs="Aptos"/>
          <w:vertAlign w:val="superscript"/>
        </w:rPr>
        <w:t>7</w:t>
      </w:r>
      <w:r w:rsidRPr="00163F3F">
        <w:rPr>
          <w:rFonts w:ascii="Aptos" w:eastAsia="Aptos" w:hAnsi="Aptos" w:cs="Aptos"/>
        </w:rPr>
        <w:t xml:space="preserve">, </w:t>
      </w:r>
      <w:r w:rsidR="00721DF0">
        <w:rPr>
          <w:rFonts w:ascii="Aptos" w:eastAsia="Aptos" w:hAnsi="Aptos" w:cs="Aptos"/>
        </w:rPr>
        <w:t>Associate Professor</w:t>
      </w:r>
      <w:r w:rsidR="004C4212">
        <w:rPr>
          <w:rFonts w:ascii="Aptos" w:eastAsia="Aptos" w:hAnsi="Aptos" w:cs="Aptos"/>
        </w:rPr>
        <w:t xml:space="preserve">, </w:t>
      </w:r>
      <w:hyperlink r:id="rId19" w:history="1">
        <w:r w:rsidR="004C4212" w:rsidRPr="004C4212">
          <w:rPr>
            <w:rStyle w:val="Hyperlink"/>
            <w:rFonts w:ascii="Aptos" w:eastAsia="Aptos" w:hAnsi="Aptos" w:cs="Aptos"/>
          </w:rPr>
          <w:t>j.l.stewart@greenwich.ac.uk</w:t>
        </w:r>
      </w:hyperlink>
    </w:p>
    <w:p w14:paraId="6C5E74DB" w14:textId="0E755CCE" w:rsidR="00B25BAD" w:rsidRPr="00163F3F" w:rsidRDefault="00B25BAD" w:rsidP="007F4BA8">
      <w:pPr>
        <w:spacing w:after="0"/>
        <w:ind w:left="720" w:hanging="720"/>
        <w:rPr>
          <w:rFonts w:ascii="Aptos" w:eastAsia="Aptos" w:hAnsi="Aptos" w:cs="Aptos"/>
        </w:rPr>
      </w:pPr>
      <w:r w:rsidRPr="00163F3F">
        <w:rPr>
          <w:rFonts w:ascii="Aptos" w:eastAsia="Aptos" w:hAnsi="Aptos" w:cs="Aptos"/>
        </w:rPr>
        <w:t>Roz Spencer</w:t>
      </w:r>
      <w:r w:rsidR="00087A17" w:rsidRPr="00087A17">
        <w:rPr>
          <w:rFonts w:ascii="Aptos" w:eastAsia="Aptos" w:hAnsi="Aptos" w:cs="Aptos"/>
          <w:vertAlign w:val="superscript"/>
        </w:rPr>
        <w:t>6</w:t>
      </w:r>
      <w:r w:rsidRPr="00163F3F">
        <w:rPr>
          <w:rFonts w:ascii="Aptos" w:eastAsia="Aptos" w:hAnsi="Aptos" w:cs="Aptos"/>
        </w:rPr>
        <w:t>, PPI</w:t>
      </w:r>
      <w:r w:rsidR="00700C54">
        <w:rPr>
          <w:rFonts w:ascii="Aptos" w:eastAsia="Aptos" w:hAnsi="Aptos" w:cs="Aptos"/>
        </w:rPr>
        <w:t>, London, UK</w:t>
      </w:r>
      <w:r w:rsidR="006B2E72">
        <w:rPr>
          <w:rFonts w:ascii="Aptos" w:eastAsia="Aptos" w:hAnsi="Aptos" w:cs="Aptos"/>
        </w:rPr>
        <w:t xml:space="preserve">, </w:t>
      </w:r>
      <w:hyperlink r:id="rId20" w:history="1">
        <w:r w:rsidR="006B2E72" w:rsidRPr="006B2E72">
          <w:rPr>
            <w:rStyle w:val="Hyperlink"/>
            <w:rFonts w:ascii="Aptos" w:eastAsia="Aptos" w:hAnsi="Aptos" w:cs="Aptos"/>
          </w:rPr>
          <w:t>rspencer@ch1889.org</w:t>
        </w:r>
      </w:hyperlink>
    </w:p>
    <w:p w14:paraId="7EB5E499" w14:textId="7C4FB47D" w:rsidR="00B25BAD" w:rsidRPr="00087A17" w:rsidRDefault="00B25BAD" w:rsidP="007F4BA8">
      <w:pPr>
        <w:spacing w:after="0"/>
        <w:ind w:left="720" w:hanging="720"/>
        <w:rPr>
          <w:rFonts w:ascii="Aptos" w:eastAsia="Aptos" w:hAnsi="Aptos" w:cs="Aptos"/>
          <w:lang w:val="da-DK"/>
        </w:rPr>
      </w:pPr>
      <w:r w:rsidRPr="00087A17">
        <w:rPr>
          <w:rFonts w:ascii="Aptos" w:eastAsia="Aptos" w:hAnsi="Aptos" w:cs="Aptos"/>
          <w:lang w:val="da-DK"/>
        </w:rPr>
        <w:t>Frank de Vocht</w:t>
      </w:r>
      <w:r w:rsidR="00CE0241" w:rsidRPr="00CE0241">
        <w:rPr>
          <w:rFonts w:ascii="Aptos" w:eastAsia="Aptos" w:hAnsi="Aptos" w:cs="Aptos"/>
          <w:vertAlign w:val="superscript"/>
          <w:lang w:val="da-DK"/>
        </w:rPr>
        <w:t>8</w:t>
      </w:r>
      <w:r w:rsidRPr="00087A17">
        <w:rPr>
          <w:rFonts w:ascii="Aptos" w:eastAsia="Aptos" w:hAnsi="Aptos" w:cs="Aptos"/>
          <w:lang w:val="da-DK"/>
        </w:rPr>
        <w:t xml:space="preserve">, </w:t>
      </w:r>
      <w:r w:rsidR="00721DF0" w:rsidRPr="00087A17">
        <w:rPr>
          <w:rFonts w:ascii="Aptos" w:eastAsia="Aptos" w:hAnsi="Aptos" w:cs="Aptos"/>
          <w:lang w:val="da-DK"/>
        </w:rPr>
        <w:t xml:space="preserve">Professor, </w:t>
      </w:r>
      <w:hyperlink r:id="rId21" w:history="1">
        <w:r w:rsidR="006B2E72" w:rsidRPr="00087A17">
          <w:rPr>
            <w:rStyle w:val="Hyperlink"/>
            <w:rFonts w:ascii="Aptos" w:eastAsia="Aptos" w:hAnsi="Aptos" w:cs="Aptos"/>
            <w:lang w:val="da-DK"/>
          </w:rPr>
          <w:t>frank.devocht@bristol.ac.uk</w:t>
        </w:r>
      </w:hyperlink>
    </w:p>
    <w:p w14:paraId="7AB40616" w14:textId="18CC2B4E" w:rsidR="0066320E" w:rsidRDefault="00B25BAD" w:rsidP="007F4BA8">
      <w:pPr>
        <w:spacing w:after="0"/>
        <w:ind w:left="720" w:hanging="720"/>
        <w:rPr>
          <w:rFonts w:ascii="Aptos" w:eastAsia="Aptos" w:hAnsi="Aptos" w:cs="Aptos"/>
        </w:rPr>
      </w:pPr>
      <w:r w:rsidRPr="00163F3F">
        <w:rPr>
          <w:rFonts w:ascii="Aptos" w:eastAsia="Aptos" w:hAnsi="Aptos" w:cs="Aptos"/>
        </w:rPr>
        <w:t>Matt Egan</w:t>
      </w:r>
      <w:r w:rsidR="00CE0241" w:rsidRPr="00CE0241">
        <w:rPr>
          <w:rFonts w:ascii="Aptos" w:eastAsia="Aptos" w:hAnsi="Aptos" w:cs="Aptos"/>
          <w:vertAlign w:val="superscript"/>
        </w:rPr>
        <w:t>1</w:t>
      </w:r>
      <w:r w:rsidRPr="00163F3F">
        <w:rPr>
          <w:rFonts w:ascii="Aptos" w:eastAsia="Aptos" w:hAnsi="Aptos" w:cs="Aptos"/>
        </w:rPr>
        <w:t xml:space="preserve">, </w:t>
      </w:r>
      <w:r w:rsidR="00721DF0">
        <w:rPr>
          <w:rFonts w:ascii="Aptos" w:eastAsia="Aptos" w:hAnsi="Aptos" w:cs="Aptos"/>
        </w:rPr>
        <w:t xml:space="preserve">Professor, </w:t>
      </w:r>
      <w:hyperlink r:id="rId22" w:history="1">
        <w:r w:rsidR="00B92BEB" w:rsidRPr="00DF0EB5">
          <w:rPr>
            <w:rStyle w:val="Hyperlink"/>
            <w:rFonts w:ascii="Aptos" w:eastAsia="Aptos" w:hAnsi="Aptos" w:cs="Aptos"/>
          </w:rPr>
          <w:t>matt.egan@lshtm.ac.uk</w:t>
        </w:r>
      </w:hyperlink>
      <w:r w:rsidR="00B92BEB">
        <w:rPr>
          <w:rFonts w:ascii="Aptos" w:eastAsia="Aptos" w:hAnsi="Aptos" w:cs="Aptos"/>
        </w:rPr>
        <w:t xml:space="preserve"> </w:t>
      </w:r>
      <w:r w:rsidR="0066320E" w:rsidRPr="00163F3F">
        <w:rPr>
          <w:rFonts w:ascii="Aptos" w:eastAsia="Aptos" w:hAnsi="Aptos" w:cs="Aptos"/>
        </w:rPr>
        <w:t xml:space="preserve"> </w:t>
      </w:r>
    </w:p>
    <w:p w14:paraId="4D44C3C7" w14:textId="77777777" w:rsidR="001566C1" w:rsidRDefault="001566C1" w:rsidP="007F4BA8">
      <w:pPr>
        <w:spacing w:after="0"/>
        <w:ind w:left="720" w:hanging="720"/>
        <w:rPr>
          <w:rFonts w:ascii="Aptos" w:eastAsia="Aptos" w:hAnsi="Aptos" w:cs="Aptos"/>
        </w:rPr>
      </w:pPr>
    </w:p>
    <w:p w14:paraId="138AB236" w14:textId="7FCBDBEA" w:rsidR="009A76DC" w:rsidRPr="001740B5" w:rsidRDefault="001740B5" w:rsidP="00A619D3">
      <w:pPr>
        <w:pStyle w:val="ListParagraph"/>
        <w:numPr>
          <w:ilvl w:val="0"/>
          <w:numId w:val="1"/>
        </w:numPr>
        <w:spacing w:line="240" w:lineRule="auto"/>
        <w:ind w:left="360"/>
        <w:rPr>
          <w:rFonts w:ascii="Aptos" w:eastAsia="Aptos" w:hAnsi="Aptos" w:cs="Aptos"/>
        </w:rPr>
      </w:pPr>
      <w:r w:rsidRPr="001740B5">
        <w:rPr>
          <w:rFonts w:ascii="Aptos" w:eastAsia="Aptos" w:hAnsi="Aptos" w:cs="Aptos"/>
        </w:rPr>
        <w:t>Department for Public Health, Environment and Society, London School of Hygiene and Tropical Medicine, London, UK</w:t>
      </w:r>
    </w:p>
    <w:p w14:paraId="043BA8EA" w14:textId="463168D7" w:rsidR="001740B5" w:rsidRDefault="00870D79" w:rsidP="00A619D3">
      <w:pPr>
        <w:pStyle w:val="ListParagraph"/>
        <w:numPr>
          <w:ilvl w:val="0"/>
          <w:numId w:val="1"/>
        </w:numPr>
        <w:spacing w:line="240" w:lineRule="auto"/>
        <w:ind w:left="360"/>
      </w:pPr>
      <w:proofErr w:type="spellStart"/>
      <w:r w:rsidRPr="00870D79">
        <w:t>Panteion</w:t>
      </w:r>
      <w:proofErr w:type="spellEnd"/>
      <w:r w:rsidRPr="00870D79">
        <w:t xml:space="preserve"> University of Social and Political Sciences, Athens, Greece</w:t>
      </w:r>
    </w:p>
    <w:p w14:paraId="57308709" w14:textId="5F6161C4" w:rsidR="00870D79" w:rsidRDefault="00441F51" w:rsidP="00A619D3">
      <w:pPr>
        <w:pStyle w:val="ListParagraph"/>
        <w:numPr>
          <w:ilvl w:val="0"/>
          <w:numId w:val="1"/>
        </w:numPr>
        <w:spacing w:line="240" w:lineRule="auto"/>
        <w:ind w:left="360"/>
      </w:pPr>
      <w:r w:rsidRPr="00441F51">
        <w:t>Institute of Population Health, University of Liverpool, Liverpool, UK</w:t>
      </w:r>
    </w:p>
    <w:p w14:paraId="66EFDE84" w14:textId="3A63D1FC" w:rsidR="00441F51" w:rsidRDefault="00441F51" w:rsidP="00A619D3">
      <w:pPr>
        <w:pStyle w:val="ListParagraph"/>
        <w:numPr>
          <w:ilvl w:val="0"/>
          <w:numId w:val="1"/>
        </w:numPr>
        <w:spacing w:line="240" w:lineRule="auto"/>
        <w:ind w:left="360"/>
      </w:pPr>
      <w:r w:rsidRPr="00441F51">
        <w:t>Centre for Health Inequalities Research, Lancaster University</w:t>
      </w:r>
      <w:r w:rsidR="00BC3047">
        <w:t>, Lancaster, UK</w:t>
      </w:r>
    </w:p>
    <w:p w14:paraId="79F43890" w14:textId="18D061A9" w:rsidR="00BC3047" w:rsidRDefault="00C77E1B" w:rsidP="00A619D3">
      <w:pPr>
        <w:pStyle w:val="ListParagraph"/>
        <w:numPr>
          <w:ilvl w:val="0"/>
          <w:numId w:val="1"/>
        </w:numPr>
        <w:spacing w:line="240" w:lineRule="auto"/>
        <w:ind w:left="360"/>
      </w:pPr>
      <w:r>
        <w:t>London Borough of Islington, London, UK</w:t>
      </w:r>
    </w:p>
    <w:p w14:paraId="535D02AB" w14:textId="158D54FB" w:rsidR="00C77E1B" w:rsidRDefault="00C74F27" w:rsidP="00A619D3">
      <w:pPr>
        <w:pStyle w:val="ListParagraph"/>
        <w:numPr>
          <w:ilvl w:val="0"/>
          <w:numId w:val="1"/>
        </w:numPr>
        <w:spacing w:line="240" w:lineRule="auto"/>
        <w:ind w:left="360"/>
      </w:pPr>
      <w:r>
        <w:t>PPI, London, UK</w:t>
      </w:r>
    </w:p>
    <w:p w14:paraId="640BA045" w14:textId="229EF747" w:rsidR="00C74F27" w:rsidRDefault="00C115C3" w:rsidP="00A619D3">
      <w:pPr>
        <w:pStyle w:val="ListParagraph"/>
        <w:numPr>
          <w:ilvl w:val="0"/>
          <w:numId w:val="1"/>
        </w:numPr>
        <w:spacing w:line="240" w:lineRule="auto"/>
        <w:ind w:left="360"/>
      </w:pPr>
      <w:r w:rsidRPr="00C115C3">
        <w:t>Centre for Inequalities</w:t>
      </w:r>
      <w:r w:rsidR="00F70B75" w:rsidRPr="00F70B75">
        <w:t>, University of Greenwich, London, UK</w:t>
      </w:r>
    </w:p>
    <w:p w14:paraId="06E5B231" w14:textId="63C062FE" w:rsidR="00087A17" w:rsidRDefault="00087A17" w:rsidP="00A619D3">
      <w:pPr>
        <w:pStyle w:val="ListParagraph"/>
        <w:numPr>
          <w:ilvl w:val="0"/>
          <w:numId w:val="1"/>
        </w:numPr>
        <w:spacing w:line="240" w:lineRule="auto"/>
        <w:ind w:left="360"/>
      </w:pPr>
      <w:r w:rsidRPr="00087A17">
        <w:t>Centre for Public Health, University of Bristol, Bristol, UK</w:t>
      </w:r>
    </w:p>
    <w:p w14:paraId="4CAFD390" w14:textId="13F1F749" w:rsidR="00487B26" w:rsidRDefault="00487B26" w:rsidP="00A619D3">
      <w:pPr>
        <w:spacing w:line="240" w:lineRule="auto"/>
      </w:pPr>
      <w:r>
        <w:t>*) Corresponding author</w:t>
      </w:r>
    </w:p>
    <w:p w14:paraId="053A0C9F" w14:textId="77777777" w:rsidR="00087A17" w:rsidRPr="001740B5" w:rsidRDefault="00087A17" w:rsidP="00087A17">
      <w:pPr>
        <w:spacing w:line="240" w:lineRule="auto"/>
        <w:ind w:left="360"/>
      </w:pPr>
    </w:p>
    <w:p w14:paraId="57954C2B" w14:textId="5E8741B7" w:rsidR="005C128C" w:rsidRDefault="00B25BAD" w:rsidP="00BA5ADC">
      <w:pPr>
        <w:spacing w:line="240" w:lineRule="auto"/>
      </w:pPr>
      <w:r w:rsidRPr="158BAC07">
        <w:rPr>
          <w:b/>
          <w:bCs/>
        </w:rPr>
        <w:t xml:space="preserve">Acknowledgements   </w:t>
      </w:r>
      <w:r>
        <w:t>We thank Prof Tomoki Nagaya, Tohoku University, for advice on spatial statistics at an early stage of the project. We are also indebted to Dr Tanith Rose and Prof Ben Barr, University of Liverpool, who made contributions to the protocol for the wider study. Prof Barr also helped secure funding for the project.</w:t>
      </w:r>
    </w:p>
    <w:p w14:paraId="22CA95DC" w14:textId="77777777" w:rsidR="00CF1154" w:rsidRDefault="00CF1154" w:rsidP="00BA5ADC">
      <w:pPr>
        <w:spacing w:line="240" w:lineRule="auto"/>
      </w:pPr>
    </w:p>
    <w:p w14:paraId="47781CAF" w14:textId="77777777" w:rsidR="00E6661D" w:rsidRDefault="00E6661D" w:rsidP="00E6661D">
      <w:pPr>
        <w:spacing w:line="240" w:lineRule="auto"/>
      </w:pPr>
      <w:r w:rsidRPr="4083D90E">
        <w:rPr>
          <w:b/>
          <w:bCs/>
        </w:rPr>
        <w:t xml:space="preserve">Declaration of conflicting interest   </w:t>
      </w:r>
      <w:r>
        <w:t xml:space="preserve">RS works for Safer Renting, a part of the third sector organisation Cambridge House (https://ch1889.org; accessed 12 May 2025), a London based independent charity committed to promoting change that can improve the quality of life and wellbeing of people who are affected by the systemic poverty, social injustice and inequality in our society. ME and JS are advisors to a Safer Renting research project. ME was commissioned by Cambridge House to conduct a rapid literature review for this project. DM works part-time at LSHTM and part-time as a Senior Public Health Strategist at Islington Borough Council. ME and JS are two of the co-chairs of the London Public Health and Housing Network. This is an unfunded role. The Network links third sector and community stakeholders, local (London) public sector </w:t>
      </w:r>
      <w:r>
        <w:lastRenderedPageBreak/>
        <w:t xml:space="preserve">practitioners, national policy stakeholders, and researchers interested in Public Health and Housing. DH is a member of Homes for All campaign, Acorn Community Union, and </w:t>
      </w:r>
      <w:proofErr w:type="spellStart"/>
      <w:r>
        <w:t>Medact</w:t>
      </w:r>
      <w:proofErr w:type="spellEnd"/>
      <w:r>
        <w:t xml:space="preserve"> as well as board member for Action on Empty Homes. The research team includes private rented housing tenants, private rented housing landlords, and owner occupiers. Some members of the team reside in local authorities that have implemented selective licensing schemes.</w:t>
      </w:r>
    </w:p>
    <w:p w14:paraId="536685B4" w14:textId="77777777" w:rsidR="00CF1154" w:rsidRPr="00373A59" w:rsidRDefault="00CF1154" w:rsidP="00E6661D">
      <w:pPr>
        <w:spacing w:line="240" w:lineRule="auto"/>
      </w:pPr>
    </w:p>
    <w:p w14:paraId="65F14C73" w14:textId="77777777" w:rsidR="00E6661D" w:rsidRPr="00417862" w:rsidRDefault="00E6661D" w:rsidP="00E6661D">
      <w:pPr>
        <w:spacing w:line="240" w:lineRule="auto"/>
        <w:rPr>
          <w:b/>
          <w:bCs/>
        </w:rPr>
      </w:pPr>
      <w:r w:rsidRPr="00417862">
        <w:rPr>
          <w:b/>
          <w:bCs/>
        </w:rPr>
        <w:t>Funding statement</w:t>
      </w:r>
      <w:r w:rsidRPr="009D51F0">
        <w:t xml:space="preserve">   This study is funded by the </w:t>
      </w:r>
      <w:r>
        <w:t>National Institute of Health and care Research (</w:t>
      </w:r>
      <w:r w:rsidRPr="009D51F0">
        <w:t>NIHR</w:t>
      </w:r>
      <w:r>
        <w:t>)</w:t>
      </w:r>
      <w:r w:rsidRPr="009D51F0">
        <w:t xml:space="preserve"> </w:t>
      </w:r>
      <w:r>
        <w:t>Public Health Research (</w:t>
      </w:r>
      <w:r w:rsidRPr="009D51F0">
        <w:t>PHR</w:t>
      </w:r>
      <w:r>
        <w:t>) stream</w:t>
      </w:r>
      <w:r w:rsidRPr="009D51F0">
        <w:t xml:space="preserve"> (NIHR154797). The views expressed are those of the authors and not necessarily those of the NIHR or the Department of Health and Social Care.</w:t>
      </w:r>
    </w:p>
    <w:p w14:paraId="491B96C5" w14:textId="77777777" w:rsidR="00CF1154" w:rsidRDefault="00CF1154" w:rsidP="00E6661D">
      <w:pPr>
        <w:spacing w:line="240" w:lineRule="auto"/>
        <w:rPr>
          <w:b/>
          <w:bCs/>
        </w:rPr>
      </w:pPr>
    </w:p>
    <w:p w14:paraId="750EC0AD" w14:textId="1F2427E7" w:rsidR="00E6661D" w:rsidRPr="00417862" w:rsidRDefault="00E6661D" w:rsidP="00E6661D">
      <w:pPr>
        <w:spacing w:line="240" w:lineRule="auto"/>
        <w:rPr>
          <w:b/>
          <w:bCs/>
        </w:rPr>
      </w:pPr>
      <w:r w:rsidRPr="00417862">
        <w:rPr>
          <w:b/>
          <w:bCs/>
        </w:rPr>
        <w:t>Ethical approval</w:t>
      </w:r>
      <w:r>
        <w:rPr>
          <w:b/>
          <w:bCs/>
        </w:rPr>
        <w:t xml:space="preserve">   </w:t>
      </w:r>
      <w:r>
        <w:t>E</w:t>
      </w:r>
      <w:r w:rsidRPr="00D36F06">
        <w:t xml:space="preserve">thical approval </w:t>
      </w:r>
      <w:r>
        <w:t xml:space="preserve">has been obtained from </w:t>
      </w:r>
      <w:r w:rsidRPr="00D36F06">
        <w:t>London School of Hygiene &amp; Tropical Medicine</w:t>
      </w:r>
      <w:r>
        <w:t>’s ethics committee</w:t>
      </w:r>
      <w:r w:rsidRPr="00D36F06">
        <w:t xml:space="preserve"> (LSHTM submission number: 29809</w:t>
      </w:r>
      <w:r>
        <w:t>).</w:t>
      </w:r>
    </w:p>
    <w:p w14:paraId="741AE961" w14:textId="77777777" w:rsidR="00E6661D" w:rsidRDefault="00E6661D" w:rsidP="00BA5ADC">
      <w:pPr>
        <w:spacing w:line="240" w:lineRule="auto"/>
      </w:pPr>
    </w:p>
    <w:p w14:paraId="377C2CAD" w14:textId="77777777" w:rsidR="00EE0150" w:rsidRPr="00063FA4" w:rsidRDefault="00EE0150" w:rsidP="00EE0150">
      <w:pPr>
        <w:rPr>
          <w:b/>
          <w:bCs/>
        </w:rPr>
      </w:pPr>
      <w:r w:rsidRPr="00063FA4">
        <w:rPr>
          <w:b/>
          <w:bCs/>
        </w:rPr>
        <w:t>Abstract</w:t>
      </w:r>
    </w:p>
    <w:p w14:paraId="31CABBB8" w14:textId="77777777" w:rsidR="00EE0150" w:rsidRDefault="00EE0150" w:rsidP="00EE0150">
      <w:r>
        <w:t xml:space="preserve">Since 2006 English Local Authorities (LA) have had discretionary powers to implement a type of landlord licensing scheme, Selective Licensing (SL), in the private rental sector. The scheme is intended to improve housing standards in areas marked by antisocial behaviour, poor housing conditions, low housing demand, and high levels of migration, deprivation, and crime. Yet up to 2019, only 15% of LA had adopted SL. </w:t>
      </w:r>
    </w:p>
    <w:p w14:paraId="499057A3" w14:textId="77777777" w:rsidR="00EE0150" w:rsidRDefault="00EE0150" w:rsidP="00EE0150">
      <w:r>
        <w:t xml:space="preserve">We examine temporal, socio-economic, and geographical factors associated with SL adoption between 2006 and 2019, focusing on: A) overall temporal trends in adoption, B) socio-economic factors in adoption on their own; and in relation to C) regional diffusion processes. To examine these factors, we applied cumulative adoption rate, logit, and spatial autoregressive logit (SAL) models considering 1st and 2nd order LA neighbours. The influence of socio-economic factors was studied using multiple variables and by coding the LA with the Census 2011 LA classification.  </w:t>
      </w:r>
    </w:p>
    <w:p w14:paraId="417EE13B" w14:textId="77777777" w:rsidR="00EE0150" w:rsidRDefault="00EE0150" w:rsidP="00EE0150">
      <w:r>
        <w:t xml:space="preserve">The adoption curve showed that the policy has only been adopted at a slow rate. The adoption rate did however increase slightly at the point when the justifiable reasons for implementing SL were expanded. The logit and SAL models showed that higher proportions of the population receiving Income Support was a powerful determinant, while spatial spillovers were not statistically significant. The same was true in SAL with Census classification exposure showing stronger associations with larger urban areas than with spatial spillovers. We note that SL is absent from large parts of Mid- and South-England, so even without evidence of regional diffusion on a local scale it may still exist on a larger scale. </w:t>
      </w:r>
    </w:p>
    <w:p w14:paraId="3B93662E" w14:textId="77777777" w:rsidR="00EE0150" w:rsidRDefault="00EE0150" w:rsidP="00EE0150">
      <w:r>
        <w:t xml:space="preserve">We conclude that SL adoption has been slow, regionally patchy, and more correlated with socio-economic factors than with regional diffusion processes. </w:t>
      </w:r>
      <w:r w:rsidRPr="00B03DF1">
        <w:t>Resource and staffing constraints as well as i</w:t>
      </w:r>
      <w:r>
        <w:t>nternal organisational/political and policy-related factors are likely barriers to adoption. More qualitative evidence is needed from local areas including from those that never adopted SL.</w:t>
      </w:r>
    </w:p>
    <w:p w14:paraId="33C213BE" w14:textId="77777777" w:rsidR="00EE0150" w:rsidRDefault="00EE0150" w:rsidP="00BA5ADC">
      <w:pPr>
        <w:spacing w:line="240" w:lineRule="auto"/>
      </w:pPr>
    </w:p>
    <w:p w14:paraId="393FB5D8" w14:textId="77777777" w:rsidR="001566C1" w:rsidRDefault="001566C1">
      <w:pPr>
        <w:rPr>
          <w:b/>
          <w:bCs/>
        </w:rPr>
      </w:pPr>
      <w:r>
        <w:rPr>
          <w:b/>
          <w:bCs/>
        </w:rPr>
        <w:br w:type="page"/>
      </w:r>
    </w:p>
    <w:p w14:paraId="307BFA1C" w14:textId="62177711" w:rsidR="00EE0150" w:rsidRPr="0023699D" w:rsidRDefault="00EE0150" w:rsidP="00EE0150">
      <w:pPr>
        <w:rPr>
          <w:b/>
          <w:bCs/>
        </w:rPr>
      </w:pPr>
      <w:r w:rsidRPr="15880E7C">
        <w:rPr>
          <w:b/>
          <w:bCs/>
        </w:rPr>
        <w:lastRenderedPageBreak/>
        <w:t>Introduction</w:t>
      </w:r>
    </w:p>
    <w:p w14:paraId="1F36C73C" w14:textId="77777777" w:rsidR="00EE0150" w:rsidRDefault="00EE0150" w:rsidP="00EE0150">
      <w:r>
        <w:t xml:space="preserve">Poor housing conditions in England's expanding private rental sector (PRS) have significant implications for the health and well-being of tenants, exacerbating existing health and social inequalities </w:t>
      </w:r>
      <w:r>
        <w:fldChar w:fldCharType="begin"/>
      </w:r>
      <w:r>
        <w:instrText xml:space="preserve"> ADDIN ZOTERO_ITEM CSL_CITATION {"citationID":"nnm2Mjve","properties":{"formattedCitation":"(Department for Levelling Up, Housing, and Communities, 2022b; Garrett et al., 2021; Howden-Chapman et al., 2023)","plainCitation":"(Department for Levelling Up, Housing, and Communities, 2022b; Garrett et al., 2021; Howden-Chapman et al., 2023)","noteIndex":0},"citationItems":[{"id":1503,"uris":["http://zotero.org/users/714468/items/RQNSDE5G",["http://zotero.org/users/714468/items/RQNSDE5G"],["http://zotero.org/users/714468/items/RQNSDE5G",["http://zotero.org/users/714468/items/RQNSDE5G"]]],"itemData":{"id":1503,"type":"report","event-place":"London, UK","publisher-place":"London, UK","title":"Policy paper: A fairer private rented sector","URL":"https://www.gov.uk/government/publications/a-fairer-private-rented-sector/a-fairer-private-rented-sector","author":[{"family":"Department for Levelling Up, Housing, and Communities","given":""}],"issued":{"date-parts":[["2022"]]}}},{"id":1530,"uris":["http://zotero.org/users/714468/items/IHPJZCM7"],"itemData":{"id":1530,"type":"report","event-place":"Watford, UK","genre":"Briefing paper","publisher":"BRE Group","publisher-place":"Watford, UK","title":"The cost of poor housing in England","author":[{"family":"Garrett","given":"Helen"},{"family":"Mackay","given":"Molly"},{"family":"Nicol","given":"Simon"},{"family":"Piddington","given":"Justine"},{"family":"Roys","given":"Mike"}],"issued":{"date-parts":[["2021"]]}}},{"id":1908,"uris":["http://zotero.org/users/714468/items/Z2QK93W7"],"itemData":{"id":1908,"type":"article-journal","abstract":"Housing quality is essential for population health and broader well-being. The World Health Organization housing and health guidelines highlight interventions that protect occupants from cold and hot temperatures, injuries, and other hazards. The COVID-19 pandemic has emphasized the importance of ventilation standards. Housing standards are unevenly developed, implemented, and monitored globally, despite robust research demonstrating that retrofitting existing houses and constructing high-quality new ones can reduce respiratory, cardiovascular, and infectious diseases. Indigenous peoples, ethnic minorities, and people with low incomes face cumulative disadvantages that are exacerbated by poor-quality housing. These can be partially ameliorated by community-based programs to improve housing quality, particularly for children and older people, who are hospitalized more often for housing-related illnesses. There is renewed interest among policy makers and researchers in the health and well-being of people in public and subsidized housing, who are disproportionately disadvantaged by avoidable housing-related diseases and injuries. Improving the overall quality of new and existing housing and neighborhoods has multiple cobenefits, including reducing carbon emissions. Expected final online publication date for the Annual Review of Public Health, Volume 44 is April 2023. Please see http://www.annualreviews.org/page/journal/pubdates for revised estimates.","container-title":"Annual Review of Public Health","DOI":"10.1146/annurev-publhealth-071521-111836","issue":"1","note":"_eprint: https://doi.org/10.1146/annurev-publhealth-071521-111836\nPMID: 36525958","page":"233–254","source":"Annual Reviews","title":"Review of the Impact of Housing Quality on Inequalities in Health and Well-Being","volume":"44","author":[{"family":"Howden-Chapman","given":"Philippa"},{"family":"Bennett","given":"Julie"},{"family":"Edwards","given":"Richard"},{"family":"Jacobs","given":"David"},{"family":"Nathan","given":"Kim"},{"family":"Ormandy","given":"David"}],"issued":{"date-parts":[["2023"]]}}}],"schema":"https://github.com/citation-style-language/schema/raw/master/csl-citation.json"} </w:instrText>
      </w:r>
      <w:r>
        <w:fldChar w:fldCharType="separate"/>
      </w:r>
      <w:r w:rsidRPr="15880E7C">
        <w:rPr>
          <w:rFonts w:ascii="Aptos" w:hAnsi="Aptos"/>
        </w:rPr>
        <w:t>(Department for Levelling Up, Housing, and Communities, 2022b; Garrett et al., 2021; Howden-Chapman et al., 2023)</w:t>
      </w:r>
      <w:r>
        <w:fldChar w:fldCharType="end"/>
      </w:r>
      <w:r>
        <w:t xml:space="preserve">. To address such issues, the 2004 Housing Act empowered English local authorities from 2006 onwards to implement Selective Licensing (SL), a scheme aimed at improving housing standards. Despite widespread housing issues </w:t>
      </w:r>
      <w:r>
        <w:fldChar w:fldCharType="begin"/>
      </w:r>
      <w:r>
        <w:instrText xml:space="preserve"> ADDIN ZOTERO_ITEM CSL_CITATION {"citationID":"cn9eI2Na","properties":{"formattedCitation":"(Department for Levelling Up, Housing, and Communities, 2022a)","plainCitation":"(Department for Levelling Up, Housing, and Communities, 2022a)","noteIndex":0},"citationItems":[{"id":1751,"uris":["http://zotero.org/users/714468/items/28DV344A",["http://zotero.org/users/714468/items/28DV344A"],["http://zotero.org/users/714468/items/28DV344A",["http://zotero.org/users/714468/items/28DV344A"]]],"itemData":{"id":1751,"type":"webpage","container-title":"GOV.UK","language":"en","title":"English Housing Survey 2021 to 2022: headline report","title-short":"English Housing Survey 2021 to 2022","URL":"https://www.gov.uk/government/statistics/english-housing-survey-2021-to-2022-headline-report/english-housing-survey-2021-to-2022-headline-report","author":[{"family":"Department for Levelling Up, Housing, and Communities","given":""}],"accessed":{"date-parts":[["2023",3,9]]},"issued":{"date-parts":[["2022"]]}}}],"schema":"https://github.com/citation-style-language/schema/raw/master/csl-citation.json"} </w:instrText>
      </w:r>
      <w:r>
        <w:fldChar w:fldCharType="separate"/>
      </w:r>
      <w:r w:rsidRPr="15880E7C">
        <w:rPr>
          <w:rFonts w:ascii="Aptos" w:hAnsi="Aptos"/>
        </w:rPr>
        <w:t>(Department for Levelling Up, Housing, and Communities, 2022a)</w:t>
      </w:r>
      <w:r>
        <w:fldChar w:fldCharType="end"/>
      </w:r>
      <w:r>
        <w:t>, only 15% of local authorities adopted SL by 2019 (Alexiou et al. , unpublished), suggesting that unexplored barriers are affecting adoption. The goal of this paper is to assess temporal, geographical, and socio-economic variation associated with SL adoption and to discuss the results in relation to key models of policy adoption and diffusion.</w:t>
      </w:r>
    </w:p>
    <w:p w14:paraId="13861214" w14:textId="77777777" w:rsidR="00EE0150" w:rsidRDefault="00EE0150" w:rsidP="00EE0150">
      <w:r>
        <w:t xml:space="preserve">In 1998, major areas of public policy such as housing, planning, education, health, and regeneration were in large part devolved to new elected seats of power in Northern Ireland, Scotland, and Wales. Powers reserved for the UK Westminster Parliament were the majority of taxation as well as social security, defence, energy, immigration, and constitutional matters </w:t>
      </w:r>
      <w:r>
        <w:fldChar w:fldCharType="begin"/>
      </w:r>
      <w:r>
        <w:instrText xml:space="preserve"> ADDIN ZOTERO_ITEM CSL_CITATION {"citationID":"33atssFC","properties":{"formattedCitation":"(McKee et al., 2017)","plainCitation":"(McKee et al., 2017)","noteIndex":0},"citationItems":[{"id":48,"uris":["http://zotero.org/users/714468/items/WHJXKHMC"],"itemData":{"id":48,"type":"article-journal","abstract":"Despite media headlines about ‘UK Housing Policy’ (see Financial Times, 2016; Guardian, 2014, 2016) housing policy has been a devolved matter since 1999. Prior to the establishment of the devolved ...","archive_location":"world","container-title":"Housing Studies","ISSN":"0267-3037","language":"EN","license":"© 2016 Informa UK Limited, trading as Taylor &amp; Francis Group","note":"publisher: Routledge","source":"www.tandfonline.com","title":"Housing policy in the UK: the importance of spatial nuance","title-short":"Housing policy in the UK","URL":"https://www.tandfonline.com/doi/full/10.1080/02673037.2016.1181722","author":[{"family":"McKee","given":"Kim"},{"family":"Muir","given":"Jenny"},{"family":"Moore","given":"Tom"}],"accessed":{"date-parts":[["2023",11,12]]},"issued":{"date-parts":[["2017",1,2]]}}}],"schema":"https://github.com/citation-style-language/schema/raw/master/csl-citation.json"} </w:instrText>
      </w:r>
      <w:r>
        <w:fldChar w:fldCharType="separate"/>
      </w:r>
      <w:r w:rsidRPr="4427C4BE">
        <w:rPr>
          <w:rFonts w:ascii="Aptos" w:hAnsi="Aptos"/>
        </w:rPr>
        <w:t>(McKee et al., 2017)</w:t>
      </w:r>
      <w:r>
        <w:fldChar w:fldCharType="end"/>
      </w:r>
      <w:r>
        <w:t xml:space="preserve">. The devolution of housing policy has been somewhat fragmented. Most taxation issues have remained with Westminster where decisions around tax allowances may affect, for instance, the economics of landlordism </w:t>
      </w:r>
      <w:r>
        <w:fldChar w:fldCharType="begin"/>
      </w:r>
      <w:r>
        <w:instrText xml:space="preserve"> ADDIN ZOTERO_ITEM CSL_CITATION {"citationID":"5bAHqbhX","properties":{"formattedCitation":"(Maclennan et al., 2019)","plainCitation":"(Maclennan et al., 2019)","noteIndex":0},"citationItems":[{"id":49,"uris":["http://zotero.org/users/714468/items/TRVDZ734"],"itemData":{"id":49,"type":"webpage","abstract":"The Shaping Futures project is an international housing research and knowledge exchange program that focuses on comparative learning rather than simple policy transfer. It involves academics collaborating with policy and professional leaders in Australia, Britain, and Canada to address the challenges faced by their housing systems. This report emphasises the need for a new narrative... View Article","container-title":"CaCHE","language":"en-GB","title":"Shaping futures: changing the housing story (2017)","title-short":"Shaping futures","URL":"https://housingevidence.ac.uk/publications/shaping-futures-2017/","author":[{"family":"Maclennan","given":"Duncan"},{"family":"Pawson","given":"Hal"},{"family":"Gibb","given":"Kenneth"},{"family":"Chisholm","given":"Sharon"},{"family":"Hulchanski","given":"David"}],"accessed":{"date-parts":[["2023",11,11]]},"issued":{"date-parts":[["2019"]]}}}],"schema":"https://github.com/citation-style-language/schema/raw/master/csl-citation.json"} </w:instrText>
      </w:r>
      <w:r>
        <w:fldChar w:fldCharType="separate"/>
      </w:r>
      <w:r w:rsidRPr="4427C4BE">
        <w:rPr>
          <w:rFonts w:ascii="Aptos" w:hAnsi="Aptos"/>
        </w:rPr>
        <w:t>(Maclennan et al., 2019)</w:t>
      </w:r>
      <w:r>
        <w:fldChar w:fldCharType="end"/>
      </w:r>
      <w:r>
        <w:t xml:space="preserve">. Social security for housing (primarily Local Housing Allowance) and housing policies such as Help-to-Buy schemes have also remained within the domain of Westminster </w:t>
      </w:r>
      <w:r>
        <w:fldChar w:fldCharType="begin"/>
      </w:r>
      <w:r>
        <w:instrText xml:space="preserve"> ADDIN ZOTERO_ITEM CSL_CITATION {"citationID":"vJkzwAaE","properties":{"formattedCitation":"(Maclennan et al., 2019)","plainCitation":"(Maclennan et al., 2019)","noteIndex":0},"citationItems":[{"id":49,"uris":["http://zotero.org/users/714468/items/TRVDZ734"],"itemData":{"id":49,"type":"webpage","abstract":"The Shaping Futures project is an international housing research and knowledge exchange program that focuses on comparative learning rather than simple policy transfer. It involves academics collaborating with policy and professional leaders in Australia, Britain, and Canada to address the challenges faced by their housing systems. This report emphasises the need for a new narrative... View Article","container-title":"CaCHE","language":"en-GB","title":"Shaping futures: changing the housing story (2017)","title-short":"Shaping futures","URL":"https://housingevidence.ac.uk/publications/shaping-futures-2017/","author":[{"family":"Maclennan","given":"Duncan"},{"family":"Pawson","given":"Hal"},{"family":"Gibb","given":"Kenneth"},{"family":"Chisholm","given":"Sharon"},{"family":"Hulchanski","given":"David"}],"accessed":{"date-parts":[["2023",11,11]]},"issued":{"date-parts":[["2019"]]}}}],"schema":"https://github.com/citation-style-language/schema/raw/master/csl-citation.json"} </w:instrText>
      </w:r>
      <w:r>
        <w:fldChar w:fldCharType="separate"/>
      </w:r>
      <w:r w:rsidRPr="4427C4BE">
        <w:rPr>
          <w:rFonts w:ascii="Aptos" w:hAnsi="Aptos"/>
        </w:rPr>
        <w:t>(Maclennan et al., 2019)</w:t>
      </w:r>
      <w:r>
        <w:fldChar w:fldCharType="end"/>
      </w:r>
      <w:r>
        <w:t xml:space="preserve">. The UK mortgage market is determined by the Bank of England who set the base interest rates themselves. The regulation of tenure security, rental contracts, and dispute resolution, however, is the responsibility of the devolved governments </w:t>
      </w:r>
      <w:r>
        <w:fldChar w:fldCharType="begin"/>
      </w:r>
      <w:r>
        <w:instrText xml:space="preserve"> ADDIN ZOTERO_ITEM CSL_CITATION {"citationID":"1C5dqZ0b","properties":{"formattedCitation":"(Maclennan et al., 2019)","plainCitation":"(Maclennan et al., 2019)","noteIndex":0},"citationItems":[{"id":49,"uris":["http://zotero.org/users/714468/items/TRVDZ734"],"itemData":{"id":49,"type":"webpage","abstract":"The Shaping Futures project is an international housing research and knowledge exchange program that focuses on comparative learning rather than simple policy transfer. It involves academics collaborating with policy and professional leaders in Australia, Britain, and Canada to address the challenges faced by their housing systems. This report emphasises the need for a new narrative... View Article","container-title":"CaCHE","language":"en-GB","title":"Shaping futures: changing the housing story (2017)","title-short":"Shaping futures","URL":"https://housingevidence.ac.uk/publications/shaping-futures-2017/","author":[{"family":"Maclennan","given":"Duncan"},{"family":"Pawson","given":"Hal"},{"family":"Gibb","given":"Kenneth"},{"family":"Chisholm","given":"Sharon"},{"family":"Hulchanski","given":"David"}],"accessed":{"date-parts":[["2023",11,11]]},"issued":{"date-parts":[["2019"]]}}}],"schema":"https://github.com/citation-style-language/schema/raw/master/csl-citation.json"} </w:instrText>
      </w:r>
      <w:r>
        <w:fldChar w:fldCharType="separate"/>
      </w:r>
      <w:r w:rsidRPr="4427C4BE">
        <w:rPr>
          <w:rFonts w:ascii="Aptos" w:hAnsi="Aptos"/>
        </w:rPr>
        <w:t>(Maclennan et al., 2019)</w:t>
      </w:r>
      <w:r>
        <w:fldChar w:fldCharType="end"/>
      </w:r>
      <w:r>
        <w:t xml:space="preserve">. In England, Central government sets the overarching policies and regulatory frameworks and local authorities are responsible for regulation and enforcement locally </w:t>
      </w:r>
      <w:r>
        <w:fldChar w:fldCharType="begin"/>
      </w:r>
      <w:r>
        <w:instrText xml:space="preserve"> ADDIN ZOTERO_ITEM CSL_CITATION {"citationID":"DdMFHlrS","properties":{"formattedCitation":"(National Audit Office, 2021b)","plainCitation":"(National Audit Office, 2021b)","noteIndex":0},"citationItems":[{"id":1529,"uris":["http://zotero.org/users/714468/items/3VPKI5UQ"],"itemData":{"id":1529,"type":"report","event-place":"London, UK","publisher":"National Audit Office","publisher-place":"London, UK","title":"Regulation of private renting","author":[{"family":"National Audit Office","given":""}],"issued":{"date-parts":[["2021"]]}}}],"schema":"https://github.com/citation-style-language/schema/raw/master/csl-citation.json"} </w:instrText>
      </w:r>
      <w:r>
        <w:fldChar w:fldCharType="separate"/>
      </w:r>
      <w:r w:rsidRPr="0071482A">
        <w:rPr>
          <w:rFonts w:ascii="Aptos" w:hAnsi="Aptos"/>
        </w:rPr>
        <w:t>(National Audit Office, 2021b)</w:t>
      </w:r>
      <w:r>
        <w:fldChar w:fldCharType="end"/>
      </w:r>
      <w:r>
        <w:t xml:space="preserve">. Local government also plays a key part in administering and enforcing planning laws as well as operating local planning systems </w:t>
      </w:r>
      <w:r>
        <w:fldChar w:fldCharType="begin"/>
      </w:r>
      <w:r>
        <w:instrText xml:space="preserve"> ADDIN ZOTERO_ITEM CSL_CITATION {"citationID":"Pb4rJajz","properties":{"formattedCitation":"(Maclennan et al., 2019)","plainCitation":"(Maclennan et al., 2019)","noteIndex":0},"citationItems":[{"id":49,"uris":["http://zotero.org/users/714468/items/TRVDZ734"],"itemData":{"id":49,"type":"webpage","abstract":"The Shaping Futures project is an international housing research and knowledge exchange program that focuses on comparative learning rather than simple policy transfer. It involves academics collaborating with policy and professional leaders in Australia, Britain, and Canada to address the challenges faced by their housing systems. This report emphasises the need for a new narrative... View Article","container-title":"CaCHE","language":"en-GB","title":"Shaping futures: changing the housing story (2017)","title-short":"Shaping futures","URL":"https://housingevidence.ac.uk/publications/shaping-futures-2017/","author":[{"family":"Maclennan","given":"Duncan"},{"family":"Pawson","given":"Hal"},{"family":"Gibb","given":"Kenneth"},{"family":"Chisholm","given":"Sharon"},{"family":"Hulchanski","given":"David"}],"accessed":{"date-parts":[["2023",11,11]]},"issued":{"date-parts":[["2019"]]}}}],"schema":"https://github.com/citation-style-language/schema/raw/master/csl-citation.json"} </w:instrText>
      </w:r>
      <w:r>
        <w:fldChar w:fldCharType="separate"/>
      </w:r>
      <w:r w:rsidRPr="009E654A">
        <w:rPr>
          <w:rFonts w:ascii="Aptos" w:hAnsi="Aptos"/>
        </w:rPr>
        <w:t>(Maclennan et al., 2019)</w:t>
      </w:r>
      <w:r>
        <w:fldChar w:fldCharType="end"/>
      </w:r>
      <w:r>
        <w:t xml:space="preserve">. In between local and national government, some regions have formed a metropolitan layer of government with their own housing agendas. The devolution of powers to local authorities has been challenging. Many local authorities are trapped in a debt crisis as they face increasing demands for social care, temporary housing, and other services, while the core funding from central government has shrunk in absolute and in real terms and options to increase local taxes are severely limited </w:t>
      </w:r>
      <w:r>
        <w:fldChar w:fldCharType="begin"/>
      </w:r>
      <w:r>
        <w:instrText xml:space="preserve"> ADDIN ZOTERO_ITEM CSL_CITATION {"citationID":"4mkikJA8","properties":{"formattedCitation":"(Alexiou et al., 2023; Hastings et al., 2017; Jeffery, 2025)","plainCitation":"(Alexiou et al., 2023; Hastings et al., 2017; Jeffery, 2025)","noteIndex":0},"citationItems":[{"id":1913,"uris":["http://zotero.org/users/714468/items/U4NYRYMS"],"itemData":{"id":1913,"type":"article-journal","abstract":"Since 2010 there have been large reductions in funding for local government services in England. This has led to reduced income to fund services, such as housing services, that potentially promote health. Housing services expenditure includes spending on housing advice services, homelessness relief and provision of temporary accommodation. During the same period there has been an increase in homelessness and drug related mortality. We carried out an ecological study by linking data on housing services expenditure to deaths from drug and alcohol abuse by local authority in England between 2013 and 2018, to assess whether those areas that experienced a greater decline in spending, also experienced more adverse trends in mortality rates. Our results demonstrate that spending cuts were associated with increased mortality rates due to drug misuse, however, we found no strong evidence of an association with alcohol-specific mortality. This study suggests that reduced fiscal support alongside the introduction of policies that changed how funds are distributed between areas may in part explain the recent adverse trends in drug-related mortality. Since housing expenditure decreased more in the most deprived areas of England compared to less deprived areas, such spending cuts may have contributed to the widening of health inequalities. KEYWORDS Housing services; spending; drug; alcohol; mortality","container-title":"International Journal of Housing Policy","DOI":"10.1080/19491247.2021.2002660","ISSN":"1949-1247","issue":"2","note":"publisher: Routledge\n_eprint: https://doi.org/10.1080/19491247.2021.2002660","page":"362-380","source":"Taylor and Francis+NEJM","title":"Assessing the impact of funding cuts to local housing services on drug and alcohol related mortality: a longitudinal study using area-level data in England","title-short":"Assessing the impact of funding cuts to local housing services on drug and alcohol related mortality","volume":"23","author":[{"family":"Alexiou","given":"Alexandros"},{"family":"","given":"Mason ,Kate"},{"family":"","given":"Fahy ,Katie"},{"family":"","given":"Taylor-Robinson ,David"},{"family":"Barr","given":"Benjamin","non-dropping-particle":"and"}],"issued":{"date-parts":[["2023",4,3]]}}},{"id":1879,"uris":["http://zotero.org/users/714468/items/EPJUTKKJ"],"itemData":{"id":1879,"type":"article-journal","abstract":"That contemporary austerity is being realised to a large extent in and through cities is a growing theme in urban scholarship. Similarly, the concern that the economically marginalised are disproportionately impacted as ‘austerity urbanism’ takes hold drives a significant body of research. While it is clear that substantial austerity cuts are being downloaded onto cities and their governments, the evidence on whether it is the most disadvantaged fractions of the urban population which suffer as a consequence remains thin. Moreover, the mechanisms by which the downloading to the poor occurs are unclear. This paper identifies how austerity cuts are transmitted to the poor and marginalised in the context of severe cuts to the spending power of English local government. It identifies three transmission mechanisms and shows how these operate and with what outcomes, drawing on empirical evidence at the English national and local city levels. The paper provides robust evidence from national data sources and from in-depth, mixed-method case studies to show that the effects of austerity urbanism are borne most heavily by those who are already disadvantaged. It also demonstrates the importance of identifying the specific mechanisms by which downloading on to the poor occurs in particular national contexts, and how this contributes to understanding, and potentially resisting, the regressive logic of austerity urbanism.","container-title":"Environment and Planning A: Economy and Space","DOI":"10.1177/0308518X17714797","ISSN":"0308-518X","issue":"9","journalAbbreviation":"Environ Plan A","language":"EN","note":"publisher: SAGE Publications Ltd","page":"2007-2024","source":"SAGE Journals","title":"Austerity urbanism in England: The ‘regressive redistribution’ of local government services and the impact on the poor and marginalised","title-short":"Austerity urbanism in England","volume":"49","author":[{"family":"Hastings","given":"Annette"},{"family":"Bailey","given":"Nick"},{"family":"Bramley","given":"Glen"},{"family":"Gannon","given":"Maria"}],"issued":{"date-parts":[["2017",9,1]]}}},{"id":1937,"uris":["http://zotero.org/users/714468/items/XGJZVGJ3"],"itemData":{"id":1937,"type":"article-journal","abstract":"English local government faces a perilous position owing to insufficient funding, structural issues and capacity challenges. Fourteen years of austerity have significantly reduced council budgets, while increased demand for services—particularly adult social care—has strained resources. The current funding system is regressive and fails to incentivise economic growth, and the structure of local government is not fit for purpose due to a focus on unitary authorities, which are sub-optimal for service delivery. To address these issues, this article proposes a four-tier system of local government, a more robust funding mechanism and electoral reforms to ensure effective governance and representation.","container-title":"The Political Quarterly","DOI":"10.1111/1467-923X.13478","ISSN":"1467-923X","issue":"1","language":"en","license":"© 2025 The Author(s). The Political Quarterly published by John Wiley &amp; Sons Ltd on behalf of The Political Quarterly Publishing Co. Ltd.","note":"_eprint: https://onlinelibrary.wiley.com/doi/pdf/10.1111/1467-923X.13478","page":"199-205","source":"Wiley Online Library","title":"Broke and Broken: The Crises Facing Local Government in England","title-short":"Broke and Broken","volume":"96","author":[{"family":"Jeffery","given":"David"}],"issued":{"date-parts":[["2025"]]}}}],"schema":"https://github.com/citation-style-language/schema/raw/master/csl-citation.json"} </w:instrText>
      </w:r>
      <w:r>
        <w:fldChar w:fldCharType="separate"/>
      </w:r>
      <w:r w:rsidRPr="00F24E0A">
        <w:rPr>
          <w:rFonts w:ascii="Aptos" w:hAnsi="Aptos"/>
        </w:rPr>
        <w:t>(Alexiou et al., 2023; Hastings et al., 2017; Jeffery, 2025)</w:t>
      </w:r>
      <w:r>
        <w:fldChar w:fldCharType="end"/>
      </w:r>
      <w:r>
        <w:t xml:space="preserve">. At the same time, uneven economic growth has resulted in a persistent north-south divide across the country </w:t>
      </w:r>
      <w:r>
        <w:fldChar w:fldCharType="begin"/>
      </w:r>
      <w:r>
        <w:instrText xml:space="preserve"> ADDIN ZOTERO_ITEM CSL_CITATION {"citationID":"Ztk6w0xa","properties":{"formattedCitation":"(Marmot et al., 2020)","plainCitation":"(Marmot et al., 2020)","noteIndex":0},"citationItems":[{"id":1358,"uris":["http://zotero.org/users/714468/items/2YVGCPZ4"],"itemData":{"id":1358,"type":"webpage","abstract":"The Health Foundation is an independent charity committed to bringing about better health and health care for people in the UK. Find out more about us.","container-title":"The Health Foundation","language":"en","note":"source: www.health.org.uk","title":"Health Equity in England: The Marmot Review 10 Years On","title-short":"Health Equity in England","URL":"https://www.health.org.uk/publications/reports/the-marmot-review-10-years-on","author":[{"family":"Marmot","given":"Michael"},{"family":"Allen","given":"Jessica"},{"family":"Boyce","given":"Tammy"},{"family":"Goldblatt","given":"Peter"},{"family":"Morrison","given":"Joanna"}],"accessed":{"date-parts":[["2020",7,10]]},"issued":{"date-parts":[["2020"]]}}}],"schema":"https://github.com/citation-style-language/schema/raw/master/csl-citation.json"} </w:instrText>
      </w:r>
      <w:r>
        <w:fldChar w:fldCharType="separate"/>
      </w:r>
      <w:r w:rsidRPr="4427C4BE">
        <w:rPr>
          <w:rFonts w:ascii="Aptos" w:hAnsi="Aptos"/>
        </w:rPr>
        <w:t>(Marmot et al., 2020)</w:t>
      </w:r>
      <w:r>
        <w:fldChar w:fldCharType="end"/>
      </w:r>
      <w:r>
        <w:t xml:space="preserve">. </w:t>
      </w:r>
    </w:p>
    <w:p w14:paraId="19705578" w14:textId="77777777" w:rsidR="00EE0150" w:rsidRDefault="00EE0150" w:rsidP="00EE0150">
      <w:r>
        <w:t xml:space="preserve">In this space, the Housing Act (2004; enacted 2006) gave local authorities in England powers to intervene in the private rental market by setting up zoned landlord licensing schemes, known as Selective Licensing (SL), most commonly for five years at the time </w:t>
      </w:r>
      <w:r>
        <w:fldChar w:fldCharType="begin"/>
      </w:r>
      <w:r>
        <w:instrText xml:space="preserve"> ADDIN ZOTERO_ITEM CSL_CITATION {"citationID":"5MDAiSMO","properties":{"formattedCitation":"(Department for Communities and Local Government, 2015a)","plainCitation":"(Department for Communities and Local Government, 2015a)","noteIndex":0},"citationItems":[{"id":165,"uris":["http://zotero.org/users/714468/items/3MDU4F9Y"],"itemData":{"id":165,"type":"report","abstract":"Guidance explaining the criteria for making a selective licensing scheme.","event-place":"London, UK","language":"en","publisher-place":"London, UK","title":"Selective licensing in the private rented sector: a guide for local authorities","title-short":"Selective licensing in the private rented sector","URL":"https://www.gov.uk/government/publications/selective-licensing-in-the-private-rented-sector-a-guide-for-local-authorities","author":[{"family":"Department for Communities and Local Government","given":""}],"accessed":{"date-parts":[["2021",3,30]]},"issued":{"date-parts":[["2015"]]}}}],"schema":"https://github.com/citation-style-language/schema/raw/master/csl-citation.json"} </w:instrText>
      </w:r>
      <w:r>
        <w:fldChar w:fldCharType="separate"/>
      </w:r>
      <w:r w:rsidRPr="15880E7C">
        <w:rPr>
          <w:rFonts w:ascii="Aptos" w:hAnsi="Aptos"/>
        </w:rPr>
        <w:t>(Department for Communities and Local Government, 2015a)</w:t>
      </w:r>
      <w:r>
        <w:fldChar w:fldCharType="end"/>
      </w:r>
      <w:r>
        <w:t xml:space="preserve">. The schemes are for landlords of private rented homes occupied by single-occupancy households, which typically means single persons, couples, or groups of related tenants. </w:t>
      </w:r>
    </w:p>
    <w:p w14:paraId="058BAC06" w14:textId="77777777" w:rsidR="00EE0150" w:rsidRDefault="00EE0150" w:rsidP="00EE0150">
      <w:r>
        <w:t xml:space="preserve">Through SL, local authorities can proactively conduct health and safety inspections on registered properties and subsequently mandate landlords to remove hazards </w:t>
      </w:r>
      <w:r>
        <w:fldChar w:fldCharType="begin"/>
      </w:r>
      <w:r>
        <w:instrText xml:space="preserve"> ADDIN ZOTERO_ITEM CSL_CITATION {"citationID":"rzmmGG7r","properties":{"formattedCitation":"(Office of the Deputy Prime Minister, 2004)","plainCitation":"(Office of the Deputy Prime Minister, 2004)","noteIndex":0},"citationItems":[{"id":1880,"uris":["http://zotero.org/users/714468/items/N8X4QLXB"],"itemData":{"id":1880,"type":"bill","language":"en","note":"publisher: Queen's Printer of Acts of Parliament","title":"Explanatory Notes to Housing Act 2004","URL":"https://www.legislation.gov.uk/ukpga/2004/34/notes/contents","author":[{"family":"Office of the Deputy Prime Minister","given":""}],"accessed":{"date-parts":[["2021",3,30]]},"issued":{"date-parts":[["2004"]]}}}],"schema":"https://github.com/citation-style-language/schema/raw/master/csl-citation.json"} </w:instrText>
      </w:r>
      <w:r>
        <w:fldChar w:fldCharType="separate"/>
      </w:r>
      <w:r w:rsidRPr="15880E7C">
        <w:rPr>
          <w:rFonts w:ascii="Aptos" w:hAnsi="Aptos"/>
        </w:rPr>
        <w:t xml:space="preserve">(Office of the Deputy Prime </w:t>
      </w:r>
      <w:r w:rsidRPr="15880E7C">
        <w:rPr>
          <w:rFonts w:ascii="Aptos" w:hAnsi="Aptos"/>
        </w:rPr>
        <w:lastRenderedPageBreak/>
        <w:t>Minister, 2004)</w:t>
      </w:r>
      <w:r>
        <w:fldChar w:fldCharType="end"/>
      </w:r>
      <w:r>
        <w:t xml:space="preserve">. The registration process also involves documentation of gas and electricity safety certificates, checks of ownership and whether the landlord is a ‘fit and proper person’. SL generates licence fee income for the participating local authorities which can be put towards the costs of running a scheme. </w:t>
      </w:r>
    </w:p>
    <w:p w14:paraId="5A5303F9" w14:textId="77777777" w:rsidR="00EE0150" w:rsidRDefault="00EE0150" w:rsidP="00EE0150">
      <w:r>
        <w:t xml:space="preserve">The </w:t>
      </w:r>
      <w:proofErr w:type="gramStart"/>
      <w:r>
        <w:t>ultimate goal</w:t>
      </w:r>
      <w:proofErr w:type="gramEnd"/>
      <w:r>
        <w:t xml:space="preserve"> of SL is to improve PRS housing conditions. Local authorities are expected to target certain types of areas that according to the policy contain or attract problems with poor housing conditions, known as ‘initial </w:t>
      </w:r>
      <w:proofErr w:type="gramStart"/>
      <w:r>
        <w:t>conditions’</w:t>
      </w:r>
      <w:proofErr w:type="gramEnd"/>
      <w:r>
        <w:t xml:space="preserve">. The initial conditions were originally areas with high levels of antisocial behaviour (ASB) or low housing demand </w:t>
      </w:r>
      <w:r>
        <w:fldChar w:fldCharType="begin"/>
      </w:r>
      <w:r>
        <w:instrText xml:space="preserve"> ADDIN ZOTERO_ITEM CSL_CITATION {"citationID":"yOY71RO0","properties":{"formattedCitation":"(Department for Communities and Local Government, 2015a)","plainCitation":"(Department for Communities and Local Government, 2015a)","noteIndex":0},"citationItems":[{"id":165,"uris":["http://zotero.org/users/714468/items/3MDU4F9Y"],"itemData":{"id":165,"type":"report","abstract":"Guidance explaining the criteria for making a selective licensing scheme.","event-place":"London, UK","language":"en","publisher-place":"London, UK","title":"Selective licensing in the private rented sector: a guide for local authorities","title-short":"Selective licensing in the private rented sector","URL":"https://www.gov.uk/government/publications/selective-licensing-in-the-private-rented-sector-a-guide-for-local-authorities","author":[{"family":"Department for Communities and Local Government","given":""}],"accessed":{"date-parts":[["2021",3,30]]},"issued":{"date-parts":[["2015"]]}}}],"schema":"https://github.com/citation-style-language/schema/raw/master/csl-citation.json"} </w:instrText>
      </w:r>
      <w:r>
        <w:fldChar w:fldCharType="separate"/>
      </w:r>
      <w:r w:rsidRPr="1BAED364">
        <w:rPr>
          <w:rFonts w:ascii="Aptos" w:hAnsi="Aptos"/>
        </w:rPr>
        <w:t>(Department for Communities and Local Government, 2015a)</w:t>
      </w:r>
      <w:r>
        <w:fldChar w:fldCharType="end"/>
      </w:r>
      <w:r>
        <w:t xml:space="preserve">. The permissible conditions were expanded in 2015 to include areas with poor housing conditions, or areas high in migration, deprivation, or crime </w:t>
      </w:r>
      <w:r>
        <w:fldChar w:fldCharType="begin"/>
      </w:r>
      <w:r>
        <w:instrText xml:space="preserve"> ADDIN ZOTERO_ITEM CSL_CITATION {"citationID":"3ewpUCKu","properties":{"formattedCitation":"(Department for Communities and Local Government, 2015a)","plainCitation":"(Department for Communities and Local Government, 2015a)","noteIndex":0},"citationItems":[{"id":165,"uris":["http://zotero.org/users/714468/items/3MDU4F9Y"],"itemData":{"id":165,"type":"report","abstract":"Guidance explaining the criteria for making a selective licensing scheme.","event-place":"London, UK","language":"en","publisher-place":"London, UK","title":"Selective licensing in the private rented sector: a guide for local authorities","title-short":"Selective licensing in the private rented sector","URL":"https://www.gov.uk/government/publications/selective-licensing-in-the-private-rented-sector-a-guide-for-local-authorities","author":[{"family":"Department for Communities and Local Government","given":""}],"accessed":{"date-parts":[["2021",3,30]]},"issued":{"date-parts":[["2015"]]}}}],"schema":"https://github.com/citation-style-language/schema/raw/master/csl-citation.json"} </w:instrText>
      </w:r>
      <w:r>
        <w:fldChar w:fldCharType="separate"/>
      </w:r>
      <w:r w:rsidRPr="1BAED364">
        <w:rPr>
          <w:rFonts w:ascii="Aptos" w:hAnsi="Aptos"/>
        </w:rPr>
        <w:t>(Department for Communities and Local Government, 2015a)</w:t>
      </w:r>
      <w:r>
        <w:fldChar w:fldCharType="end"/>
      </w:r>
      <w:r>
        <w:t xml:space="preserve">. From 2015 to 2024, if more than 20% of the local authority by area or proportion of private rental homes were included in schemes, the local authorities had to obtain permission from central government to adopt SL </w:t>
      </w:r>
      <w:r>
        <w:fldChar w:fldCharType="begin"/>
      </w:r>
      <w:r>
        <w:instrText xml:space="preserve"> ADDIN ZOTERO_ITEM CSL_CITATION {"citationID":"hQkpbk2F","properties":{"formattedCitation":"(Ministry of Housing, Communities and Local Government, 2024b)","plainCitation":"(Ministry of Housing, Communities and Local Government, 2024b)","noteIndex":0},"citationItems":[{"id":1955,"uris":["http://zotero.org/users/714468/items/R8QLFTGZ"],"itemData":{"id":1955,"type":"report","language":"en","title":"Selective licensing in the private rented sector: a guide for local authorities","title-short":"Selective licensing in the private rented sector","URL":"https://www.gov.uk/government/publications/selective-licensing-in-the-private-rented-sector-a-guide-for-local-authorities/selective-licensing-in-the-private-rented-sector-a-guide-for-local-authorities","author":[{"family":"Ministry of Housing, Communities and Local Government","given":""}],"accessed":{"date-parts":[["2025",3,31]]},"issued":{"date-parts":[["2024"]]}}}],"schema":"https://github.com/citation-style-language/schema/raw/master/csl-citation.json"} </w:instrText>
      </w:r>
      <w:r>
        <w:fldChar w:fldCharType="separate"/>
      </w:r>
      <w:r w:rsidRPr="1BAED364">
        <w:rPr>
          <w:rFonts w:ascii="Aptos" w:hAnsi="Aptos"/>
        </w:rPr>
        <w:t>(Ministry of Housing, Communities and Local Government, 2024b)</w:t>
      </w:r>
      <w:r>
        <w:fldChar w:fldCharType="end"/>
      </w:r>
      <w:r>
        <w:t>.</w:t>
      </w:r>
    </w:p>
    <w:p w14:paraId="3DCC3E39" w14:textId="77777777" w:rsidR="00EE0150" w:rsidRDefault="00EE0150" w:rsidP="00EE0150">
      <w:r>
        <w:t xml:space="preserve">Local authority adoption of SL has been surprisingly slow considering the widespread problems with poor housing standards in PRS </w:t>
      </w:r>
      <w:r>
        <w:fldChar w:fldCharType="begin"/>
      </w:r>
      <w:r>
        <w:instrText xml:space="preserve"> ADDIN ZOTERO_ITEM CSL_CITATION {"citationID":"f8pVvEbC","properties":{"formattedCitation":"(Department for Levelling Up, Housing, and Communities, 2022a; Garrett et al., 2021)","plainCitation":"(Department for Levelling Up, Housing, and Communities, 2022a; Garrett et al., 2021)","noteIndex":0},"citationItems":[{"id":1751,"uris":["http://zotero.org/users/714468/items/28DV344A",["http://zotero.org/users/714468/items/28DV344A"],["http://zotero.org/users/714468/items/28DV344A",["http://zotero.org/users/714468/items/28DV344A"]]],"itemData":{"id":1751,"type":"webpage","container-title":"GOV.UK","language":"en","title":"English Housing Survey 2021 to 2022: headline report","title-short":"English Housing Survey 2021 to 2022","URL":"https://www.gov.uk/government/statistics/english-housing-survey-2021-to-2022-headline-report/english-housing-survey-2021-to-2022-headline-report","author":[{"family":"Department for Levelling Up, Housing, and Communities","given":""}],"accessed":{"date-parts":[["2023",3,9]]},"issued":{"date-parts":[["2022"]]}}},{"id":1530,"uris":["http://zotero.org/users/714468/items/IHPJZCM7"],"itemData":{"id":1530,"type":"report","event-place":"Watford, UK","genre":"Briefing paper","publisher":"BRE Group","publisher-place":"Watford, UK","title":"The cost of poor housing in England","author":[{"family":"Garrett","given":"Helen"},{"family":"Mackay","given":"Molly"},{"family":"Nicol","given":"Simon"},{"family":"Piddington","given":"Justine"},{"family":"Roys","given":"Mike"}],"issued":{"date-parts":[["2021"]]}}}],"schema":"https://github.com/citation-style-language/schema/raw/master/csl-citation.json"} </w:instrText>
      </w:r>
      <w:r>
        <w:fldChar w:fldCharType="separate"/>
      </w:r>
      <w:r w:rsidRPr="15880E7C">
        <w:rPr>
          <w:rFonts w:ascii="Aptos" w:hAnsi="Aptos"/>
        </w:rPr>
        <w:t>(Department for Levelling Up, Housing, and Communities, 2022a; Garrett et al., 2021)</w:t>
      </w:r>
      <w:r>
        <w:fldChar w:fldCharType="end"/>
      </w:r>
      <w:r>
        <w:t xml:space="preserve">. Our data show that only 15% of local authorities implemented one or more SL schemes from when the law was enacted in 2006 to the end of the study period in 2019 (Alexiou et al., unpublished).  </w:t>
      </w:r>
    </w:p>
    <w:p w14:paraId="5F7BF795" w14:textId="77777777" w:rsidR="00EE0150" w:rsidRDefault="00EE0150" w:rsidP="00EE0150">
      <w:r>
        <w:t xml:space="preserve">The use and effectiveness of SL have been subject to reviews based on interviews and surveys of local authority implementers </w:t>
      </w:r>
      <w:r>
        <w:fldChar w:fldCharType="begin"/>
      </w:r>
      <w:r>
        <w:instrText xml:space="preserve"> ADDIN ZOTERO_ITEM CSL_CITATION {"citationID":"uBTsVwbT","properties":{"formattedCitation":"(Lawrence and Wilson, 2019; National Audit Office, 2021b)","plainCitation":"(Lawrence and Wilson, 2019; National Audit Office, 2021b)","noteIndex":0},"citationItems":[{"id":164,"uris":["http://zotero.org/users/714468/items/DG55EQKI"],"itemData":{"id":164,"type":"report","abstract":"Findings from an independent review into the use and effectiveness of selective licensing.","event-place":"London, UK","language":"en","publisher":"Ministry of Housing, Communities and Local Government","publisher-place":"London, UK","title":"An independent review of the use and effectiveness of selective licensing","URL":"https://www.gov.uk/government/publications/selective-licensing-review","author":[{"family":"Lawrence","given":"Scott"},{"family":"Wilson","given":"Peter"}],"accessed":{"date-parts":[["2021",3,30]]},"issued":{"date-parts":[["2019"]]}}},{"id":1529,"uris":["http://zotero.org/users/714468/items/3VPKI5UQ"],"itemData":{"id":1529,"type":"report","event-place":"London, UK","publisher":"National Audit Office","publisher-place":"London, UK","title":"Regulation of private renting","author":[{"family":"National Audit Office","given":""}],"issued":{"date-parts":[["2021"]]}}}],"schema":"https://github.com/citation-style-language/schema/raw/master/csl-citation.json"} </w:instrText>
      </w:r>
      <w:r>
        <w:fldChar w:fldCharType="separate"/>
      </w:r>
      <w:r w:rsidRPr="00733AD3">
        <w:rPr>
          <w:rFonts w:ascii="Aptos" w:hAnsi="Aptos"/>
        </w:rPr>
        <w:t>(Lawrence and Wilson, 2019; National Audit Office, 2021b)</w:t>
      </w:r>
      <w:r>
        <w:fldChar w:fldCharType="end"/>
      </w:r>
      <w:r>
        <w:t xml:space="preserve">. With this work, however, we undertake quantitative analysis of secondary data to better understand what characterises areas with SL and discuss important barriers or enablers for adoption in relation to key theories for policy adoption </w:t>
      </w:r>
      <w:r>
        <w:fldChar w:fldCharType="begin"/>
      </w:r>
      <w:r>
        <w:instrText xml:space="preserve"> ADDIN ZOTERO_ITEM CSL_CITATION {"citationID":"5TV0bo15","properties":{"formattedCitation":"(Dolowitz and Marsh, 2000; Gavens et al., 2019)","plainCitation":"(Dolowitz and Marsh, 2000; Gavens et al., 2019)","noteIndex":0},"citationItems":[{"id":1777,"uris":["http://zotero.org/users/714468/items/NBTQ4I97"],"itemData":{"id":1777,"type":"article-journal","abstract":"In recent years there has been a growing body of literature within political science and international studies that directly and indirectly uses, discusses and analyzes the processes involved in lesson-drawing, policy convergence, policy diffusion and policy transfer. While the terminology and focus often vary, all of these studies are concerned with a similar process in which knowledge about policies, administrative arrangements, institutions and ideas in one political setting (past or present) is used in the development of policies, administrative arrangements, institutions and ideas in another political setting. Given that this is a growing phenomenon, it is something that anyone studying public policy needs to consider. As such, this article is divided into four major sections. The first section briefly considers the extent of, and reasons for, the growth of policy transfer. The second section then outlines a framework for the analysis of transfer. From here a third section presents a continuum for distinguishing between different types of policy transfer. Finally, the last section addresses the relationship between policy transfer and policy “failure.”","container-title":"Governance","DOI":"10.1111/0952-1895.00121","ISSN":"1468-0491","issue":"1","language":"en","license":"2000 Blackwell Publishers, Inc.","note":"_eprint: https://onlinelibrary.wiley.com/doi/pdf/10.1111/0952-1895.00121","page":"5-23","source":"Wiley Online Library","title":"Learning from Abroad: The Role of Policy Transfer in Contemporary Policy-Making","title-short":"Learning from Abroad","volume":"13","author":[{"family":"Dolowitz","given":"David P."},{"family":"Marsh","given":"David"}],"issued":{"date-parts":[["2000"]]}}},{"id":1201,"uris":["http://zotero.org/users/714468/items/SNPWWL3Q"],"itemData":{"id":1201,"type":"article-journal","abstract":"Background and aims\nRecent years have seen a rise in new and innovative policies to reduce alcohol consumption and related harm in England, which can be implemented by local, as opposed to national, policy-makers. The aim of this paper is to explore the processes that underpin the adoption of these alcohol policies within local authorities. In particular, it aims to assess whether the concept of policy transfer (i.e. a process through which knowledge about policies in one place is used in the development of policies in another time or place) provides a useful model for understanding local alcohol policy-making.\nMethods\nQualitative data generated through in-depth interviews and focus groups from five case study sites across England were used to explore stakeholder experiences of alcohol policy transfer between local authorities. The purposive sample of policy actors included representatives from the police, trading standards, public health, licensing, and commissioning. Thematic analysis was used inductively to identify key features in the data.\nResults\nThemes from the policy transfer literature identified in the data were: policy copying, emulating, hybridization, and inspiration. Participants described a multitude of ways in which learning was shared between places, ranging from formal academic evaluation to opportunistic conversations in informal settings. Participants also described facilitators and constraints to policy transfer, such as the historical policy context and the local cultural, economic, and bureaucratic context, which influenced whether or not a policy that was perceived to work in one place might be transferred successfully to another context.\nConclusions\nTheories of policy transfer provide a promising framework for characterising processes of local alcohol policy-making in England, extending beyond debates regarding evidence-informed policy to account for a much wider range of considerations. Applying a policy transfer lens enables us to move beyond simple (but still important) questions of what is supported by ‘robust’ research evidence by paying greater attention to how policy making is carried out in practice and the multiple methods by which policies diffuse across jurisdictions.","container-title":"Health &amp; Place","DOI":"10.1016/j.healthplace.2017.05.016","ISSN":"1353-8292","journalAbbreviation":"Health &amp; Place","page":"358-364","source":"ScienceDirect","title":"Processes of local alcohol policy-making in England: Does the theory of policy transfer provide useful insights into public health decision-making?","title-short":"Processes of local alcohol policy-making in England","volume":"57","author":[{"family":"Gavens","given":"Lucy"},{"family":"Holmes","given":"John"},{"family":"Buykx","given":"Penny"},{"family":"Vocht","given":"Frank","non-dropping-particle":"de"},{"family":"Egan","given":"Matt"},{"family":"Grace","given":"Daniel"},{"family":"Lock","given":"Karen"},{"family":"Mooney","given":"John D."},{"family":"Brennan","given":"Alan"}],"issued":{"date-parts":[["2019",5,1]]}}}],"schema":"https://github.com/citation-style-language/schema/raw/master/csl-citation.json"} </w:instrText>
      </w:r>
      <w:r>
        <w:fldChar w:fldCharType="separate"/>
      </w:r>
      <w:r w:rsidRPr="00693D6B">
        <w:rPr>
          <w:rFonts w:ascii="Aptos" w:hAnsi="Aptos"/>
        </w:rPr>
        <w:t>(Dolowitz and Marsh, 2000; Gavens et al., 2019)</w:t>
      </w:r>
      <w:r>
        <w:fldChar w:fldCharType="end"/>
      </w:r>
      <w:r>
        <w:t xml:space="preserve">. If it is the case that SL improves housing conditions, as much of the reports to date suggests </w:t>
      </w:r>
      <w:r>
        <w:fldChar w:fldCharType="begin"/>
      </w:r>
      <w:r>
        <w:instrText xml:space="preserve"> ADDIN ZOTERO_ITEM CSL_CITATION {"citationID":"CwoYUgUq","properties":{"formattedCitation":"(Lawrence and Wilson, 2019)","plainCitation":"(Lawrence and Wilson, 2019)","noteIndex":0},"citationItems":[{"id":164,"uris":["http://zotero.org/users/714468/items/DG55EQKI"],"itemData":{"id":164,"type":"report","abstract":"Findings from an independent review into the use and effectiveness of selective licensing.","event-place":"London, UK","language":"en","publisher":"Ministry of Housing, Communities and Local Government","publisher-place":"London, UK","title":"An independent review of the use and effectiveness of selective licensing","URL":"https://www.gov.uk/government/publications/selective-licensing-review","author":[{"family":"Lawrence","given":"Scott"},{"family":"Wilson","given":"Peter"}],"accessed":{"date-parts":[["2021",3,30]]},"issued":{"date-parts":[["2019"]]}}}],"schema":"https://github.com/citation-style-language/schema/raw/master/csl-citation.json"} </w:instrText>
      </w:r>
      <w:r>
        <w:fldChar w:fldCharType="separate"/>
      </w:r>
      <w:r w:rsidRPr="00574D54">
        <w:rPr>
          <w:rFonts w:ascii="Aptos" w:hAnsi="Aptos"/>
        </w:rPr>
        <w:t>(Lawrence and Wilson, 2019)</w:t>
      </w:r>
      <w:r>
        <w:fldChar w:fldCharType="end"/>
      </w:r>
      <w:r>
        <w:t xml:space="preserve">, its uneven adoption creates a ‘postcode lottery’ for tenants across England, i.e. arbitrary geographical differences to service provision that are not explained simply in terms of tailoring to different local needs </w:t>
      </w:r>
      <w:r>
        <w:fldChar w:fldCharType="begin"/>
      </w:r>
      <w:r>
        <w:instrText xml:space="preserve"> ADDIN ZOTERO_ITEM CSL_CITATION {"citationID":"rEJ1fb7O","properties":{"formattedCitation":"(Redhead and Lynch, 2024)","plainCitation":"(Redhead and Lynch, 2024)","noteIndex":0},"citationItems":[{"id":1929,"uris":["http://zotero.org/users/714468/items/LCKD8ZPJ"],"itemData":{"id":1929,"type":"article-journal","container-title":"Health &amp; Place","DOI":"10.1016/j.healthplace.2024.103301","ISSN":"1353-8292","journalAbbreviation":"Health &amp; Place","page":"103301","source":"ScienceDirect","title":"The unfairness of place: A cultural history of the UK's ‘postcode lottery’","title-short":"The unfairness of place","volume":"90","author":[{"family":"Redhead","given":"Grace"},{"family":"Lynch","given":"Rebecca"}],"issued":{"date-parts":[["2024",11,1]]}}}],"schema":"https://github.com/citation-style-language/schema/raw/master/csl-citation.json"} </w:instrText>
      </w:r>
      <w:r>
        <w:fldChar w:fldCharType="separate"/>
      </w:r>
      <w:r w:rsidRPr="4427C4BE">
        <w:rPr>
          <w:rFonts w:ascii="Aptos" w:hAnsi="Aptos"/>
        </w:rPr>
        <w:t>(Redhead and Lynch, 2024)</w:t>
      </w:r>
      <w:r>
        <w:fldChar w:fldCharType="end"/>
      </w:r>
      <w:r>
        <w:t xml:space="preserve">.  </w:t>
      </w:r>
    </w:p>
    <w:p w14:paraId="31D5F808" w14:textId="77777777" w:rsidR="00EE0150" w:rsidRDefault="00EE0150" w:rsidP="00EE0150">
      <w:r w:rsidRPr="008D5E29">
        <w:t xml:space="preserve">The following section reviews </w:t>
      </w:r>
      <w:r>
        <w:t xml:space="preserve">the </w:t>
      </w:r>
      <w:r w:rsidRPr="008D5E29">
        <w:t>theoretical and empirical literature on policy adoption and diffusion.</w:t>
      </w:r>
    </w:p>
    <w:p w14:paraId="789909C5" w14:textId="77777777" w:rsidR="00EE0150" w:rsidRDefault="00EE0150" w:rsidP="00EE0150"/>
    <w:p w14:paraId="2218B39E" w14:textId="77777777" w:rsidR="00EE0150" w:rsidRPr="00250EFD" w:rsidRDefault="00EE0150" w:rsidP="00EE0150">
      <w:pPr>
        <w:rPr>
          <w:i/>
          <w:iCs/>
        </w:rPr>
      </w:pPr>
      <w:r>
        <w:rPr>
          <w:i/>
          <w:iCs/>
        </w:rPr>
        <w:t>Policy adoption: Internal determinants and d</w:t>
      </w:r>
      <w:r w:rsidRPr="00250EFD">
        <w:rPr>
          <w:i/>
          <w:iCs/>
        </w:rPr>
        <w:t>iffusion mechanisms</w:t>
      </w:r>
    </w:p>
    <w:p w14:paraId="28AF815A" w14:textId="77777777" w:rsidR="00EE0150" w:rsidRDefault="00EE0150" w:rsidP="00EE0150">
      <w:r>
        <w:t>Clark (1984) defined innovation diffusion as “… the way new ideas are accepted (or not) by those to whom they are relevant”</w:t>
      </w:r>
      <w:r>
        <w:fldChar w:fldCharType="begin"/>
      </w:r>
      <w:r>
        <w:instrText xml:space="preserve"> ADDIN ZOTERO_ITEM CSL_CITATION {"citationID":"OqlcBNNG","properties":{"formattedCitation":"(Clark, 1984)","plainCitation":"(Clark, 1984)","dontUpdate":true,"noteIndex":0},"citationItems":[{"id":1775,"uris":["http://zotero.org/users/714468/items/8295RGGL"],"itemData":{"id":1775,"type":"article-journal","abstract":"Recent work on diffusion of innovation is discussed under three main headings. The structural component describes the role of evolution in the structure of societies and economies. It is thus concerned with high level abstractions and generalizations, and is most closely limited to other areas of the social sciences. The process component is concerned with the way innovations spread, and includes the role of communications, the flow of information, and other spatial interactions, and the resultant spatial patterns. This area of research stems from the work of Hagerstrand which is examined in some detail. The cultural component is least concerned with inductive generalization, but with innovation itself.-A.Armstrong","container-title":"CATMOG (Concepts &amp; Techniques in Modern Geography)","journalAbbreviation":"CATMOG (Concepts &amp; Techniques in Modern Geography)","source":"ResearchGate","title":"Innovation diffusion: Contemporary geographical approaches","title-short":"Innovation diffusion","volume":"40","author":[{"family":"Clark","given":"Gordon"}],"issued":{"date-parts":[["1984",1,1]]}}}],"schema":"https://github.com/citation-style-language/schema/raw/master/csl-citation.json"} </w:instrText>
      </w:r>
      <w:r>
        <w:fldChar w:fldCharType="separate"/>
      </w:r>
      <w:r>
        <w:fldChar w:fldCharType="end"/>
      </w:r>
      <w:r>
        <w:t xml:space="preserve">. The field of innovation diffusion was championed in the 1950s by Torsten </w:t>
      </w:r>
      <w:proofErr w:type="spellStart"/>
      <w:r>
        <w:t>Hägerstrand</w:t>
      </w:r>
      <w:proofErr w:type="spellEnd"/>
      <w:r>
        <w:t xml:space="preserve">, a geographer who investigated for example the uneven acceptance of government farm subsidies </w:t>
      </w:r>
      <w:r>
        <w:fldChar w:fldCharType="begin"/>
      </w:r>
      <w:r>
        <w:instrText xml:space="preserve"> ADDIN ZOTERO_ITEM CSL_CITATION {"citationID":"pzwP92Lr","properties":{"formattedCitation":"(Clark, 1984)","plainCitation":"(Clark, 1984)","noteIndex":0},"citationItems":[{"id":1775,"uris":["http://zotero.org/users/714468/items/8295RGGL"],"itemData":{"id":1775,"type":"article-journal","abstract":"Recent work on diffusion of innovation is discussed under three main headings. The structural component describes the role of evolution in the structure of societies and economies. It is thus concerned with high level abstractions and generalizations, and is most closely limited to other areas of the social sciences. The process component is concerned with the way innovations spread, and includes the role of communications, the flow of information, and other spatial interactions, and the resultant spatial patterns. This area of research stems from the work of Hagerstrand which is examined in some detail. The cultural component is least concerned with inductive generalization, but with innovation itself.-A.Armstrong","container-title":"CATMOG (Concepts &amp; Techniques in Modern Geography)","journalAbbreviation":"CATMOG (Concepts &amp; Techniques in Modern Geography)","source":"ResearchGate","title":"Innovation diffusion: Contemporary geographical approaches","title-short":"Innovation diffusion","volume":"40","author":[{"family":"Clark","given":"Gordon"}],"issued":{"date-parts":[["1984",1,1]]}}}],"schema":"https://github.com/citation-style-language/schema/raw/master/csl-citation.json"} </w:instrText>
      </w:r>
      <w:r>
        <w:fldChar w:fldCharType="separate"/>
      </w:r>
      <w:r w:rsidRPr="15880E7C">
        <w:rPr>
          <w:rFonts w:ascii="Aptos" w:hAnsi="Aptos"/>
        </w:rPr>
        <w:t>(Clark, 1984)</w:t>
      </w:r>
      <w:r>
        <w:fldChar w:fldCharType="end"/>
      </w:r>
      <w:r>
        <w:t xml:space="preserve">. Innovation diffusion was soon adapted to study how policies spread investigating processes such as learning, imitation, socialisation, and competition </w:t>
      </w:r>
      <w:r>
        <w:fldChar w:fldCharType="begin"/>
      </w:r>
      <w:r>
        <w:instrText xml:space="preserve"> ADDIN ZOTERO_ITEM CSL_CITATION {"citationID":"sGE0SuoV","properties":{"formattedCitation":"(Berry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15880E7C">
        <w:rPr>
          <w:rFonts w:ascii="Aptos" w:hAnsi="Aptos"/>
        </w:rPr>
        <w:t>(Berry and Berry, 2007)</w:t>
      </w:r>
      <w:r>
        <w:fldChar w:fldCharType="end"/>
      </w:r>
      <w:r>
        <w:t xml:space="preserve">. </w:t>
      </w:r>
      <w:proofErr w:type="spellStart"/>
      <w:r>
        <w:t>Shipan</w:t>
      </w:r>
      <w:proofErr w:type="spellEnd"/>
      <w:r>
        <w:t xml:space="preserve"> and Volden defined policy diffusion as “… one government’s policy choices being influenced by the choices of other governments” </w:t>
      </w:r>
      <w:r>
        <w:fldChar w:fldCharType="begin"/>
      </w:r>
      <w:r>
        <w:instrText xml:space="preserve"> ADDIN ZOTERO_ITEM CSL_CITATION {"citationID":"MAxpXe6D","properties":{"formattedCitation":"(Shipan and Volden, 2012)","plainCitation":"(Shipan and Volden, 2012)","noteIndex":0},"citationItems":[{"id":1956,"uris":["http://zotero.org/users/714468/items/DQSQ2T64"],"itemData":{"id":1956,"type":"article-journal","abstract":"The scholarship on policy diffusion in political science and public administration is extensive. This article provides an introduction to that literature for scholars, students, and practitioners. It offers seven lessons derived from that literature, built from numerous empirical studies and applied to contemporary policy debates. Based on these seven lessons, the authors offer guidance to policy makers and present opportunities for future research to students and scholars of policy diffusion.","container-title":"Public Administration Review","DOI":"10.1111/j.1540-6210.2012.02610.x","ISSN":"1540-6210","issue":"6","language":"en","license":"© 2012 by The American Society for Public Administration","note":"_eprint: https://onlinelibrary.wiley.com/doi/pdf/10.1111/j.1540-6210.2012.02610.x","page":"788-796","source":"Wiley Online Library","title":"Policy Diffusion: Seven Lessons for Scholars and Practitioners","title-short":"Policy Diffusion","volume":"72","author":[{"family":"Shipan","given":"Charles R."},{"family":"Volden","given":"Craig"}],"issued":{"date-parts":[["2012"]]}}}],"schema":"https://github.com/citation-style-language/schema/raw/master/csl-citation.json"} </w:instrText>
      </w:r>
      <w:r>
        <w:fldChar w:fldCharType="separate"/>
      </w:r>
      <w:r w:rsidRPr="15880E7C">
        <w:rPr>
          <w:rFonts w:ascii="Aptos" w:hAnsi="Aptos"/>
        </w:rPr>
        <w:t>(Shipan and Volden, 2012)</w:t>
      </w:r>
      <w:r>
        <w:fldChar w:fldCharType="end"/>
      </w:r>
      <w:r>
        <w:t xml:space="preserve">. There is a rich literature on how policies spread, especially between individual states in the US with examples </w:t>
      </w:r>
      <w:r>
        <w:lastRenderedPageBreak/>
        <w:t xml:space="preserve">such as anti-smoking, same-sex marriage bans, education reforms, abortion, death penalty, and health insurance </w:t>
      </w:r>
      <w:r>
        <w:fldChar w:fldCharType="begin"/>
      </w:r>
      <w:r>
        <w:instrText xml:space="preserve"> ADDIN ZOTERO_ITEM CSL_CITATION {"citationID":"EDxTwYP8","properties":{"formattedCitation":"(Shipan and Volden, 2008)","plainCitation":"(Shipan and Volden, 2008)","noteIndex":0},"citationItems":[{"id":1933,"uris":["http://zotero.org/users/714468/items/6Y4ZQX64"],"itemData":{"id":1933,"type":"article-journal","abstract":"Local policy adoptions provide an excellent opportunity to test among potential mechanisms of policy diffusion. By examining three types of antismoking policy choices by the 675 largest U.S. cities between 1975 and 2000, we uncover robust patterns of policy diffusion, yielding three key findings. First, we distinguish among and find evidence for four mechanisms of policy diffusion: learning from earlier adopters, economic competition among proximate cities, imitation of larger cities, and coercion by state governments. Second, we find a temporal component to these effects, with imitation being a more short-lived diffusion process than the others. Third, we show that these mechanisms are conditional, with larger cities being better able to learn from others, less fearful of economic spillovers, and less likely to rely on imitation.","container-title":"American Journal of Political Science","DOI":"10.1111/j.1540-5907.2008.00346.x","ISSN":"1540-5907","issue":"4","language":"en","license":"©2008, Midwest Political Science Association","note":"_eprint: https://onlinelibrary.wiley.com/doi/pdf/10.1111/j.1540-5907.2008.00346.x","page":"840-857","source":"Wiley Online Library","title":"The Mechanisms of Policy Diffusion","volume":"52","author":[{"family":"Shipan","given":"Charles R."},{"family":"Volden","given":"Craig"}],"issued":{"date-parts":[["2008"]]}}}],"schema":"https://github.com/citation-style-language/schema/raw/master/csl-citation.json"} </w:instrText>
      </w:r>
      <w:r>
        <w:fldChar w:fldCharType="separate"/>
      </w:r>
      <w:r w:rsidRPr="15880E7C">
        <w:rPr>
          <w:rFonts w:ascii="Aptos" w:hAnsi="Aptos"/>
        </w:rPr>
        <w:t>(Shipan and Volden, 2008)</w:t>
      </w:r>
      <w:r>
        <w:fldChar w:fldCharType="end"/>
      </w:r>
      <w:r>
        <w:t xml:space="preserve">. The general pattern for policy adoption is a cumulative S-shaped curve going from a few ‘innovators’ over ‘early adaptors’ to the bulk of ‘early majority’ and ‘late majority’ to a few ‘laggards’ </w:t>
      </w:r>
      <w:r>
        <w:fldChar w:fldCharType="begin"/>
      </w:r>
      <w:r>
        <w:instrText xml:space="preserve"> ADDIN ZOTERO_ITEM CSL_CITATION {"citationID":"GFu3sqMu","properties":{"formattedCitation":"(Berry and Berry, 2007; Clark, 1984)","plainCitation":"(Berry and Berry, 2007; Clark, 1984)","noteIndex":0},"citationItems":[{"id":1931,"uris":["http://zotero.org/users/714468/items/B3Q9ULNY"],"itemData":{"id":1931,"type":"chapter","abstract":"This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D."}],"issued":{"date-parts":[["2007"]]}}},{"id":1775,"uris":["http://zotero.org/users/714468/items/8295RGGL"],"itemData":{"id":1775,"type":"article-journal","abstract":"Recent work on diffusion of innovation is discussed under three main headings. The structural component describes the role of evolution in the structure of societies and economies. It is thus concerned with high level abstractions and generalizations, and is most closely limited to other areas of the social sciences. The process component is concerned with the way innovations spread, and includes the role of communications, the flow of information, and other spatial interactions, and the resultant spatial patterns. This area of research stems from the work of Hagerstrand which is examined in some detail. The cultural component is least concerned with inductive generalization, but with innovation itself.-A.Armstrong","container-title":"CATMOG (Concepts &amp; Techniques in Modern Geography)","journalAbbreviation":"CATMOG (Concepts &amp; Techniques in Modern Geography)","source":"ResearchGate","title":"Innovation diffusion: Contemporary geographical approaches","title-short":"Innovation diffusion","volume":"40","author":[{"family":"Clark","given":"Gordon"}],"issued":{"date-parts":[["1984",1,1]]}}}],"schema":"https://github.com/citation-style-language/schema/raw/master/csl-citation.json"} </w:instrText>
      </w:r>
      <w:r>
        <w:fldChar w:fldCharType="separate"/>
      </w:r>
      <w:r w:rsidRPr="15880E7C">
        <w:rPr>
          <w:rFonts w:ascii="Aptos" w:hAnsi="Aptos"/>
        </w:rPr>
        <w:t>(Berry and Berry, 2007; Clark, 1984)</w:t>
      </w:r>
      <w:r>
        <w:fldChar w:fldCharType="end"/>
      </w:r>
      <w:r>
        <w:t xml:space="preserve">. The curve can flatten if the diffusion process is slow in less connected regions or affected by the mix of processes and systems involved </w:t>
      </w:r>
      <w:r>
        <w:fldChar w:fldCharType="begin"/>
      </w:r>
      <w:r>
        <w:instrText xml:space="preserve"> ADDIN ZOTERO_ITEM CSL_CITATION {"citationID":"ldHcoTxs","properties":{"formattedCitation":"(Berry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15880E7C">
        <w:rPr>
          <w:rFonts w:ascii="Aptos" w:hAnsi="Aptos"/>
        </w:rPr>
        <w:t>(Berry and Berry, 2007)</w:t>
      </w:r>
      <w:r>
        <w:fldChar w:fldCharType="end"/>
      </w:r>
      <w:r>
        <w:t xml:space="preserve">. Well-promoted and acceptable policies may instead follow an r-shaped curve steeply rising at first then gradually tailing off </w:t>
      </w:r>
      <w:r>
        <w:fldChar w:fldCharType="begin"/>
      </w:r>
      <w:r>
        <w:instrText xml:space="preserve"> ADDIN ZOTERO_ITEM CSL_CITATION {"citationID":"fSXRrgo1","properties":{"formattedCitation":"(Haupt, 2023)","plainCitation":"(Haupt, 2023)","noteIndex":0},"citationItems":[{"id":1939,"uris":["http://zotero.org/users/714468/items/IPYMHUJ6"],"itemData":{"id":1939,"type":"article-journal","abstract":"Geographers and urban studies scholars tend to rely on policy mobilities approaches to explain processes of policy spread, whereas political scientists and public policy scholars usually draw on either policy diffusion or policy transfer. I challenge this widespread scholarly practice of selecting approaches based on the association with a certain discipline. Instead, first and foremost, the specific research aim(s) and question(s) should shape the choice of theoretical lens. Analytical or policy outcome-oriented studies should rely on policy diffusion and policy transfer, while a policy mobilities approach is best suited for more (policy) critical analysis. The approaches can also complement each other to a certain degree. Analytical and policy outcome-oriented approaches need a stronger critical perspective while policy mobilities scholars need to underpin their critique with constructive suggestions on how to improve established practices.","container-title":"Geography Compass","DOI":"10.1111/gec3.12688","ISSN":"1749-8198","issue":"5","language":"en","license":"© 2023 The Authors. Geography Compass published by John Wiley &amp; Sons Ltd.","note":"_eprint: https://onlinelibrary.wiley.com/doi/pdf/10.1111/gec3.12688","page":"e12688","source":"Wiley Online Library","title":"Policy diffusion, policy transfer, and policy mobilities revisited: A call for more interdisciplinary approaches in human geography","title-short":"Policy diffusion, policy transfer, and policy mobilities revisited","volume":"17","author":[{"family":"Haupt","given":"Wolfgang"}],"issued":{"date-parts":[["2023"]]}}}],"schema":"https://github.com/citation-style-language/schema/raw/master/csl-citation.json"} </w:instrText>
      </w:r>
      <w:r>
        <w:fldChar w:fldCharType="separate"/>
      </w:r>
      <w:r w:rsidRPr="15880E7C">
        <w:rPr>
          <w:rFonts w:ascii="Aptos" w:hAnsi="Aptos"/>
        </w:rPr>
        <w:t>(Haupt, 2023)</w:t>
      </w:r>
      <w:r>
        <w:fldChar w:fldCharType="end"/>
      </w:r>
      <w:r>
        <w:t xml:space="preserve">. </w:t>
      </w:r>
    </w:p>
    <w:p w14:paraId="70022213" w14:textId="77777777" w:rsidR="00EE0150" w:rsidRDefault="00EE0150" w:rsidP="00EE0150">
      <w:r>
        <w:t xml:space="preserve">Considering Berry and Berry’s classification (2007) in local authorities, they could at the most fundamental level be learning from the positive or negative experiences of others, or they might be imitating other areas on the basis that the policy must be appropriate if they share similar characteristics, or that the first adopter is perceived as the leader of the pack </w:t>
      </w:r>
      <w:r>
        <w:fldChar w:fldCharType="begin"/>
      </w:r>
      <w:r>
        <w:instrText xml:space="preserve"> ADDIN ZOTERO_ITEM CSL_CITATION {"citationID":"c876MKmW","properties":{"formattedCitation":"(Berry and Berry, 2007; Shipan and Volden, 2012)","plainCitation":"(Berry and Berry, 2007; Shipan and Volden, 2012)","noteIndex":0},"citationItems":[{"id":1931,"uris":["http://zotero.org/users/714468/items/B3Q9ULNY"],"itemData":{"id":1931,"type":"chapter","abstract":"This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D."}],"issued":{"date-parts":[["2007"]]}}},{"id":1956,"uris":["http://zotero.org/users/714468/items/DQSQ2T64"],"itemData":{"id":1956,"type":"article-journal","abstract":"The scholarship on policy diffusion in political science and public administration is extensive. This article provides an introduction to that literature for scholars, students, and practitioners. It offers seven lessons derived from that literature, built from numerous empirical studies and applied to contemporary policy debates. Based on these seven lessons, the authors offer guidance to policy makers and present opportunities for future research to students and scholars of policy diffusion.","container-title":"Public Administration Review","DOI":"10.1111/j.1540-6210.2012.02610.x","ISSN":"1540-6210","issue":"6","language":"en","license":"© 2012 by The American Society for Public Administration","note":"_eprint: https://onlinelibrary.wiley.com/doi/pdf/10.1111/j.1540-6210.2012.02610.x","page":"788-796","source":"Wiley Online Library","title":"Policy Diffusion: Seven Lessons for Scholars and Practitioners","title-short":"Policy Diffusion","volume":"72","author":[{"family":"Shipan","given":"Charles R."},{"family":"Volden","given":"Craig"}],"issued":{"date-parts":[["2012"]]}}}],"schema":"https://github.com/citation-style-language/schema/raw/master/csl-citation.json"} </w:instrText>
      </w:r>
      <w:r>
        <w:fldChar w:fldCharType="separate"/>
      </w:r>
      <w:r w:rsidRPr="4427C4BE">
        <w:rPr>
          <w:rFonts w:ascii="Aptos" w:hAnsi="Aptos"/>
        </w:rPr>
        <w:t>(Berry and Berry, 2007; Shipan and Volden, 2012)</w:t>
      </w:r>
      <w:r>
        <w:fldChar w:fldCharType="end"/>
      </w:r>
      <w:r>
        <w:t xml:space="preserve">. Both of these processes could be interpreted as benchmarking, i.e. actions involving comparison with other actors </w:t>
      </w:r>
      <w:r>
        <w:fldChar w:fldCharType="begin"/>
      </w:r>
      <w:r>
        <w:instrText xml:space="preserve"> ADDIN ZOTERO_ITEM CSL_CITATION {"citationID":"Akek9SQy","properties":{"formattedCitation":"(Cook et al., 2019)","plainCitation":"(Cook et al., 2019)","noteIndex":0},"citationItems":[{"id":1951,"uris":["http://zotero.org/users/714468/items/8GEAH6MF"],"itemData":{"id":1951,"type":"article-journal","abstract":"Interdependence in the decision-making or behaviors of various organizations and administrators is often neglected in the study of public administration. Failing to account for such interdependence risks an incomplete understanding of the choices made by these actors and agencies. As such, we show how researchers analyzing cross-sectional or time-series-cross-sectional (TSCS) data can utilize spatial econometric methods to improve inference on existing questions and, more interestingly, engage a new set of theoretical questions. Specifically, we articulate several general mechanisms for spatial dependence that are likely to appear in research on public administration (isomorphism, competition, benchmarking, and common exposure). We then demonstrate how these mechanisms can be tested using spatial econometric models in two applications: first, a cross-sectional study of district-level bilingual education spending and, second, a TSCS analysis on state-level healthcare administration. In our presentation, we also briefly discuss many of the practical challenges confronted in estimating spatial models (e.g., weights specification, model selection, effects calculation) and offer some guidance on each.","container-title":"Journal of Public Administration Research and Theory","DOI":"10.1093/jopart/muy050","ISSN":"1053-1858","issue":"4","journalAbbreviation":"Journal of Public Administration Research and Theory","page":"591-608","source":"Silverchair","title":"Beyond Policy Diffusion: Spatial Econometric Models of Public Administration","title-short":"Beyond Policy Diffusion","volume":"29","author":[{"family":"Cook","given":"Scott J"},{"family":"An","given":"Seung-Ho"},{"family":"Favero","given":"Nathan"}],"issued":{"date-parts":[["2019",10,17]]}}}],"schema":"https://github.com/citation-style-language/schema/raw/master/csl-citation.json"} </w:instrText>
      </w:r>
      <w:r>
        <w:fldChar w:fldCharType="separate"/>
      </w:r>
      <w:r w:rsidRPr="4427C4BE">
        <w:rPr>
          <w:rFonts w:ascii="Aptos" w:hAnsi="Aptos"/>
        </w:rPr>
        <w:t>(Cook et al., 2019)</w:t>
      </w:r>
      <w:r>
        <w:fldChar w:fldCharType="end"/>
      </w:r>
      <w:r>
        <w:t xml:space="preserve">. However, if a policy is clearly perceived to be the norm, they might adopt it at face value (socialisation). Policy adoption might also be driven by competition between local authorities, i.e. adopting policies of a competitor to attract/retain certain resources. The US literature has many examples of the reverse, i.e. where individual states avoid policies that could turn them into ‘welfare magnets’ and hence engage in a ‘race to the bottom’ </w:t>
      </w:r>
      <w:r>
        <w:fldChar w:fldCharType="begin"/>
      </w:r>
      <w:r>
        <w:instrText xml:space="preserve"> ADDIN ZOTERO_ITEM CSL_CITATION {"citationID":"BomC598H","properties":{"formattedCitation":"(Shipan and Volden, 2012)","plainCitation":"(Shipan and Volden, 2012)","noteIndex":0},"citationItems":[{"id":1956,"uris":["http://zotero.org/users/714468/items/DQSQ2T64"],"itemData":{"id":1956,"type":"article-journal","abstract":"The scholarship on policy diffusion in political science and public administration is extensive. This article provides an introduction to that literature for scholars, students, and practitioners. It offers seven lessons derived from that literature, built from numerous empirical studies and applied to contemporary policy debates. Based on these seven lessons, the authors offer guidance to policy makers and present opportunities for future research to students and scholars of policy diffusion.","container-title":"Public Administration Review","DOI":"10.1111/j.1540-6210.2012.02610.x","ISSN":"1540-6210","issue":"6","language":"en","license":"© 2012 by The American Society for Public Administration","note":"_eprint: https://onlinelibrary.wiley.com/doi/pdf/10.1111/j.1540-6210.2012.02610.x","page":"788-796","source":"Wiley Online Library","title":"Policy Diffusion: Seven Lessons for Scholars and Practitioners","title-short":"Policy Diffusion","volume":"72","author":[{"family":"Shipan","given":"Charles R."},{"family":"Volden","given":"Craig"}],"issued":{"date-parts":[["2012"]]}}}],"schema":"https://github.com/citation-style-language/schema/raw/master/csl-citation.json"} </w:instrText>
      </w:r>
      <w:r>
        <w:fldChar w:fldCharType="separate"/>
      </w:r>
      <w:r w:rsidRPr="7CBDD6E0">
        <w:rPr>
          <w:rFonts w:ascii="Aptos" w:hAnsi="Aptos"/>
        </w:rPr>
        <w:t>(Shipan and Volden, 2012)</w:t>
      </w:r>
      <w:r>
        <w:fldChar w:fldCharType="end"/>
      </w:r>
      <w:r>
        <w:t xml:space="preserve">. Competition for qualified staff could also play a role in the decision to implement in the first place </w:t>
      </w:r>
      <w:r>
        <w:fldChar w:fldCharType="begin"/>
      </w:r>
      <w:r>
        <w:instrText xml:space="preserve"> ADDIN ZOTERO_ITEM CSL_CITATION {"citationID":"kNFFnzCY","properties":{"formattedCitation":"(Cook et al., 2019)","plainCitation":"(Cook et al., 2019)","noteIndex":0},"citationItems":[{"id":1951,"uris":["http://zotero.org/users/714468/items/8GEAH6MF"],"itemData":{"id":1951,"type":"article-journal","abstract":"Interdependence in the decision-making or behaviors of various organizations and administrators is often neglected in the study of public administration. Failing to account for such interdependence risks an incomplete understanding of the choices made by these actors and agencies. As such, we show how researchers analyzing cross-sectional or time-series-cross-sectional (TSCS) data can utilize spatial econometric methods to improve inference on existing questions and, more interestingly, engage a new set of theoretical questions. Specifically, we articulate several general mechanisms for spatial dependence that are likely to appear in research on public administration (isomorphism, competition, benchmarking, and common exposure). We then demonstrate how these mechanisms can be tested using spatial econometric models in two applications: first, a cross-sectional study of district-level bilingual education spending and, second, a TSCS analysis on state-level healthcare administration. In our presentation, we also briefly discuss many of the practical challenges confronted in estimating spatial models (e.g., weights specification, model selection, effects calculation) and offer some guidance on each.","container-title":"Journal of Public Administration Research and Theory","DOI":"10.1093/jopart/muy050","ISSN":"1053-1858","issue":"4","journalAbbreviation":"Journal of Public Administration Research and Theory","page":"591-608","source":"Silverchair","title":"Beyond Policy Diffusion: Spatial Econometric Models of Public Administration","title-short":"Beyond Policy Diffusion","volume":"29","author":[{"family":"Cook","given":"Scott J"},{"family":"An","given":"Seung-Ho"},{"family":"Favero","given":"Nathan"}],"issued":{"date-parts":[["2019",10,17]]}}}],"schema":"https://github.com/citation-style-language/schema/raw/master/csl-citation.json"} </w:instrText>
      </w:r>
      <w:r>
        <w:fldChar w:fldCharType="separate"/>
      </w:r>
      <w:r w:rsidRPr="7CBDD6E0">
        <w:rPr>
          <w:rFonts w:ascii="Aptos" w:hAnsi="Aptos"/>
        </w:rPr>
        <w:t>(Cook et al., 2019)</w:t>
      </w:r>
      <w:r>
        <w:fldChar w:fldCharType="end"/>
      </w:r>
      <w:r>
        <w:t xml:space="preserve"> (Seguin et al., unpublished).</w:t>
      </w:r>
    </w:p>
    <w:p w14:paraId="1CE21E94" w14:textId="77777777" w:rsidR="00EE0150" w:rsidRDefault="00EE0150" w:rsidP="00EE0150">
      <w:r>
        <w:t xml:space="preserve">System-level theories have developed in recent years that broaden the debate on the point that ‘good enough’ decisions are often made with incomplete information (bounded rationality) and by actors who, depending on the context, may compete or cooperate within sub-systems </w:t>
      </w:r>
      <w:r>
        <w:fldChar w:fldCharType="begin"/>
      </w:r>
      <w:r>
        <w:instrText xml:space="preserve"> ADDIN ZOTERO_ITEM CSL_CITATION {"citationID":"YmhcdMZz","properties":{"formattedCitation":"(Cairney et al., 2025)","plainCitation":"(Cairney et al., 2025)","noteIndex":0},"citationItems":[{"id":1946,"uris":["http://zotero.org/users/714468/items/Y4FB5SPJ"],"itemData":{"id":1946,"type":"article-journal","abstract":"Abstract Many US policy process theories have been applied as much in Europe as in the US. We assess this journey in three ways. First, we use published reviews of the field to identify the high quantity of applications and their concentration in Western European liberal democracies. Second, we identify the absence of a typical European country experience and our expectation of finding variability across European countries when applying US theories. Third, we survey policy scholars in Europe on how and why they apply US theories to European contexts. Our survey establishes what theories they applied, why, and to what effect. It takes forward a new research agenda on the international application of mainstream policy theories.","container-title":"European Policy Analysis","DOI":"10.1002/epa2.1237","ISSN":"2380-6567","issue":"n/a","note":"publisher: John Wiley &amp; Sons, Ltd","source":"onlinelibrary.wiley.com (Atypon)","title":"Policy process theories in Europe: A survey of who uses them, where, and why","title-short":"Policy process theories in Europe","URL":"https://onlinelibrary.wiley.com/doi/full/10.1002/epa2.1237","volume":"n/a","author":[{"family":"Cairney","given":"Paul"},{"family":"Fullerton","given":"Allegra H."},{"family":"Denny","given":"Emily St."},{"family":"Weible","given":"Christopher M."}],"accessed":{"date-parts":[["2025",4,7]]},"issued":{"date-parts":[["2025",1,20]]}}}],"schema":"https://github.com/citation-style-language/schema/raw/master/csl-citation.json"} </w:instrText>
      </w:r>
      <w:r>
        <w:fldChar w:fldCharType="separate"/>
      </w:r>
      <w:r w:rsidRPr="0199F67A">
        <w:rPr>
          <w:rFonts w:ascii="Aptos" w:hAnsi="Aptos"/>
        </w:rPr>
        <w:t>(Cairney et al., 2025)</w:t>
      </w:r>
      <w:r>
        <w:fldChar w:fldCharType="end"/>
      </w:r>
      <w:r>
        <w:t xml:space="preserve">. Policy adoption decisions are complex, multi-faceted and more so for intersectoral policies </w:t>
      </w:r>
      <w:r>
        <w:fldChar w:fldCharType="begin"/>
      </w:r>
      <w:r>
        <w:instrText xml:space="preserve"> ADDIN ZOTERO_ITEM CSL_CITATION {"citationID":"nPl7hGT7","properties":{"formattedCitation":"(Cairney et al., 2025)","plainCitation":"(Cairney et al., 2025)","noteIndex":0},"citationItems":[{"id":1946,"uris":["http://zotero.org/users/714468/items/Y4FB5SPJ"],"itemData":{"id":1946,"type":"article-journal","abstract":"Abstract Many US policy process theories have been applied as much in Europe as in the US. We assess this journey in three ways. First, we use published reviews of the field to identify the high quantity of applications and their concentration in Western European liberal democracies. Second, we identify the absence of a typical European country experience and our expectation of finding variability across European countries when applying US theories. Third, we survey policy scholars in Europe on how and why they apply US theories to European contexts. Our survey establishes what theories they applied, why, and to what effect. It takes forward a new research agenda on the international application of mainstream policy theories.","container-title":"European Policy Analysis","DOI":"10.1002/epa2.1237","ISSN":"2380-6567","issue":"n/a","note":"publisher: John Wiley &amp; Sons, Ltd","source":"onlinelibrary.wiley.com (Atypon)","title":"Policy process theories in Europe: A survey of who uses them, where, and why","title-short":"Policy process theories in Europe","URL":"https://onlinelibrary.wiley.com/doi/full/10.1002/epa2.1237","volume":"n/a","author":[{"family":"Cairney","given":"Paul"},{"family":"Fullerton","given":"Allegra H."},{"family":"Denny","given":"Emily St."},{"family":"Weible","given":"Christopher M."}],"accessed":{"date-parts":[["2025",4,7]]},"issued":{"date-parts":[["2025",1,20]]}}}],"schema":"https://github.com/citation-style-language/schema/raw/master/csl-citation.json"} </w:instrText>
      </w:r>
      <w:r>
        <w:fldChar w:fldCharType="separate"/>
      </w:r>
      <w:r w:rsidRPr="0199F67A">
        <w:rPr>
          <w:rFonts w:ascii="Aptos" w:hAnsi="Aptos"/>
        </w:rPr>
        <w:t>(Cairney et al., 2025)</w:t>
      </w:r>
      <w:r>
        <w:fldChar w:fldCharType="end"/>
      </w:r>
      <w:r>
        <w:t xml:space="preserve">. The role of power relations, media, and lobby groups is also given consideration in more recent work </w:t>
      </w:r>
      <w:r>
        <w:fldChar w:fldCharType="begin"/>
      </w:r>
      <w:r>
        <w:instrText xml:space="preserve"> ADDIN ZOTERO_ITEM CSL_CITATION {"citationID":"ZE3yS15z","properties":{"formattedCitation":"(Garlick et al., 2025; Haupt, 2023)","plainCitation":"(Garlick et al., 2025; Haupt, 2023)","noteIndex":0},"citationItems":[{"id":1912,"uris":["http://zotero.org/users/714468/items/QWUASC6V"],"itemData":{"id":1912,"type":"article-journal","abstract":"For decades, political scientists have struggled to provide empirical evidence that lobbying influences policymaking. A considerable gap arose between widespread public suspicions of lobbying and the literature&amp;apos;s findings, which failed to document systematic lobbying influence in politics. This gap has closed within the last decade. Causal inference strategies, high-quality data sets, and attention to lobbying in multiple venues have allowed researchers to document the ways in which lobbying matters. In this review, we summarize three ways lobbying has an effect, as documented in this new literature. First, in line with public suspicions, lobbyists have transactional relationships with public officials in which they exchange money for political access and influence. Second, lobbyists persuade public officials by providing information that changes the positions taken by policymakers. Third, successful mobilization of citizen support or lobbying coalitions helps lobbyists attain policy aims. Jointly, these influence pathways nuance our view of lobbying as both harmful and beneficial for democratic representation.","container-title":"Annual Review of Political Science","DOI":"10.1146/annurev-polisci-033123-124920","language":"en","note":"publisher: Annual Reviews","page":"24.1–24.19","source":"www.annualreviews.org","title":"How Lobbying Matters","volume":"28","author":[{"family":"Garlick","given":"Alex"},{"family":"Junk","given":"Wiebke Marie"},{"family":"Brown","given":"Heath"}],"issued":{"date-parts":[["2025",4,9]]}}},{"id":1939,"uris":["http://zotero.org/users/714468/items/IPYMHUJ6"],"itemData":{"id":1939,"type":"article-journal","abstract":"Geographers and urban studies scholars tend to rely on policy mobilities approaches to explain processes of policy spread, whereas political scientists and public policy scholars usually draw on either policy diffusion or policy transfer. I challenge this widespread scholarly practice of selecting approaches based on the association with a certain discipline. Instead, first and foremost, the specific research aim(s) and question(s) should shape the choice of theoretical lens. Analytical or policy outcome-oriented studies should rely on policy diffusion and policy transfer, while a policy mobilities approach is best suited for more (policy) critical analysis. The approaches can also complement each other to a certain degree. Analytical and policy outcome-oriented approaches need a stronger critical perspective while policy mobilities scholars need to underpin their critique with constructive suggestions on how to improve established practices.","container-title":"Geography Compass","DOI":"10.1111/gec3.12688","ISSN":"1749-8198","issue":"5","language":"en","license":"© 2023 The Authors. Geography Compass published by John Wiley &amp; Sons Ltd.","note":"_eprint: https://onlinelibrary.wiley.com/doi/pdf/10.1111/gec3.12688","page":"e12688","source":"Wiley Online Library","title":"Policy diffusion, policy transfer, and policy mobilities revisited: A call for more interdisciplinary approaches in human geography","title-short":"Policy diffusion, policy transfer, and policy mobilities revisited","volume":"17","author":[{"family":"Haupt","given":"Wolfgang"}],"issued":{"date-parts":[["2023"]]}}}],"schema":"https://github.com/citation-style-language/schema/raw/master/csl-citation.json"} </w:instrText>
      </w:r>
      <w:r>
        <w:fldChar w:fldCharType="separate"/>
      </w:r>
      <w:r w:rsidRPr="0199F67A">
        <w:rPr>
          <w:rFonts w:ascii="Aptos" w:hAnsi="Aptos"/>
        </w:rPr>
        <w:t>(Garlick et al., 2025; Haupt, 2023)</w:t>
      </w:r>
      <w:r>
        <w:fldChar w:fldCharType="end"/>
      </w:r>
      <w:r>
        <w:t xml:space="preserve">. An often-cited view is also that innovation requires a ‘policy window’, a change in leadership or a crisis where a particular policy can be passed as ‘decisive action’ or a ‘new direction’ </w:t>
      </w:r>
      <w:r>
        <w:fldChar w:fldCharType="begin"/>
      </w:r>
      <w:r>
        <w:instrText xml:space="preserve"> ADDIN ZOTERO_ITEM CSL_CITATION {"citationID":"ISSdBrpp","properties":{"formattedCitation":"(Berry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0199F67A">
        <w:rPr>
          <w:rFonts w:ascii="Aptos" w:hAnsi="Aptos"/>
        </w:rPr>
        <w:t>(Berry and Berry, 2007)</w:t>
      </w:r>
      <w:r>
        <w:fldChar w:fldCharType="end"/>
      </w:r>
      <w:r>
        <w:t xml:space="preserve">. Some take the view that politicians do whatever will get them re-elected in the short term </w:t>
      </w:r>
      <w:r>
        <w:fldChar w:fldCharType="begin"/>
      </w:r>
      <w:r>
        <w:instrText xml:space="preserve"> ADDIN ZOTERO_ITEM CSL_CITATION {"citationID":"mfbbGkxr","properties":{"formattedCitation":"(Berry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0199F67A">
        <w:rPr>
          <w:rFonts w:ascii="Aptos" w:hAnsi="Aptos"/>
        </w:rPr>
        <w:t>(Berry and Berry, 2007)</w:t>
      </w:r>
      <w:r>
        <w:fldChar w:fldCharType="end"/>
      </w:r>
      <w:r>
        <w:t xml:space="preserve">. While decisions are envisioned to be evidence-based, understandings of what constitutes ‘evidence’ vary </w:t>
      </w:r>
      <w:r>
        <w:fldChar w:fldCharType="begin"/>
      </w:r>
      <w:r>
        <w:instrText xml:space="preserve"> ADDIN ZOTERO_ITEM CSL_CITATION {"citationID":"KnLuUBUu","properties":{"formattedCitation":"(McGill et al., 2015)","plainCitation":"(McGill et al., 2015)","noteIndex":0},"citationItems":[{"id":1928,"uris":["http://zotero.org/users/714468/items/LMFVIF29"],"itemData":{"id":1928,"type":"article-journal","abstract":"Objectives Local government services and policies affect health determinants across many sectors such as planning, transportation, housing and leisure. Researchers and policymakers have argued that decisions affecting wider determinants of health, well-being and inequalities should be informed by evidence. This study explores how information and evidence are defined, assessed and utilised by local professionals situated beyond the health sector, but whose decisions potentially affect health: in this case, practitioners working in design, planning and maintenance of the built environment.\n\nDesign A qualitative study using three focus groups. A thematic analysis was undertaken.\n\nSetting The focus groups were held in UK localities and involved local practitioners working in two UK regions, as well as in Brazil, USA and Canada.\n\nParticipants UK and international practitioners working in the design and management of the built environment at a local government level.\n\nResults Participants described a range of data and information that constitutes evidence, of which academic research is only one part. Built environment decision-makers value empirical evidence, but also emphasise the legitimacy and relevance of less empirical ways of thinking through narratives that associate their work to art and philosophy. Participants prioritised evidence on the acceptability, deliverability and sustainability of interventions over evidence of longer term outcomes (including many health outcomes). Participants generally privileged local information, including personal experiences and local data, but were less willing to accept evidence from contexts perceived to be different from their own.\n\nConclusions Local-level built environment practitioners utilise evidence to make decisions, but their view of ‘best evidence’ appears to prioritise local relevance over academic rigour. Academics can facilitate evidence-informed local decisions affecting social determinants of health by working with relevant practitioners to improve the quality of local data and evaluations, and by advancing approaches to improve the external validity of academic research.","DOI":"10.1136/bmjopen-2014-007053","language":"en","license":"Published by the BMJ Publishing Group Limited. For permission to use (where not already granted under a licence) please go to http://group.bmj.com/group/rights-licensing/permissions. 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Public health","source":"bmjopen.bmj.com","title":"Trading quality for relevance: non-health decision-makers’ use of evidence on the social determinants of health","title-short":"Trading quality for relevance","URL":"https://bmjopen.bmj.com/content/5/4/e007053","author":[{"family":"McGill","given":"Elizabeth"},{"family":"Egan","given":"Matt"},{"family":"Petticrew","given":"Mark"},{"family":"Mountford","given":"Lesley"},{"family":"Milton","given":"Sarah"},{"family":"Whitehead","given":"Margaret"},{"family":"Lock","given":"Karen"}],"accessed":{"date-parts":[["2025",4,22]]},"issued":{"date-parts":[["2015",4,1]]}}}],"schema":"https://github.com/citation-style-language/schema/raw/master/csl-citation.json"} </w:instrText>
      </w:r>
      <w:r>
        <w:fldChar w:fldCharType="separate"/>
      </w:r>
      <w:r w:rsidRPr="0199F67A">
        <w:rPr>
          <w:rFonts w:ascii="Aptos" w:hAnsi="Aptos"/>
        </w:rPr>
        <w:t>(McGill et al., 2015)</w:t>
      </w:r>
      <w:r>
        <w:fldChar w:fldCharType="end"/>
      </w:r>
      <w:r>
        <w:t xml:space="preserve"> and decisions are often based on personal experience, expert contacts, and diverse assemblages of materials </w:t>
      </w:r>
      <w:r>
        <w:fldChar w:fldCharType="begin"/>
      </w:r>
      <w:r>
        <w:instrText xml:space="preserve"> ADDIN ZOTERO_ITEM CSL_CITATION {"citationID":"MuAGOVT8","properties":{"formattedCitation":"(Gavens et al., 2019; Lundin et al., 2015; Prince, 2012)","plainCitation":"(Gavens et al., 2019; Lundin et al., 2015; Prince, 2012)","noteIndex":0},"citationItems":[{"id":1201,"uris":["http://zotero.org/users/714468/items/SNPWWL3Q"],"itemData":{"id":1201,"type":"article-journal","abstract":"Background and aims\nRecent years have seen a rise in new and innovative policies to reduce alcohol consumption and related harm in England, which can be implemented by local, as opposed to national, policy-makers. The aim of this paper is to explore the processes that underpin the adoption of these alcohol policies within local authorities. In particular, it aims to assess whether the concept of policy transfer (i.e. a process through which knowledge about policies in one place is used in the development of policies in another time or place) provides a useful model for understanding local alcohol policy-making.\nMethods\nQualitative data generated through in-depth interviews and focus groups from five case study sites across England were used to explore stakeholder experiences of alcohol policy transfer between local authorities. The purposive sample of policy actors included representatives from the police, trading standards, public health, licensing, and commissioning. Thematic analysis was used inductively to identify key features in the data.\nResults\nThemes from the policy transfer literature identified in the data were: policy copying, emulating, hybridization, and inspiration. Participants described a multitude of ways in which learning was shared between places, ranging from formal academic evaluation to opportunistic conversations in informal settings. Participants also described facilitators and constraints to policy transfer, such as the historical policy context and the local cultural, economic, and bureaucratic context, which influenced whether or not a policy that was perceived to work in one place might be transferred successfully to another context.\nConclusions\nTheories of policy transfer provide a promising framework for characterising processes of local alcohol policy-making in England, extending beyond debates regarding evidence-informed policy to account for a much wider range of considerations. Applying a policy transfer lens enables us to move beyond simple (but still important) questions of what is supported by ‘robust’ research evidence by paying greater attention to how policy making is carried out in practice and the multiple methods by which policies diffuse across jurisdictions.","container-title":"Health &amp; Place","DOI":"10.1016/j.healthplace.2017.05.016","ISSN":"1353-8292","journalAbbreviation":"Health &amp; Place","page":"358-364","source":"ScienceDirect","title":"Processes of local alcohol policy-making in England: Does the theory of policy transfer provide useful insights into public health decision-making?","title-short":"Processes of local alcohol policy-making in England","volume":"57","author":[{"family":"Gavens","given":"Lucy"},{"family":"Holmes","given":"John"},{"family":"Buykx","given":"Penny"},{"family":"Vocht","given":"Frank","non-dropping-particle":"de"},{"family":"Egan","given":"Matt"},{"family":"Grace","given":"Daniel"},{"family":"Lock","given":"Karen"},{"family":"Mooney","given":"John D."},{"family":"Brennan","given":"Alan"}],"issued":{"date-parts":[["2019",5,1]]}}},{"id":1776,"uris":["http://zotero.org/users/714468/items/23SDNV52"],"itemData":{"id":1776,"type":"article-journal","abstract":"Do local governments learn from their successful peers when designing public policies? In spite of extensive research on policy diffusion and learning, there is still a lack of studies on how success relates to learning patterns. We address this deficiency by examining which other governments local administrative units draw lessons from. More precisely, we investigate whether public managers learn from the experiences of local governments whose citizens are satisfied with government services. Using a large dyadic dataset on all Swedish municipalities from 2010, we find that senior public managers in local administrations learn from similar local governments and from neighbours. But we also find clear evidence that they learn from local governments whose citizens are pleased with local public services. This indicates that best practices are spread among local governments.","container-title":"Public Administration","DOI":"10.1111/padm.12162","ISSN":"1467-9299","issue":"3","language":"en","license":"© 2015 John Wiley &amp; Sons Ltd","note":"_eprint: https://onlinelibrary.wiley.com/doi/pdf/10.1111/padm.12162","page":"733-752","source":"Wiley Online Library","title":"Learning from Success: Are Successful Governments Role Models?","title-short":"Learning from Success","volume":"93","author":[{"family":"Lundin","given":"Martin"},{"family":"Öberg","given":"Perola"},{"family":"Josefsson","given":"Cecilia"}],"issued":{"date-parts":[["2015"]]}}},{"id":1940,"uris":["http://zotero.org/users/714468/items/I6F4P7ZQ"],"itemData":{"id":1940,"type":"article-journal","abstract":"The emergence of increasingly transnational geographies of governance presents a challenge to geographers. Geographical work on policy transfer, which links this process with the extension of the hegemonic ‘regimes of truth’ that define policy norms, has much to offer conceptions of emerging geographies of governance, particularly when linked to the production of governance structures, such as global policy networks. The paper argues that increased use of ethnographic methods in policy transfer studies enables a focus on how global policy networks are produced through the actors driving the transfers. This is illustrated through a discussion of policy consultants.","container-title":"Progress in Human Geography","DOI":"10.1177/0309132511417659","ISSN":"0309-1325","issue":"2","language":"EN","note":"publisher: SAGE Publications Ltd","page":"188-203","source":"SAGE Journals","title":"Policy transfer, consultants and the geographies of governance","volume":"36","author":[{"family":"Prince","given":"Russell"}],"issued":{"date-parts":[["2012",4,1]]}}}],"schema":"https://github.com/citation-style-language/schema/raw/master/csl-citation.json"} </w:instrText>
      </w:r>
      <w:r>
        <w:fldChar w:fldCharType="separate"/>
      </w:r>
      <w:r w:rsidRPr="0199F67A">
        <w:rPr>
          <w:rFonts w:ascii="Aptos" w:hAnsi="Aptos"/>
        </w:rPr>
        <w:t>(Gavens et al., 2019; Lundin et al., 2015; Prince, 2012)</w:t>
      </w:r>
      <w:r>
        <w:fldChar w:fldCharType="end"/>
      </w:r>
      <w:r>
        <w:t>.</w:t>
      </w:r>
    </w:p>
    <w:p w14:paraId="29BBC7FE" w14:textId="77777777" w:rsidR="00EE0150" w:rsidRDefault="00EE0150" w:rsidP="00EE0150">
      <w:r>
        <w:t xml:space="preserve">This paper specifically draws on the three theories of internal determinants, national interaction, and regional diffusion </w:t>
      </w:r>
      <w:r>
        <w:fldChar w:fldCharType="begin"/>
      </w:r>
      <w:r>
        <w:instrText xml:space="preserve"> ADDIN ZOTERO_ITEM CSL_CITATION {"citationID":"TcvOBo89","properties":{"formattedCitation":"(Berry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15880E7C">
        <w:rPr>
          <w:rFonts w:ascii="Aptos" w:hAnsi="Aptos"/>
        </w:rPr>
        <w:t>(Berry and Berry, 2007)</w:t>
      </w:r>
      <w:r>
        <w:fldChar w:fldCharType="end"/>
      </w:r>
      <w:r>
        <w:t xml:space="preserve">. The internal determinants model assumes that the actors have perfect information about the policy and that implementation is solely driven by internal socio-economic characteristics as well as internal organisational and political factors. A policy can be considered incompatible with local needs, too complex, or too costly to implement, or the cost-effectiveness too hard to prove (trialability), e.g. due to the nature of the potential outcomes (observability) </w:t>
      </w:r>
      <w:r>
        <w:fldChar w:fldCharType="begin"/>
      </w:r>
      <w:r>
        <w:instrText xml:space="preserve"> ADDIN ZOTERO_ITEM CSL_CITATION {"citationID":"CpN2DvWZ","properties":{"formattedCitation":"(Berry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15880E7C">
        <w:rPr>
          <w:rFonts w:ascii="Aptos" w:hAnsi="Aptos"/>
        </w:rPr>
        <w:t>(Berry and Berry, 2007)</w:t>
      </w:r>
      <w:r>
        <w:fldChar w:fldCharType="end"/>
      </w:r>
      <w:r>
        <w:t xml:space="preserve">. In some cases, a policy may seem redundant if alternative (competing) policies with similar goals are being implemented </w:t>
      </w:r>
      <w:r>
        <w:fldChar w:fldCharType="begin"/>
      </w:r>
      <w:r>
        <w:instrText xml:space="preserve"> ADDIN ZOTERO_ITEM CSL_CITATION {"citationID":"wtM5y5BT","properties":{"formattedCitation":"(Berry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15880E7C">
        <w:rPr>
          <w:rFonts w:ascii="Aptos" w:hAnsi="Aptos"/>
        </w:rPr>
        <w:t>(Berry and Berry, 2007)</w:t>
      </w:r>
      <w:r>
        <w:fldChar w:fldCharType="end"/>
      </w:r>
      <w:r>
        <w:t xml:space="preserve">. Local authorities have statutory functions which in part limit their ideological scope, but right-wing parties generally have less inclination to intervene in markets such as PRS than left-wing parties </w:t>
      </w:r>
      <w:r>
        <w:fldChar w:fldCharType="begin"/>
      </w:r>
      <w:r>
        <w:instrText xml:space="preserve"> ADDIN ZOTERO_ITEM CSL_CITATION {"citationID":"di4x9Xov","properties":{"formattedCitation":"(Blick, 2025)","plainCitation":"(Blick, 2025)","noteIndex":0},"citationItems":[{"id":4171,"uris":["http://zotero.org/users/714468/items/ICIMRFDJ"],"itemData":{"id":4171,"type":"book","abstract":"UK Politics is the ideal introduction to the subject, providing students with the foundational understanding, critical perspectives, and historical knowledge they need to make sense of politics in the United Kingdom today.A contemporary account of UK politics, covering the impact on politics of events including the 2024 general election results, the US election results,","event-place":"Oxford, UK","language":"en","note":"Cc: gb\nLang: en\nTab: overview","publisher":"Oxford University Press","publisher-place":"Oxford, UK","title":"UK Politics","URL":"https://global.oup.com/ukhe/product/uk-politics-9780198907466","author":[{"family":"Blick","given":"Andrew"}],"accessed":{"date-parts":[["2025",9,19]]},"issued":{"date-parts":[["2025"]]}}}],"schema":"https://github.com/citation-style-language/schema/raw/master/csl-citation.json"} </w:instrText>
      </w:r>
      <w:r>
        <w:fldChar w:fldCharType="separate"/>
      </w:r>
      <w:r w:rsidRPr="15880E7C">
        <w:rPr>
          <w:rFonts w:ascii="Aptos" w:hAnsi="Aptos"/>
        </w:rPr>
        <w:t>(Blick, 2025)</w:t>
      </w:r>
      <w:r>
        <w:fldChar w:fldCharType="end"/>
      </w:r>
      <w:r>
        <w:t xml:space="preserve">.  </w:t>
      </w:r>
    </w:p>
    <w:p w14:paraId="23F425E7" w14:textId="77777777" w:rsidR="00EE0150" w:rsidRDefault="00EE0150" w:rsidP="00EE0150">
      <w:r>
        <w:lastRenderedPageBreak/>
        <w:t xml:space="preserve">Some sceptics take the view that a local discretionary policy (such as SL) could be a central government ploy to avoid implementing a more effective yet politically unpopular national policy, i.e. that they become political ‘pressure valves’ </w:t>
      </w:r>
      <w:r>
        <w:fldChar w:fldCharType="begin"/>
      </w:r>
      <w:r>
        <w:instrText xml:space="preserve"> ADDIN ZOTERO_ITEM CSL_CITATION {"citationID":"Y6M7lFR0","properties":{"formattedCitation":"(Shipan and Volden, 2012)","plainCitation":"(Shipan and Volden, 2012)","noteIndex":0},"citationItems":[{"id":1956,"uris":["http://zotero.org/users/714468/items/DQSQ2T64"],"itemData":{"id":1956,"type":"article-journal","abstract":"The scholarship on policy diffusion in political science and public administration is extensive. This article provides an introduction to that literature for scholars, students, and practitioners. It offers seven lessons derived from that literature, built from numerous empirical studies and applied to contemporary policy debates. Based on these seven lessons, the authors offer guidance to policy makers and present opportunities for future research to students and scholars of policy diffusion.","container-title":"Public Administration Review","DOI":"10.1111/j.1540-6210.2012.02610.x","ISSN":"1540-6210","issue":"6","language":"en","license":"© 2012 by The American Society for Public Administration","note":"_eprint: https://onlinelibrary.wiley.com/doi/pdf/10.1111/j.1540-6210.2012.02610.x","page":"788-796","source":"Wiley Online Library","title":"Policy Diffusion: Seven Lessons for Scholars and Practitioners","title-short":"Policy Diffusion","volume":"72","author":[{"family":"Shipan","given":"Charles R."},{"family":"Volden","given":"Craig"}],"issued":{"date-parts":[["2012"]]}}}],"schema":"https://github.com/citation-style-language/schema/raw/master/csl-citation.json"} </w:instrText>
      </w:r>
      <w:r>
        <w:fldChar w:fldCharType="separate"/>
      </w:r>
      <w:r w:rsidRPr="4A0B29BC">
        <w:rPr>
          <w:rFonts w:ascii="Aptos" w:hAnsi="Aptos"/>
        </w:rPr>
        <w:t>(Shipan and Volden, 2012)</w:t>
      </w:r>
      <w:r>
        <w:fldChar w:fldCharType="end"/>
      </w:r>
      <w:r>
        <w:t xml:space="preserve">. On the other hand, if many local authorities implement a discretionary policy, it could put pressure on central government to turn it into a national policy (‘snowballing’) </w:t>
      </w:r>
      <w:r>
        <w:fldChar w:fldCharType="begin"/>
      </w:r>
      <w:r>
        <w:instrText xml:space="preserve"> ADDIN ZOTERO_ITEM CSL_CITATION {"citationID":"JpXbSXmF","properties":{"formattedCitation":"(Shipan and Volden, 2012)","plainCitation":"(Shipan and Volden, 2012)","noteIndex":0},"citationItems":[{"id":1956,"uris":["http://zotero.org/users/714468/items/DQSQ2T64"],"itemData":{"id":1956,"type":"article-journal","abstract":"The scholarship on policy diffusion in political science and public administration is extensive. This article provides an introduction to that literature for scholars, students, and practitioners. It offers seven lessons derived from that literature, built from numerous empirical studies and applied to contemporary policy debates. Based on these seven lessons, the authors offer guidance to policy makers and present opportunities for future research to students and scholars of policy diffusion.","container-title":"Public Administration Review","DOI":"10.1111/j.1540-6210.2012.02610.x","ISSN":"1540-6210","issue":"6","language":"en","license":"© 2012 by The American Society for Public Administration","note":"_eprint: https://onlinelibrary.wiley.com/doi/pdf/10.1111/j.1540-6210.2012.02610.x","page":"788-796","source":"Wiley Online Library","title":"Policy Diffusion: Seven Lessons for Scholars and Practitioners","title-short":"Policy Diffusion","volume":"72","author":[{"family":"Shipan","given":"Charles R."},{"family":"Volden","given":"Craig"}],"issued":{"date-parts":[["2012"]]}}}],"schema":"https://github.com/citation-style-language/schema/raw/master/csl-citation.json"} </w:instrText>
      </w:r>
      <w:r>
        <w:fldChar w:fldCharType="separate"/>
      </w:r>
      <w:r w:rsidRPr="4A0B29BC">
        <w:rPr>
          <w:rFonts w:ascii="Aptos" w:hAnsi="Aptos"/>
        </w:rPr>
        <w:t>(Shipan and Volden, 2012)</w:t>
      </w:r>
      <w:r>
        <w:fldChar w:fldCharType="end"/>
      </w:r>
      <w:r>
        <w:t xml:space="preserve">. Whilst some see devolution as kind of ‘policy lab’ where central government can test out new ideas before formulating them into national policy </w:t>
      </w:r>
      <w:r>
        <w:fldChar w:fldCharType="begin"/>
      </w:r>
      <w:r>
        <w:instrText xml:space="preserve"> ADDIN ZOTERO_ITEM CSL_CITATION {"citationID":"YPqGIVgl","properties":{"formattedCitation":"(Shipan and Volden, 2012)","plainCitation":"(Shipan and Volden, 2012)","noteIndex":0},"citationItems":[{"id":1956,"uris":["http://zotero.org/users/714468/items/DQSQ2T64"],"itemData":{"id":1956,"type":"article-journal","abstract":"The scholarship on policy diffusion in political science and public administration is extensive. This article provides an introduction to that literature for scholars, students, and practitioners. It offers seven lessons derived from that literature, built from numerous empirical studies and applied to contemporary policy debates. Based on these seven lessons, the authors offer guidance to policy makers and present opportunities for future research to students and scholars of policy diffusion.","container-title":"Public Administration Review","DOI":"10.1111/j.1540-6210.2012.02610.x","ISSN":"1540-6210","issue":"6","language":"en","license":"© 2012 by The American Society for Public Administration","note":"_eprint: https://onlinelibrary.wiley.com/doi/pdf/10.1111/j.1540-6210.2012.02610.x","page":"788-796","source":"Wiley Online Library","title":"Policy Diffusion: Seven Lessons for Scholars and Practitioners","title-short":"Policy Diffusion","volume":"72","author":[{"family":"Shipan","given":"Charles R."},{"family":"Volden","given":"Craig"}],"issued":{"date-parts":[["2012"]]}}}],"schema":"https://github.com/citation-style-language/schema/raw/master/csl-citation.json"} </w:instrText>
      </w:r>
      <w:r>
        <w:fldChar w:fldCharType="separate"/>
      </w:r>
      <w:r w:rsidRPr="4A0B29BC">
        <w:rPr>
          <w:rFonts w:ascii="Aptos" w:hAnsi="Aptos"/>
        </w:rPr>
        <w:t>(Shipan and Volden, 2012)</w:t>
      </w:r>
      <w:r>
        <w:fldChar w:fldCharType="end"/>
      </w:r>
      <w:r>
        <w:t xml:space="preserve">.  </w:t>
      </w:r>
    </w:p>
    <w:p w14:paraId="685EE575" w14:textId="77777777" w:rsidR="00EE0150" w:rsidRDefault="00EE0150" w:rsidP="00EE0150">
      <w:r>
        <w:t xml:space="preserve">The national interaction model assumes that the ‘burden of proof’ for adopting grows over time and that more and more actors will consider it through their interactions at all levels from the local to the national </w:t>
      </w:r>
      <w:r>
        <w:fldChar w:fldCharType="begin"/>
      </w:r>
      <w:r>
        <w:instrText xml:space="preserve"> ADDIN ZOTERO_ITEM CSL_CITATION {"citationID":"rCViZo8f","properties":{"formattedCitation":"(Berry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15880E7C">
        <w:rPr>
          <w:rFonts w:ascii="Aptos" w:hAnsi="Aptos"/>
        </w:rPr>
        <w:t>(Berry and Berry, 2007)</w:t>
      </w:r>
      <w:r>
        <w:fldChar w:fldCharType="end"/>
      </w:r>
      <w:r>
        <w:t xml:space="preserve">. The regional diffusion model however assumes that the information more likely travels through local networks leading to a slower, more organic policy diffusion. </w:t>
      </w:r>
    </w:p>
    <w:p w14:paraId="1B95B1D7" w14:textId="77777777" w:rsidR="00EE0150" w:rsidRDefault="00EE0150" w:rsidP="00EE0150">
      <w:r>
        <w:t xml:space="preserve">The goal of this paper is to assess temporal, geographical, and socio-economic variation associated with SL adoption and to discuss the results in relation to three key models, i.e. internal determinants, national interaction, and regional diffusion </w:t>
      </w:r>
      <w:r>
        <w:fldChar w:fldCharType="begin"/>
      </w:r>
      <w:r>
        <w:instrText xml:space="preserve"> ADDIN ZOTERO_ITEM CSL_CITATION {"citationID":"hcfmnGtz","properties":{"formattedCitation":"(Berry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245819D8">
        <w:rPr>
          <w:rFonts w:ascii="Aptos" w:hAnsi="Aptos"/>
        </w:rPr>
        <w:t>(Berry and Berry, 2007)</w:t>
      </w:r>
      <w:r>
        <w:fldChar w:fldCharType="end"/>
      </w:r>
      <w:r>
        <w:t xml:space="preserve">. Accordingly, we study whether adopting local authorities are geographically clustered once underlying socio-economic characteristics have been taken into account </w:t>
      </w:r>
      <w:r>
        <w:fldChar w:fldCharType="begin"/>
      </w:r>
      <w:r>
        <w:instrText xml:space="preserve"> ADDIN ZOTERO_ITEM CSL_CITATION {"citationID":"0VtCZHzZ","properties":{"formattedCitation":"(Spinelli, 2022)","plainCitation":"(Spinelli, 2022)","noteIndex":0},"citationItems":[{"id":1953,"uris":["http://zotero.org/users/714468/items/RZRJCBMG"],"itemData":{"id":1953,"type":"article-journal","abstract":"Starting from version 15, Stata allows users to manage data and fit regressions accounting for spatial relationships through the sp commands. Spatial regressions can be estimated using the spregress, spxtregress, and spivregress commands. These commands allow users to fit spatial autoregressive models in cross-sectional and panel data. However, they are designed to estimate regressions with continuous dependent variables. Although binary spatial regressions are important in applied econometrics, they cannot be estimated in Stata. Therefore, I introduce spatbinary, a Stata command that allows users to fit spatial logit and probit models.","container-title":"The Stata Journal","DOI":"10.1177/1536867X221106373","ISSN":"1536-867X","issue":"2","language":"EN","note":"publisher: SAGE Publications","page":"293-318","source":"SAGE Journals","title":"Fitting spatial autoregressive logit and probit models using Stata: The spatbinary command","title-short":"Fitting spatial autoregressive logit and probit models using Stata","volume":"22","author":[{"family":"Spinelli","given":"Daniele"}],"issued":{"date-parts":[["2022",6,1]]}}}],"schema":"https://github.com/citation-style-language/schema/raw/master/csl-citation.json"} </w:instrText>
      </w:r>
      <w:r>
        <w:fldChar w:fldCharType="separate"/>
      </w:r>
      <w:r w:rsidRPr="245819D8">
        <w:rPr>
          <w:rFonts w:ascii="Aptos" w:hAnsi="Aptos"/>
        </w:rPr>
        <w:t>(Spinelli, 2022)</w:t>
      </w:r>
      <w:r>
        <w:fldChar w:fldCharType="end"/>
      </w:r>
      <w:r>
        <w:t xml:space="preserve">. Clustering may imply spatial spillovers </w:t>
      </w:r>
      <w:r>
        <w:fldChar w:fldCharType="begin"/>
      </w:r>
      <w:r>
        <w:instrText xml:space="preserve"> ADDIN ZOTERO_ITEM CSL_CITATION {"citationID":"b5xjdo9u","properties":{"formattedCitation":"(Anselin, 2003)","plainCitation":"(Anselin, 2003)","noteIndex":0},"citationItems":[{"id":1950,"uris":["http://zotero.org/users/714468/items/6JBNLM79"],"itemData":{"id":1950,"type":"article-journal","abstract":"This article outlines a taxonomy of spatial econometric model specifications that incorporate spatial externalities in various ways. The point of departure is a reduced form in which local or global spillovers are expressed as spatial multipliers. From this, a range of familiar and less familiar specifications is derived for the structural form of a spatial regression.","container-title":"International Regional Science Review","DOI":"10.1177/0160017602250972","ISSN":"0160-0176","issue":"2","language":"EN","note":"publisher: SAGE Publications Inc","page":"153-166","source":"SAGE Journals","title":"Spatial Externalities, Spatial Multipliers, And Spatial Econometrics","volume":"26","author":[{"family":"Anselin","given":"Luc"}],"issued":{"date-parts":[["2003",4,1]]}}}],"schema":"https://github.com/citation-style-language/schema/raw/master/csl-citation.json"} </w:instrText>
      </w:r>
      <w:r>
        <w:fldChar w:fldCharType="separate"/>
      </w:r>
      <w:r w:rsidRPr="245819D8">
        <w:rPr>
          <w:rFonts w:ascii="Aptos" w:hAnsi="Aptos"/>
        </w:rPr>
        <w:t>(Anselin, 2003)</w:t>
      </w:r>
      <w:r>
        <w:fldChar w:fldCharType="end"/>
      </w:r>
      <w:r>
        <w:t xml:space="preserve">, indicating that the policy has been poorly promoted and that local networks have driven the diffusion of policy adoption </w:t>
      </w:r>
      <w:r>
        <w:fldChar w:fldCharType="begin"/>
      </w:r>
      <w:r>
        <w:instrText xml:space="preserve"> ADDIN ZOTERO_ITEM CSL_CITATION {"citationID":"F9tPXQ1O","properties":{"formattedCitation":"(Lundin et al., 2015)","plainCitation":"(Lundin et al., 2015)","noteIndex":0},"citationItems":[{"id":1776,"uris":["http://zotero.org/users/714468/items/23SDNV52"],"itemData":{"id":1776,"type":"article-journal","abstract":"Do local governments learn from their successful peers when designing public policies? In spite of extensive research on policy diffusion and learning, there is still a lack of studies on how success relates to learning patterns. We address this deficiency by examining which other governments local administrative units draw lessons from. More precisely, we investigate whether public managers learn from the experiences of local governments whose citizens are satisfied with government services. Using a large dyadic dataset on all Swedish municipalities from 2010, we find that senior public managers in local administrations learn from similar local governments and from neighbours. But we also find clear evidence that they learn from local governments whose citizens are pleased with local public services. This indicates that best practices are spread among local governments.","container-title":"Public Administration","DOI":"10.1111/padm.12162","ISSN":"1467-9299","issue":"3","language":"en","license":"© 2015 John Wiley &amp; Sons Ltd","note":"_eprint: https://onlinelibrary.wiley.com/doi/pdf/10.1111/padm.12162","page":"733-752","source":"Wiley Online Library","title":"Learning from Success: Are Successful Governments Role Models?","title-short":"Learning from Success","volume":"93","author":[{"family":"Lundin","given":"Martin"},{"family":"Öberg","given":"Perola"},{"family":"Josefsson","given":"Cecilia"}],"issued":{"date-parts":[["2015"]]}}}],"schema":"https://github.com/citation-style-language/schema/raw/master/csl-citation.json"} </w:instrText>
      </w:r>
      <w:r>
        <w:fldChar w:fldCharType="separate"/>
      </w:r>
      <w:r w:rsidRPr="245819D8">
        <w:rPr>
          <w:rFonts w:ascii="Aptos" w:hAnsi="Aptos"/>
        </w:rPr>
        <w:t>(Lundin et al., 2015)</w:t>
      </w:r>
      <w:r>
        <w:fldChar w:fldCharType="end"/>
      </w:r>
      <w:r>
        <w:t xml:space="preserve">. If the opposite is the case, it would indicate that internal determinants are more important in predicting SL adoption </w:t>
      </w:r>
      <w:r>
        <w:fldChar w:fldCharType="begin"/>
      </w:r>
      <w:r>
        <w:instrText xml:space="preserve"> ADDIN ZOTERO_ITEM CSL_CITATION {"citationID":"PTRgP76O","properties":{"formattedCitation":"(Berry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245819D8">
        <w:rPr>
          <w:rFonts w:ascii="Aptos" w:hAnsi="Aptos"/>
        </w:rPr>
        <w:t>(Berry and Berry, 2007)</w:t>
      </w:r>
      <w:r>
        <w:fldChar w:fldCharType="end"/>
      </w:r>
      <w:r>
        <w:t>.</w:t>
      </w:r>
    </w:p>
    <w:p w14:paraId="58D45401" w14:textId="77777777" w:rsidR="00EE0150" w:rsidRDefault="00EE0150" w:rsidP="00EE0150"/>
    <w:p w14:paraId="64A78E77" w14:textId="77777777" w:rsidR="00EE0150" w:rsidRPr="00440680" w:rsidRDefault="00EE0150" w:rsidP="00EE0150">
      <w:pPr>
        <w:rPr>
          <w:b/>
          <w:bCs/>
        </w:rPr>
      </w:pPr>
      <w:r w:rsidRPr="00440680">
        <w:rPr>
          <w:b/>
          <w:bCs/>
        </w:rPr>
        <w:t>Methods</w:t>
      </w:r>
    </w:p>
    <w:p w14:paraId="0B115ED9" w14:textId="77777777" w:rsidR="00EE0150" w:rsidRDefault="00EE0150" w:rsidP="00EE0150">
      <w:r>
        <w:t xml:space="preserve">All English local authorities (N=309) were sent Freedom of Information requests at least twice requesting information about any SL schemes implemented within their area since 2006 (Alexiou et al., unpublished). First in 2021, and a second time for validation purposes in 2024. In the latest round, we shared a web page with details of the SL schemes identified during the first round. All local authorities responded in the first round and 82 local authorities (27%) responded in the second round. We also consulted our network of housing professionals and received 11 responses. For this paper, we focus on when each local authority first adopted SL in the time period before the COVID-19 emergency disrupted intervention delivery </w:t>
      </w:r>
      <w:r>
        <w:fldChar w:fldCharType="begin"/>
      </w:r>
      <w:r>
        <w:instrText xml:space="preserve"> ADDIN ZOTERO_ITEM CSL_CITATION {"citationID":"yTWS28YZ","properties":{"formattedCitation":"(Petersen et al., 2022)","plainCitation":"(Petersen et al., 2022)","noteIndex":0},"citationItems":[{"id":46,"uris":["http://zotero.org/users/714468/items/PUZP5R5T"],"itemData":{"id":46,"type":"article-journal","abstract":"Objectives To assess primary impact of selective Licensing (SL), an area-based intervention in the private rented housing market, on individual self-reported anxiety and neighbourhood mental health (MHI—Mental Healthcare Index) and secondary impacts on antisocial behaviour (ASB), population turnover and self-reported well-being.\nDesign Difference-in-difference (DiD) was used to evaluate effects of SL schemes initiated 2012–2018. 921 intervention areas (lower super output areas) were matched 3:1 using propensity scores derived from sociodemographic and housing variables (N=3.684 including controls). Average treatment effect on treated (ATT) was calculated for multiple time period DiD in area-level analyses. Canonical DiD was used for individual-level analysis by year of treatment initiation while adjusting for age, sex, native birth and occupational class.\nSetting Intervention neighbourhoods and control areas in Greater London, UK, 2011–2019.\nParticipants We sampled 4474 respondents renting privately in intervention areas (N=17 347 including controls) in Annual Population Survey and obtained area-level MHI population data.\nInterventions Private landlords in SL areas must obtain a licence from the local authority, allow inspection and maintain minimum housing standards.\nResults ATT after 5 years was significantly lower for MHI (−7.5%, 95% CI −5.6% to −8.8%) than controls. Antidepressant treatment days per population reduced by −5.4% (95% CI −3.7% to −7.3), mental health benefit receipt by −9.6% (95% CI −14% to −5.5%) and proportion with depression by −12% (95% CI −7.7% to −16.3%). ASB reduced by −15% (95% CI −21% to −8.2%). Population turnover increased by 26.5% (95% CI 22.1% to 30.8%). Sensitivity analysis suggests overlap with effects of London 2012 Olympic regeneration. No clear patterns were observed for self-reported anxiety.\nConclusions We found associations between SL and reductions in area-based mental healthcare outcomes and ASB, while population turnover increased. A national evaluation of SL is feasible and necessary.","container-title":"BMJ Open","DOI":"10.1136/bmjopen-2022-065747","ISSN":"2044-6055, 2044-6055","issue":"12","language":"en","license":"© Author(s) (or their employer(s)) 2022. Re-use permitted under CC BY. Published by BMJ.. https://creativecommons.org/licenses/by/4.0/This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British Medical Journal Publishing Group\nsection: Public health\nPMID: 36564110","page":"e065747","source":"bmjopen.bmj.com","title":"Impact of selective licensing schemes for private rental housing on mental health and social outcomes in Greater London, England: a natural experiment study","title-short":"Impact of selective licensing schemes for private rental housing on mental health and social outcomes in Greater London, England","volume":"12","author":[{"family":"Petersen","given":"Jakob"},{"family":"Alexiou","given":"Alexandros"},{"family":"Brewerton","given":"David"},{"family":"Cornelsen","given":"Laura"},{"family":"Courtin","given":"Emilie"},{"family":"Cummins","given":"Steven"},{"family":"Marks","given":"Dalya"},{"family":"Seguin","given":"Maureen"},{"family":"Stewart","given":"Jill"},{"family":"Thompson","given":"Kevin"},{"family":"Egan","given":"Matt"}],"issued":{"date-parts":[["2022",12,1]]}}}],"schema":"https://github.com/citation-style-language/schema/raw/master/csl-citation.json"} </w:instrText>
      </w:r>
      <w:r>
        <w:fldChar w:fldCharType="separate"/>
      </w:r>
      <w:r w:rsidRPr="188A6930">
        <w:rPr>
          <w:rFonts w:ascii="Aptos" w:hAnsi="Aptos"/>
        </w:rPr>
        <w:t>(Petersen et al., 2022)</w:t>
      </w:r>
      <w:r>
        <w:fldChar w:fldCharType="end"/>
      </w:r>
      <w:r>
        <w:t xml:space="preserve">. </w:t>
      </w:r>
    </w:p>
    <w:p w14:paraId="347068B9" w14:textId="77777777" w:rsidR="00EE0150" w:rsidRDefault="00EE0150" w:rsidP="00EE0150">
      <w:r>
        <w:t xml:space="preserve">We opted for a cross-sectional design with contextual data from the early stages of SL adoption and spatial lags based on adoption at any point during the study period. </w:t>
      </w:r>
    </w:p>
    <w:p w14:paraId="576E5C65" w14:textId="77777777" w:rsidR="00EE0150" w:rsidRDefault="00EE0150" w:rsidP="00EE0150">
      <w:r>
        <w:t xml:space="preserve">We first looked at the cumulative adoption curve </w:t>
      </w:r>
      <w:r>
        <w:fldChar w:fldCharType="begin"/>
      </w:r>
      <w:r>
        <w:instrText xml:space="preserve"> ADDIN ZOTERO_ITEM CSL_CITATION {"citationID":"Rw1xWFs7","properties":{"formattedCitation":"(Berry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4427C4BE">
        <w:rPr>
          <w:rFonts w:ascii="Aptos" w:hAnsi="Aptos"/>
        </w:rPr>
        <w:t>(Berry and Berry, 2007)</w:t>
      </w:r>
      <w:r>
        <w:fldChar w:fldCharType="end"/>
      </w:r>
      <w:r>
        <w:t xml:space="preserve"> for local authorities with SL (N=49) overall and by the political party with most seats in May of the adoption year </w:t>
      </w:r>
      <w:r>
        <w:fldChar w:fldCharType="begin"/>
      </w:r>
      <w:r>
        <w:instrText xml:space="preserve"> ADDIN ZOTERO_ITEM CSL_CITATION {"citationID":"tYUACL4B","properties":{"formattedCitation":"(Lawson, 2025)","plainCitation":"(Lawson, 2025)","noteIndex":0},"citationItems":[{"id":4169,"uris":["http://zotero.org/users/714468/items/PNMRAR6F"],"itemData":{"id":4169,"type":"webpage","title":"Open Council Data UK - compositions councillors parties wards elections emails","URL":"http://www.opencouncildata.co.uk/","author":[{"family":"Lawson","given":"Jon"}],"accessed":{"date-parts":[["2025",9,19]]},"issued":{"date-parts":[["2025"]]}}}],"schema":"https://github.com/citation-style-language/schema/raw/master/csl-citation.json"} </w:instrText>
      </w:r>
      <w:r>
        <w:fldChar w:fldCharType="separate"/>
      </w:r>
      <w:r w:rsidRPr="003C6013">
        <w:rPr>
          <w:rFonts w:ascii="Aptos" w:hAnsi="Aptos"/>
        </w:rPr>
        <w:t>(Lawson, 2025)</w:t>
      </w:r>
      <w:r>
        <w:fldChar w:fldCharType="end"/>
      </w:r>
      <w:r>
        <w:t xml:space="preserve">. </w:t>
      </w:r>
    </w:p>
    <w:p w14:paraId="3FDB6AB4" w14:textId="77777777" w:rsidR="00EE0150" w:rsidRDefault="00EE0150" w:rsidP="00EE0150">
      <w:r>
        <w:t xml:space="preserve">We excluded the City of London (a small financial district in central London distinct from the 32 London local authorities) and the Isles of Scilly. Both have very small populations and did not adopt SL. With only 49 local authorities adopting SL, we reduced the number of exposure variables to five on a rule-of-10 </w:t>
      </w:r>
      <w:r>
        <w:fldChar w:fldCharType="begin"/>
      </w:r>
      <w:r>
        <w:instrText xml:space="preserve"> ADDIN ZOTERO_ITEM CSL_CITATION {"citationID":"AYwBTOLi","properties":{"formattedCitation":"(Kirkwood, B. and Sterne, 2003)","plainCitation":"(Kirkwood, B. and Sterne, 2003)","noteIndex":0},"citationItems":[{"id":1907,"uris":["http://zotero.org/users/714468/items/KWJZKR29"],"itemData":{"id":1907,"type":"book","edition":"2nd","event-place":"Oxford, UK","language":"en","publisher":"Wiley-Blackwell","publisher-place":"Oxford, UK","title":"Essential Medical Statistics","author":[{"family":"Kirkwood, B.","given":""},{"family":"Sterne","given":"Jonathan"}],"accessed":{"date-parts":[["2023",10,1]]},"issued":{"date-parts":[["2003"]]}}}],"schema":"https://github.com/citation-style-language/schema/raw/master/csl-citation.json"} </w:instrText>
      </w:r>
      <w:r>
        <w:fldChar w:fldCharType="separate"/>
      </w:r>
      <w:r w:rsidRPr="15880E7C">
        <w:rPr>
          <w:rFonts w:ascii="Aptos" w:hAnsi="Aptos"/>
        </w:rPr>
        <w:t>(Kirkwood, B. and Sterne, 2003)</w:t>
      </w:r>
      <w:r>
        <w:fldChar w:fldCharType="end"/>
      </w:r>
      <w:r>
        <w:t xml:space="preserve">. In addition, we used the Census 2011 local authority classification in parallel tests. The Census classification is based on clustering in a multi-dimensional space of over 50 Census variables </w:t>
      </w:r>
      <w:r>
        <w:fldChar w:fldCharType="begin"/>
      </w:r>
      <w:r>
        <w:instrText xml:space="preserve"> ADDIN ZOTERO_ITEM CSL_CITATION {"citationID":"ddMDygFB","properties":{"formattedCitation":"(Office for National Statistics, 2023)","plainCitation":"(Office for National Statistics, 2023)","noteIndex":0},"citationItems":[{"id":1925,"uris":["http://zotero.org/users/714468/items/P5J4MG8U"],"itemData":{"id":1925,"type":"report","title":"2011 residential-based area classifications","URL":"https://www.ons.gov.uk/methodology/geography/geographicalproducts/areaclassifications/2011areaclassifications","author":[{"family":"Office for National Statistics","given":""}],"accessed":{"date-parts":[["2025",5,7]]},"issued":{"date-parts":[["2023"]]}}}],"schema":"https://github.com/citation-style-language/schema/raw/master/csl-citation.json"} </w:instrText>
      </w:r>
      <w:r>
        <w:fldChar w:fldCharType="separate"/>
      </w:r>
      <w:r w:rsidRPr="15880E7C">
        <w:rPr>
          <w:rFonts w:ascii="Aptos" w:hAnsi="Aptos"/>
        </w:rPr>
        <w:t>(Office for National Statistics, 2023)</w:t>
      </w:r>
      <w:r>
        <w:fldChar w:fldCharType="end"/>
      </w:r>
      <w:r>
        <w:t xml:space="preserve"> and a classification of urban morphology </w:t>
      </w:r>
      <w:r>
        <w:fldChar w:fldCharType="begin"/>
      </w:r>
      <w:r>
        <w:instrText xml:space="preserve"> ADDIN ZOTERO_ITEM CSL_CITATION {"citationID":"TFXJK1CD","properties":{"formattedCitation":"(Batty, 2013; Harris et al., 2005)","plainCitation":"(Batty, 2013; Harris et al., 2005)","noteIndex":0},"citationItems":[{"id":1921,"uris":["http://zotero.org/users/714468/items/DJVBU9L8"],"itemData":{"id":1921,"type":"book","abstract":"A proposal for a new way to understand cities and their design not as artifacts but as systems composed of flows and networks.In The New Science of Cities, Michael Batty suggests that to understand cities we must view them not simply as places in space but as systems of networks and flows. To understand space, he argues, we must understand flows, and to understand flows, we must understand networks—the relations between objects that compose the system of the city. Drawing on the complexity sciences, social physics, urban economics, transportation theory, regional science, and urban geography, and building on his own previous work, Batty introduces theories and methods that reveal the deep structure of how cities function.Batty presents the foundations of a new science of cities, defining flows and their networks and introducing tools that can be applied to understanding different aspects of city structure. He examines the size of cities, their internal order, the transport routes that define them, and the locations that fix these networks. He introduces methods of simulation that range from simple stochastic models to bottom-up evolutionary models to aggregate land-use transportation models. Then, using largely the same tools, he presents design and decision-making models that predict interactions and flows in future cities. These networks emphasize a notion with relevance for future research and planning: that design of cities is collective action.","ISBN":"978-0-262-01952-1","language":"en","number-of-pages":"519","publisher":"MIT Press","source":"Google Books","title":"The New Science of Cities","author":[{"family":"Batty","given":"Michael"}],"issued":{"date-parts":[["2013",11]]}}},{"id":1920,"uris":["http://zotero.org/users/714468/items/RH66DKLA"],"itemData":{"id":1920,"type":"book","abstract":"Geodemographic classification is ‘big business’ in the marketing and service sector industries, and in public policy there has also been a resurgence of interest in neighbourhood initiatives and targeting. As an increasing number of professionals realise the potential of geographic analysis for their business or organisation, there exists a timely gap in the market for a focussed book on geodemographics and GIS. Geodemographics: neighbourhood targeting and GIS provides both an introduction to and overview of the methods, theory and classification techniques that provide the foundation of neighbourhood analysis and commercial geodemographic products. Particular focus is given to the presentation and use of neighbourhood classification in GIS.  Authored by leading marketing professionals and a prominent academic, this book presents methods, theory and classification techniques in a reader-friendly manner Supported by private and public sector case studies and vignettes The applied ‘how to’ sections will specifically appeal to the intended audience at work in business and service planning Includes information on the recent UK and US Census products and resulting neighbourhood classifications","ISBN":"978-0-470-86413-5","language":"en","note":"Google-Books-ID: Z8K25AxTjDcC","number-of-pages":"368","publisher":"John Wiley and Sons","source":"Google Books","title":"Geodemographics, GIS and Neighbourhood Targeting","author":[{"family":"Harris","given":"Richard"},{"family":"Sleight","given":"Peter"},{"family":"Webber","given":"Richard"}],"issued":{"date-parts":[["2005",3,11]]}}}],"schema":"https://github.com/citation-style-language/schema/raw/master/csl-citation.json"} </w:instrText>
      </w:r>
      <w:r>
        <w:fldChar w:fldCharType="separate"/>
      </w:r>
      <w:r w:rsidRPr="15880E7C">
        <w:rPr>
          <w:rFonts w:ascii="Aptos" w:hAnsi="Aptos"/>
        </w:rPr>
        <w:t>(Batty, 2013; Harris et al., 2005)</w:t>
      </w:r>
      <w:r>
        <w:fldChar w:fldCharType="end"/>
      </w:r>
      <w:r>
        <w:t>.</w:t>
      </w:r>
    </w:p>
    <w:p w14:paraId="5F995753" w14:textId="77777777" w:rsidR="00EE0150" w:rsidRDefault="00EE0150" w:rsidP="00EE0150">
      <w:r>
        <w:t xml:space="preserve">Socio-economic exposure variables were obtained from Census 2011, Indices of Multiple Deprivation (IMD), and the police across different domains: age </w:t>
      </w:r>
      <w:r>
        <w:fldChar w:fldCharType="begin"/>
      </w:r>
      <w:r>
        <w:instrText xml:space="preserve"> ADDIN ZOTERO_ITEM CSL_CITATION {"citationID":"4xK8OsOz","properties":{"formattedCitation":"(ONS, 2015)","plainCitation":"(ONS, 2015)","noteIndex":0},"citationItems":[{"id":1516,"uris":["http://zotero.org/users/714468/items/5T6SWBV9"],"itemData":{"id":1516,"type":"report","publisher":"Office for National Statistics","title":"2011 Census: Aggregate data (England and Wales)","URL":"http://www.nationalarchives.gov.uk/doc/open-government-licence/version/2","author":[{"literal":"ONS"}],"accessed":{"date-parts":[["2015",2,27]]},"issued":{"date-parts":[["2015",2,27]]}}}],"schema":"https://github.com/citation-style-language/schema/raw/master/csl-citation.json"} </w:instrText>
      </w:r>
      <w:r>
        <w:fldChar w:fldCharType="separate"/>
      </w:r>
      <w:r w:rsidRPr="15880E7C">
        <w:rPr>
          <w:rFonts w:ascii="Aptos" w:hAnsi="Aptos"/>
        </w:rPr>
        <w:t>(ONS, 2015)</w:t>
      </w:r>
      <w:r>
        <w:fldChar w:fldCharType="end"/>
      </w:r>
      <w:r>
        <w:t xml:space="preserve">, ethnicity, born abroad, housing tenure, overcrowding, disability, occupational class </w:t>
      </w:r>
      <w:r>
        <w:fldChar w:fldCharType="begin"/>
      </w:r>
      <w:r>
        <w:instrText xml:space="preserve"> ADDIN ZOTERO_ITEM CSL_CITATION {"citationID":"yZS3mnAZ","properties":{"formattedCitation":"(ONS, 2021)","plainCitation":"(ONS, 2021)","noteIndex":0},"citationItems":[{"id":103,"uris":["http://zotero.org/users/714468/items/E9EKYA74"],"itemData":{"id":103,"type":"report","title":"The National Statistics Socio-economic classification (NS-SEC)","URL":"https://www.ons.gov.uk/methodology/classificationsandstandards/otherclassifications/thenationalstatisticssocioeconomicclassificationnssecrebasedonsoc2010","author":[{"family":"ONS","given":""}],"accessed":{"date-parts":[["2021",6,30]]},"issued":{"date-parts":[["2021"]]}}}],"schema":"https://github.com/citation-style-language/schema/raw/master/csl-citation.json"} </w:instrText>
      </w:r>
      <w:r>
        <w:fldChar w:fldCharType="separate"/>
      </w:r>
      <w:r w:rsidRPr="15880E7C">
        <w:rPr>
          <w:rFonts w:ascii="Aptos" w:hAnsi="Aptos"/>
        </w:rPr>
        <w:t>(ONS, 2021)</w:t>
      </w:r>
      <w:r>
        <w:fldChar w:fldCharType="end"/>
      </w:r>
      <w:r>
        <w:t xml:space="preserve">, Income Support </w:t>
      </w:r>
      <w:r>
        <w:fldChar w:fldCharType="begin"/>
      </w:r>
      <w:r>
        <w:instrText xml:space="preserve"> ADDIN ZOTERO_ITEM CSL_CITATION {"citationID":"hhX2DZUP","properties":{"formattedCitation":"(Department for Communities and Local Government, 2015b)","plainCitation":"(Department for Communities and Local Government, 2015b)","noteIndex":0},"citationItems":[{"id":935,"uris":["http://zotero.org/users/714468/items/FEWGIDAC"],"itemData":{"id":935,"type":"report","event-place":"London, UK","publisher-place":"London, UK","title":"The English Indices of Deprivation 2015","author":[{"family":"Department for Communities and Local Government","given":""}],"issued":{"date-parts":[["2015"]]}}}],"schema":"https://github.com/citation-style-language/schema/raw/master/csl-citation.json"} </w:instrText>
      </w:r>
      <w:r>
        <w:fldChar w:fldCharType="separate"/>
      </w:r>
      <w:r w:rsidRPr="15880E7C">
        <w:rPr>
          <w:rFonts w:ascii="Aptos" w:hAnsi="Aptos"/>
        </w:rPr>
        <w:t>(Department for Communities and Local Government, 2015b)</w:t>
      </w:r>
      <w:r>
        <w:fldChar w:fldCharType="end"/>
      </w:r>
      <w:r>
        <w:t xml:space="preserve">, single tier government organisation status </w:t>
      </w:r>
      <w:r>
        <w:fldChar w:fldCharType="begin"/>
      </w:r>
      <w:r>
        <w:instrText xml:space="preserve"> ADDIN ZOTERO_ITEM CSL_CITATION {"citationID":"8SPEdKlz","properties":{"formattedCitation":"(Ministry of Housing, Communities and Local Government, 2024a)","plainCitation":"(Ministry of Housing, Communities and Local Government, 2024a)","noteIndex":0},"citationItems":[{"id":1959,"uris":["http://zotero.org/users/714468/items/EEDD6Q5F"],"itemData":{"id":1959,"type":"webpage","abstract":"</w:instrText>
      </w:r>
      <w:r w:rsidRPr="15880E7C">
        <w:rPr>
          <w:rFonts w:ascii="Arial" w:hAnsi="Arial" w:cs="Arial"/>
        </w:rPr>
        <w:instrText>​​</w:instrText>
      </w:r>
      <w:r>
        <w:instrText>The government</w:instrText>
      </w:r>
      <w:r w:rsidRPr="15880E7C">
        <w:rPr>
          <w:rFonts w:ascii="Aptos" w:hAnsi="Aptos" w:cs="Aptos"/>
        </w:rPr>
        <w:instrText>’</w:instrText>
      </w:r>
      <w:r>
        <w:instrText>s proposals to empower local leaders and communities to drive growth and raise living standards across the country.</w:instrText>
      </w:r>
      <w:r w:rsidRPr="15880E7C">
        <w:rPr>
          <w:rFonts w:ascii="Arial" w:hAnsi="Arial" w:cs="Arial"/>
        </w:rPr>
        <w:instrText>​</w:instrText>
      </w:r>
      <w:r>
        <w:instrText>","container-title":"GOV.UK","language":"en","title":"</w:instrText>
      </w:r>
      <w:r w:rsidRPr="15880E7C">
        <w:rPr>
          <w:rFonts w:ascii="Arial" w:hAnsi="Arial" w:cs="Arial"/>
        </w:rPr>
        <w:instrText>​​</w:instrText>
      </w:r>
      <w:r>
        <w:instrText>English Devolution White Paper</w:instrText>
      </w:r>
      <w:r w:rsidRPr="15880E7C">
        <w:rPr>
          <w:rFonts w:ascii="Arial" w:hAnsi="Arial" w:cs="Arial"/>
        </w:rPr>
        <w:instrText>​</w:instrText>
      </w:r>
      <w:r>
        <w:instrText>: Power and partnership: Foundations for growth","title-short":"</w:instrText>
      </w:r>
      <w:r w:rsidRPr="15880E7C">
        <w:rPr>
          <w:rFonts w:ascii="Arial" w:hAnsi="Arial" w:cs="Arial"/>
        </w:rPr>
        <w:instrText>​​</w:instrText>
      </w:r>
      <w:r>
        <w:instrText>English Devolution White Paper</w:instrText>
      </w:r>
      <w:r w:rsidRPr="15880E7C">
        <w:rPr>
          <w:rFonts w:ascii="Arial" w:hAnsi="Arial" w:cs="Arial"/>
        </w:rPr>
        <w:instrText>​</w:instrText>
      </w:r>
      <w:r>
        <w:instrText xml:space="preserve">","URL":"https://www.gov.uk/government/publications/english-devolution-white-paper-power-and-partnership-foundations-for-growth","author":[{"family":"Ministry of Housing, Communities and Local Government","given":""}],"accessed":{"date-parts":[["2025",3,29]]},"issued":{"date-parts":[["2024"]]}}}],"schema":"https://github.com/citation-style-language/schema/raw/master/csl-citation.json"} </w:instrText>
      </w:r>
      <w:r>
        <w:fldChar w:fldCharType="separate"/>
      </w:r>
      <w:r w:rsidRPr="15880E7C">
        <w:rPr>
          <w:rFonts w:ascii="Aptos" w:hAnsi="Aptos"/>
        </w:rPr>
        <w:t>(Ministry of Housing, Communities and Local Government, 2024a)</w:t>
      </w:r>
      <w:r>
        <w:fldChar w:fldCharType="end"/>
      </w:r>
      <w:r>
        <w:t xml:space="preserve">, and ASB </w:t>
      </w:r>
      <w:r>
        <w:fldChar w:fldCharType="begin"/>
      </w:r>
      <w:r>
        <w:instrText xml:space="preserve"> ADDIN ZOTERO_ITEM CSL_CITATION {"citationID":"Bjj3dSEo","properties":{"formattedCitation":"(Smith, 2014)","plainCitation":"(Smith, 2014)","noteIndex":0},"citationItems":[{"id":1565,"uris":["http://zotero.org/users/714468/items/A6ZRRATA"],"itemData":{"id":1565,"type":"article-journal","container-title":"JeDEM - eJournal of eDemocracy and Open Government","DOI":"10.29379/jedem.v6i1.326","ISSN":"2075-9517","issue":"1","language":"en","license":"Copyright (c)","note":"number: 1","page":"87-96","source":"jedem.org","title":"Police.uk and Data.police.uk: Developing Open Crime and Justice Data for the UK.","title-short":"Police.uk and Data.police.uk","volume":"6","author":[{"family":"Smith","given":"Amanda M."}],"issued":{"date-parts":[["2014",11,14]]}}}],"schema":"https://github.com/citation-style-language/schema/raw/master/csl-citation.json"} </w:instrText>
      </w:r>
      <w:r>
        <w:fldChar w:fldCharType="separate"/>
      </w:r>
      <w:r w:rsidRPr="15880E7C">
        <w:rPr>
          <w:rFonts w:ascii="Aptos" w:hAnsi="Aptos"/>
        </w:rPr>
        <w:t>(Smith, 2014)</w:t>
      </w:r>
      <w:r>
        <w:fldChar w:fldCharType="end"/>
      </w:r>
      <w:r>
        <w:t xml:space="preserve"> (Table 1, S1). Income Support is highly correlated with IMD and used as a more easily interpretable proxy for social deprivation in this study. Only some variables from each domain were brought forward as candidates for the logit models to avoid multicollinearity.</w:t>
      </w:r>
    </w:p>
    <w:p w14:paraId="18B8067D" w14:textId="77777777" w:rsidR="00EE0150" w:rsidRDefault="00EE0150" w:rsidP="00EE0150">
      <w:r>
        <w:t xml:space="preserve">Initial logit models with treatment status as the binary outcome and single exposure variables showed that proportion of population in receipt of Income Support had by far the greatest effect and it was retained as a forced exposure variable in the main model </w:t>
      </w:r>
      <w:r>
        <w:fldChar w:fldCharType="begin"/>
      </w:r>
      <w:r>
        <w:instrText xml:space="preserve"> ADDIN ZOTERO_ITEM CSL_CITATION {"citationID":"mzQWhlSj","properties":{"formattedCitation":"(Greenland et al., 2016)","plainCitation":"(Greenland et al., 2016)","noteIndex":0},"citationItems":[{"id":1952,"uris":["http://zotero.org/users/714468/items/JD2W7LYH"],"itemData":{"id":1952,"type":"article-journal","abstract":"Controlling for too many potential confounders can lead to or aggravate problems of data\nsparsity or multicollinearity, particularly when the number of covariates is large in\nrelation to the study size. As a result, methods to reduce the number of modelled\ncovariates are often deployed. We review several traditional modelling strategies,\nincluding stepwise regression and the ‘change-in-estimate’ (CIE) approach to deciding\nwhich potential confounders to include in an outcome-regression model for estimating\neffects of a targeted exposure. We discuss their shortcomings, and then provide some basic\nalternatives and refinements that do not require special macros or programming.\nThroughout, we assume the main goal is to derive the most accurate effect estimates\nobtainable from the data and commercial software. Allowing that most users must stay\nwithin standard software packages, this goal can be roughly approximated using basic\nmethods to assess, and thereby minimize, mean squared error (MSE).","container-title":"International Journal of Epidemiology","DOI":"10.1093/ije/dyw040","ISSN":"0300-5771","issue":"2","journalAbbreviation":"International Journal of Epidemiology","page":"565-575","source":"Silverchair","title":"Outcome modelling strategies in epidemiology: traditional methods and basic alternatives","title-short":"Outcome modelling strategies in epidemiology","volume":"45","author":[{"family":"Greenland","given":"Sander"},{"family":"Daniel","given":"Rhian"},{"family":"Pearce","given":"Neil"}],"issued":{"date-parts":[["2016",4,1]]}}}],"schema":"https://github.com/citation-style-language/schema/raw/master/csl-citation.json"} </w:instrText>
      </w:r>
      <w:r>
        <w:fldChar w:fldCharType="separate"/>
      </w:r>
      <w:r w:rsidRPr="679994C9">
        <w:rPr>
          <w:rFonts w:ascii="Aptos" w:hAnsi="Aptos"/>
        </w:rPr>
        <w:t>(Greenland et al., 2016)</w:t>
      </w:r>
      <w:r>
        <w:fldChar w:fldCharType="end"/>
      </w:r>
      <w:r>
        <w:t>. Preliminary analysis showed that the squared form of this variable did not improve the model. This was achieved by specifying the same model with the variable interacted with itself and tested with a Likelihood Ratio test. The candidate variable with the greatest change-in-estimate for the forced exposure variable (Income Support) was subsequently added to the main model. This step was repeated until five exposure variables were reached. Area under the Receiver Operator Characteristics curve was reported as a goodness of fit for the logit models.</w:t>
      </w:r>
    </w:p>
    <w:p w14:paraId="66DD9C22" w14:textId="77777777" w:rsidR="00EE0150" w:rsidRDefault="00EE0150" w:rsidP="00EE0150">
      <w:r>
        <w:t>In addition to the main logit model, we also fitted spatial autoregressive logit models with 1</w:t>
      </w:r>
      <w:r w:rsidRPr="4A0B29BC">
        <w:rPr>
          <w:vertAlign w:val="superscript"/>
        </w:rPr>
        <w:t>st</w:t>
      </w:r>
      <w:r>
        <w:t xml:space="preserve"> order neighbours and 1</w:t>
      </w:r>
      <w:r w:rsidRPr="4A0B29BC">
        <w:rPr>
          <w:vertAlign w:val="superscript"/>
        </w:rPr>
        <w:t>st</w:t>
      </w:r>
      <w:r>
        <w:t xml:space="preserve"> and 2</w:t>
      </w:r>
      <w:r w:rsidRPr="4A0B29BC">
        <w:rPr>
          <w:vertAlign w:val="superscript"/>
        </w:rPr>
        <w:t>nd</w:t>
      </w:r>
      <w:r>
        <w:t xml:space="preserve"> order neighbours combined as well as spatial lag-only logit models </w:t>
      </w:r>
      <w:r>
        <w:fldChar w:fldCharType="begin"/>
      </w:r>
      <w:r>
        <w:instrText xml:space="preserve"> ADDIN ZOTERO_ITEM CSL_CITATION {"citationID":"tK3Vf241","properties":{"formattedCitation":"(Spinelli, 2022)","plainCitation":"(Spinelli, 2022)","noteIndex":0},"citationItems":[{"id":1953,"uris":["http://zotero.org/users/714468/items/RZRJCBMG"],"itemData":{"id":1953,"type":"article-journal","abstract":"Starting from version 15, Stata allows users to manage data and fit regressions accounting for spatial relationships through the sp commands. Spatial regressions can be estimated using the spregress, spxtregress, and spivregress commands. These commands allow users to fit spatial autoregressive models in cross-sectional and panel data. However, they are designed to estimate regressions with continuous dependent variables. Although binary spatial regressions are important in applied econometrics, they cannot be estimated in Stata. Therefore, I introduce spatbinary, a Stata command that allows users to fit spatial logit and probit models.","container-title":"The Stata Journal","DOI":"10.1177/1536867X221106373","ISSN":"1536-867X","issue":"2","language":"EN","note":"publisher: SAGE Publications","page":"293-318","source":"SAGE Journals","title":"Fitting spatial autoregressive logit and probit models using Stata: The spatbinary command","title-short":"Fitting spatial autoregressive logit and probit models using Stata","volume":"22","author":[{"family":"Spinelli","given":"Daniele"}],"issued":{"date-parts":[["2022",6,1]]}}}],"schema":"https://github.com/citation-style-language/schema/raw/master/csl-citation.json"} </w:instrText>
      </w:r>
      <w:r>
        <w:fldChar w:fldCharType="separate"/>
      </w:r>
      <w:r w:rsidRPr="4A0B29BC">
        <w:rPr>
          <w:rFonts w:ascii="Aptos" w:hAnsi="Aptos"/>
        </w:rPr>
        <w:t>(Spinelli, 2022)</w:t>
      </w:r>
      <w:r>
        <w:fldChar w:fldCharType="end"/>
      </w:r>
      <w:r>
        <w:t>.</w:t>
      </w:r>
    </w:p>
    <w:p w14:paraId="5EBBC36E" w14:textId="77777777" w:rsidR="00EE0150" w:rsidRDefault="00EE0150" w:rsidP="00EE0150">
      <w:r>
        <w:t xml:space="preserve">For map visualisation, we rescaled the local authority boundaries according to the number of people renting from private landlords (Census 2011) to create a cartogram </w:t>
      </w:r>
      <w:r>
        <w:fldChar w:fldCharType="begin"/>
      </w:r>
      <w:r>
        <w:instrText xml:space="preserve"> ADDIN ZOTERO_ITEM CSL_CITATION {"citationID":"gJAXuiCl","properties":{"formattedCitation":"(Dougenik et al., 1985; Fink, 2022)","plainCitation":"(Dougenik et al., 1985; Fink, 2022)","noteIndex":0},"citationItems":[{"id":1923,"uris":["http://zotero.org/users/714468/items/S5XWA7ZN"],"itemData":{"id":1923,"type":"article-journal","abstract":"Continuous area cartograms distort planimetric maps to produce a desired set of areas while preserving the topology of the original map. We present a computer algorithm which achieves the result iteratively with high accuracy. The approach uses a model of forces exerted from each polygon centroid, acting on coordinates in inverse proportion to distance. This algorithm can handle more realistic descriptions of polygon boundaries than previous algorithms and manual methods, thus enhancing visual recognition.","container-title":"The Professional Geographer","DOI":"10.1111/j.0033-0124.1985.00075.x","ISSN":"0033-0124","issue":"1","note":"publisher: Routledge\n_eprint: https://doi.org/10.1111/j.0033-0124.1985.00075.x","page":"75-81","source":"Taylor and Francis+NEJM","title":"An Algorithm to Construct Continuous Area Cartograms</w:instrText>
      </w:r>
      <w:r>
        <w:rPr>
          <w:rFonts w:ascii="Cambria Math" w:hAnsi="Cambria Math" w:cs="Cambria Math"/>
        </w:rPr>
        <w:instrText>∗</w:instrText>
      </w:r>
      <w:r>
        <w:instrText xml:space="preserve">","volume":"37","author":[{"family":"Dougenik","given":"James A."},{"family":"","given":"Chrisman ,Nicholas R."},{"family":"Niemeyer","given":"Duane R.","non-dropping-particle":"and"}],"issued":{"date-parts":[["1985",2,1]]}}},{"id":1909,"uris":["http://zotero.org/users/714468/items/WFRATKNM"],"itemData":{"id":1909,"type":"report","publisher":"QGIS Python Plugins Repository","title":"cartogram3, v3.1.5","URL":"https://plugins.qgis.org/plugins/cartogram3/","author":[{"family":"Fink","given":"Christoph"}],"accessed":{"date-parts":[["2025",5,5]]},"issued":{"date-parts":[["2022"]]}}}],"schema":"https://github.com/citation-style-language/schema/raw/master/csl-citation.json"} </w:instrText>
      </w:r>
      <w:r>
        <w:fldChar w:fldCharType="separate"/>
      </w:r>
      <w:r w:rsidRPr="4427C4BE">
        <w:rPr>
          <w:rFonts w:ascii="Aptos" w:hAnsi="Aptos"/>
        </w:rPr>
        <w:t>(Dougenik et al., 1985; Fink, 2022)</w:t>
      </w:r>
      <w:r>
        <w:fldChar w:fldCharType="end"/>
      </w:r>
      <w:r>
        <w:t>. The cartogram expands high-density regions with a large private rental population such as London relative to less densely populated regions with smaller private rental populations (Figure 1, S1-S2 in Supplementary Material).</w:t>
      </w:r>
    </w:p>
    <w:p w14:paraId="64452F32" w14:textId="77777777" w:rsidR="00EE0150" w:rsidRDefault="00EE0150" w:rsidP="00EE0150"/>
    <w:p w14:paraId="4D308201" w14:textId="77777777" w:rsidR="00EE0150" w:rsidRPr="00BD30E7" w:rsidRDefault="00EE0150" w:rsidP="00EE0150">
      <w:pPr>
        <w:rPr>
          <w:b/>
          <w:bCs/>
        </w:rPr>
      </w:pPr>
      <w:r w:rsidRPr="654D8D66">
        <w:rPr>
          <w:b/>
          <w:bCs/>
        </w:rPr>
        <w:t>Results</w:t>
      </w:r>
    </w:p>
    <w:p w14:paraId="58F84F55" w14:textId="77777777" w:rsidR="00EE0150" w:rsidRDefault="00EE0150" w:rsidP="00EE0150">
      <w:r>
        <w:t xml:space="preserve">Descriptive analysis of SL adoption by government region, local authority Census 2011 classification supergroups, Income Support quintile, and local government structure showed strong gradients (Figure S3 in Supplementary Material). The highest adoption rates are in North-England and London, Census classification groups associated with larger cities, deprived areas, and single-tier more than two-tier local authorities. Local authorities with SL also tended to have a younger age structure, more people from ethnic minorities, people born abroad, students and people from lower skill categories, people living with disabilities, people renting, and more ASB calls per population (Table 1). The adopting local authorities had only a slightly higher proportion of PRS households than non-adopting local authorities, 19.8% versus 16%. Noticeably, local authorities are large enough to cover a range of housing </w:t>
      </w:r>
      <w:proofErr w:type="gramStart"/>
      <w:r>
        <w:t>tenures</w:t>
      </w:r>
      <w:proofErr w:type="gramEnd"/>
      <w:r>
        <w:t xml:space="preserve"> and many SL schemes are targeted to areas within the local authority with a higher concentration of PRS homes.</w:t>
      </w:r>
    </w:p>
    <w:p w14:paraId="49084A18" w14:textId="77777777" w:rsidR="00EE0150" w:rsidRDefault="00EE0150" w:rsidP="00EE0150">
      <w:r>
        <w:t xml:space="preserve">The adoption curve for SL showed that the adoption only progressed slowly before 2015 and then increased slightly (Figure S4). Before 2015, SL could only be adopted on the grounds of ASB problems and low housing demand. In 2015, the grounds for designation were expanded to include poor property conditions, high crime, high levels of deprivation, and high migration </w:t>
      </w:r>
      <w:r>
        <w:fldChar w:fldCharType="begin"/>
      </w:r>
      <w:r>
        <w:instrText xml:space="preserve"> ADDIN ZOTERO_ITEM CSL_CITATION {"citationID":"eOMqbJKB","properties":{"formattedCitation":"(Lawrence and Wilson, 2019)","plainCitation":"(Lawrence and Wilson, 2019)","noteIndex":0},"citationItems":[{"id":164,"uris":["http://zotero.org/users/714468/items/DG55EQKI"],"itemData":{"id":164,"type":"report","abstract":"Findings from an independent review into the use and effectiveness of selective licensing.","event-place":"London, UK","language":"en","publisher":"Ministry of Housing, Communities and Local Government","publisher-place":"London, UK","title":"An independent review of the use and effectiveness of selective licensing","URL":"https://www.gov.uk/government/publications/selective-licensing-review","author":[{"family":"Lawrence","given":"Scott"},{"family":"Wilson","given":"Peter"}],"accessed":{"date-parts":[["2021",3,30]]},"issued":{"date-parts":[["2019"]]}}}],"schema":"https://github.com/citation-style-language/schema/raw/master/csl-citation.json"} </w:instrText>
      </w:r>
      <w:r>
        <w:fldChar w:fldCharType="separate"/>
      </w:r>
      <w:r w:rsidRPr="15880E7C">
        <w:rPr>
          <w:rFonts w:ascii="Aptos" w:hAnsi="Aptos"/>
        </w:rPr>
        <w:t>(Lawrence and Wilson, 2019)</w:t>
      </w:r>
      <w:r>
        <w:fldChar w:fldCharType="end"/>
      </w:r>
      <w:r>
        <w:t xml:space="preserve">. The parties with the most seats were Labour (N=40), Conservative (N=8), and Liberal Democrats (N=1). Prior to 2015, the local authorities were almost exclusively Labour. Most of the local authorities with Conservative dominance adopted after 2015.  </w:t>
      </w:r>
    </w:p>
    <w:p w14:paraId="5E0F48DE" w14:textId="77777777" w:rsidR="00EE0150" w:rsidRDefault="00EE0150" w:rsidP="00EE0150">
      <w:r>
        <w:t>Income Support was the single most important exposure variable in the non-spatial logit models (Table 2). Of the other exposure variables, only ASB was also significant in the model. Single-tier local authorities are more likely to adopt than two-tier local authorities (Table 1) although this could be confounded by higher levels of people on Income Support in those areas (Table 2). The spatial lag-only logit models showed that adoption is spatially clustered at a local level (1</w:t>
      </w:r>
      <w:r w:rsidRPr="245819D8">
        <w:rPr>
          <w:vertAlign w:val="superscript"/>
        </w:rPr>
        <w:t>st</w:t>
      </w:r>
      <w:r>
        <w:t xml:space="preserve"> and 1</w:t>
      </w:r>
      <w:r w:rsidRPr="245819D8">
        <w:rPr>
          <w:vertAlign w:val="superscript"/>
        </w:rPr>
        <w:t>st</w:t>
      </w:r>
      <w:r>
        <w:t>+2</w:t>
      </w:r>
      <w:r w:rsidRPr="245819D8">
        <w:rPr>
          <w:vertAlign w:val="superscript"/>
        </w:rPr>
        <w:t>nd</w:t>
      </w:r>
      <w:r>
        <w:t xml:space="preserve"> order local authority neighbours combined). However, the spatial autoregressive logit models showed that the spatial lags were no longer significant once socio-economic factors were included in the models (Table 2).</w:t>
      </w:r>
    </w:p>
    <w:p w14:paraId="0B6B57CD" w14:textId="77777777" w:rsidR="00EE0150" w:rsidRDefault="00EE0150" w:rsidP="00EE0150"/>
    <w:p w14:paraId="3013FD36" w14:textId="77777777" w:rsidR="00EE0150" w:rsidRPr="00C74E97" w:rsidRDefault="00EE0150" w:rsidP="00EE0150">
      <w:pPr>
        <w:rPr>
          <w:b/>
          <w:bCs/>
        </w:rPr>
      </w:pPr>
      <w:r w:rsidRPr="5E388B8A">
        <w:rPr>
          <w:b/>
          <w:bCs/>
        </w:rPr>
        <w:t>Discussion</w:t>
      </w:r>
    </w:p>
    <w:p w14:paraId="09E5BAC4" w14:textId="77777777" w:rsidR="00EE0150" w:rsidRDefault="00EE0150" w:rsidP="00EE0150">
      <w:r w:rsidRPr="15880E7C">
        <w:t xml:space="preserve">The SL adoption curve showed that the spread of the policy is still at an early stage even 14 years after local authorities first gained these new powers to intervene </w:t>
      </w:r>
      <w:r>
        <w:t xml:space="preserve">in </w:t>
      </w:r>
      <w:r w:rsidRPr="15880E7C">
        <w:t xml:space="preserve">PRS. The adoption rate increased slightly from 2015 coinciding with the expansion of permissible justifications in the policy guidance </w:t>
      </w:r>
      <w:r w:rsidRPr="15880E7C">
        <w:fldChar w:fldCharType="begin"/>
      </w:r>
      <w:r w:rsidRPr="15880E7C">
        <w:instrText xml:space="preserve"> ADDIN ZOTERO_ITEM CSL_CITATION {"citationID":"iSIpZoOF","properties":{"formattedCitation":"(Department for Communities and Local Government, 2015a)","plainCitation":"(Department for Communities and Local Government, 2015a)","noteIndex":0},"citationItems":[{"id":165,"uris":["http://zotero.org/users/714468/items/3MDU4F9Y"],"itemData":{"id":165,"type":"report","abstract":"Guidance explaining the criteria for making a selective licensing scheme.","event-place":"London, UK","language":"en","publisher-place":"London, UK","title":"Selective licensing in the private rented sector: a guide for local authorities","title-short":"Selective licensing in the private rented sector","URL":"https://www.gov.uk/government/publications/selective-licensing-in-the-private-rented-sector-a-guide-for-local-authorities","author":[{"family":"Department for Communities and Local Government","given":""}],"accessed":{"date-parts":[["2021",3,30]]},"issued":{"date-parts":[["2015"]]}}}],"schema":"https://github.com/citation-style-language/schema/raw/master/csl-citation.json"} </w:instrText>
      </w:r>
      <w:r w:rsidRPr="15880E7C">
        <w:fldChar w:fldCharType="separate"/>
      </w:r>
      <w:r w:rsidRPr="15880E7C">
        <w:rPr>
          <w:rFonts w:ascii="Aptos" w:hAnsi="Aptos"/>
        </w:rPr>
        <w:t>(Department for Communities and Local Government, 2015a)</w:t>
      </w:r>
      <w:r w:rsidRPr="15880E7C">
        <w:fldChar w:fldCharType="end"/>
      </w:r>
      <w:r w:rsidRPr="15880E7C">
        <w:t xml:space="preserve">. </w:t>
      </w:r>
    </w:p>
    <w:p w14:paraId="4D3AA2E1" w14:textId="77777777" w:rsidR="00EE0150" w:rsidRDefault="00EE0150" w:rsidP="00EE0150">
      <w:r>
        <w:t xml:space="preserve">No statistically significant spatial spillovers were found suggesting that internal determinants and national interactions are more likely drivers of policy adoption than local networks </w:t>
      </w:r>
      <w:r w:rsidRPr="70739A35">
        <w:rPr>
          <w:i/>
          <w:iCs/>
        </w:rPr>
        <w:t xml:space="preserve">per se </w:t>
      </w:r>
      <w:r w:rsidRPr="70739A35">
        <w:rPr>
          <w:i/>
          <w:iCs/>
        </w:rPr>
        <w:fldChar w:fldCharType="begin"/>
      </w:r>
      <w:r w:rsidRPr="70739A35">
        <w:rPr>
          <w:i/>
          <w:iCs/>
        </w:rPr>
        <w:instrText xml:space="preserve"> ADDIN ZOTERO_ITEM CSL_CITATION {"citationID":"3c4ZojWF","properties":{"formattedCitation":"(Spinelli, 2022)","plainCitation":"(Spinelli, 2022)","noteIndex":0},"citationItems":[{"id":1953,"uris":["http://zotero.org/users/714468/items/RZRJCBMG"],"itemData":{"id":1953,"type":"article-journal","abstract":"Starting from version 15, Stata allows users to manage data and fit regressions accounting for spatial relationships through the sp commands. Spatial regressions can be estimated using the spregress, spxtregress, and spivregress commands. These commands allow users to fit spatial autoregressive models in cross-sectional and panel data. However, they are designed to estimate regressions with continuous dependent variables. Although binary spatial regressions are important in applied econometrics, they cannot be estimated in Stata. Therefore, I introduce spatbinary, a Stata command that allows users to fit spatial logit and probit models.","container-title":"The Stata Journal","DOI":"10.1177/1536867X221106373","ISSN":"1536-867X","issue":"2","language":"EN","note":"publisher: SAGE Publications","page":"293-318","source":"SAGE Journals","title":"Fitting spatial autoregressive logit and probit models using Stata: The spatbinary command","title-short":"Fitting spatial autoregressive logit and probit models using Stata","volume":"22","author":[{"family":"Spinelli","given":"Daniele"}],"issued":{"date-parts":[["2022",6,1]]}}}],"schema":"https://github.com/citation-style-language/schema/raw/master/csl-citation.json"} </w:instrText>
      </w:r>
      <w:r w:rsidRPr="70739A35">
        <w:rPr>
          <w:i/>
          <w:iCs/>
        </w:rPr>
        <w:fldChar w:fldCharType="separate"/>
      </w:r>
      <w:r w:rsidRPr="70739A35">
        <w:rPr>
          <w:rFonts w:ascii="Aptos" w:hAnsi="Aptos"/>
        </w:rPr>
        <w:t>(Spinelli, 2022)</w:t>
      </w:r>
      <w:r w:rsidRPr="70739A35">
        <w:rPr>
          <w:i/>
          <w:iCs/>
        </w:rPr>
        <w:fldChar w:fldCharType="end"/>
      </w:r>
      <w:r>
        <w:t xml:space="preserve">.  The fact that SL was only adopted at a slow and gradual rate suggests a role for the national interaction model </w:t>
      </w:r>
      <w:r>
        <w:fldChar w:fldCharType="begin"/>
      </w:r>
      <w:r>
        <w:instrText xml:space="preserve"> ADDIN ZOTERO_ITEM CSL_CITATION {"citationID":"EjfZzXJk","properties":{"formattedCitation":"(Berry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70739A35">
        <w:rPr>
          <w:rFonts w:ascii="Aptos" w:hAnsi="Aptos"/>
        </w:rPr>
        <w:t>(Berry and Berry, 2007)</w:t>
      </w:r>
      <w:r>
        <w:fldChar w:fldCharType="end"/>
      </w:r>
      <w:r>
        <w:t xml:space="preserve">. Given that socio-economic factors were powerful determinants, this would in addition support a role for the internal determinants model. The fact that the adoption process appeared sensitive to the expansion of permissible justifications in 2015 suggests further support for both the national interaction and the internal determinants model. First, the response could be in reaction to how the policy variation was promoted at the time. Second, the expansion of reasons could mean a better fit with internal determinants. We did not find evidence of the regional diffusion model. SL is almost absent in some regions, especially Midlands and the South of England, so even if we do not have evidence of the regional diffusion model on a local scale it may still exist on a larger scale. We therefore hypothesise that SL eventually would diffuse to become better represented in these regions in line with the regional diffusion model. </w:t>
      </w:r>
    </w:p>
    <w:p w14:paraId="5D877BFC" w14:textId="77777777" w:rsidR="00EE0150" w:rsidRDefault="00EE0150" w:rsidP="00EE0150">
      <w:r>
        <w:t xml:space="preserve">The proportion of people in receipt of social welfare benefits was strongly correlated with SL adoption. This ties with the fact that the policy was intended – especially from 2015 onwards - to address problems in deprived areas, including areas marked by ASB (from the original 2006 guidance), poor housing conditions, migration, and crime </w:t>
      </w:r>
      <w:r>
        <w:fldChar w:fldCharType="begin"/>
      </w:r>
      <w:r>
        <w:instrText xml:space="preserve"> ADDIN ZOTERO_ITEM CSL_CITATION {"citationID":"zQh8NtV6","properties":{"formattedCitation":"(Department for Communities and Local Government, 2015a)","plainCitation":"(Department for Communities and Local Government, 2015a)","noteIndex":0},"citationItems":[{"id":165,"uris":["http://zotero.org/users/714468/items/3MDU4F9Y"],"itemData":{"id":165,"type":"report","abstract":"Guidance explaining the criteria for making a selective licensing scheme.","event-place":"London, UK","language":"en","publisher-place":"London, UK","title":"Selective licensing in the private rented sector: a guide for local authorities","title-short":"Selective licensing in the private rented sector","URL":"https://www.gov.uk/government/publications/selective-licensing-in-the-private-rented-sector-a-guide-for-local-authorities","author":[{"family":"Department for Communities and Local Government","given":""}],"accessed":{"date-parts":[["2021",3,30]]},"issued":{"date-parts":[["2015"]]}}}],"schema":"https://github.com/citation-style-language/schema/raw/master/csl-citation.json"} </w:instrText>
      </w:r>
      <w:r>
        <w:fldChar w:fldCharType="separate"/>
      </w:r>
      <w:r w:rsidRPr="058560CF">
        <w:rPr>
          <w:rFonts w:ascii="Aptos" w:hAnsi="Aptos"/>
        </w:rPr>
        <w:t>(Department for Communities and Local Government, 2015a)</w:t>
      </w:r>
      <w:r>
        <w:fldChar w:fldCharType="end"/>
      </w:r>
      <w:r>
        <w:t xml:space="preserve">. Low-income groups excluded from social housing are typically limited to the cheaper and lower-quality end of the PRS market, and more so in high-demand areas </w:t>
      </w:r>
      <w:r>
        <w:fldChar w:fldCharType="begin"/>
      </w:r>
      <w:r>
        <w:instrText xml:space="preserve"> ADDIN ZOTERO_ITEM CSL_CITATION {"citationID":"rY3Qz2R2","properties":{"formattedCitation":"(Bailey, 2020)","plainCitation":"(Bailey, 2020)","noteIndex":0},"citationItems":[{"id":1752,"uris":["http://zotero.org/users/714468/items/8YNSLFM9"],"itemData":{"id":1752,"type":"article-journal","abstract":"Over the last two decades, private renting has undergone a major revival in the UK, more than doubling its share within the housing system. Young adults increasingly remain in the sector into their 30s, giving rise to the term ‘Generation Rent’. Using data from the UK’s Family Resources Survey, this article shows how reliance on the sector varies by poverty status, particularly for young adults and children. In 2017/18, 42 per cent of adults under 40 in low-income poverty lived in private renting, compared with just 26 per cent of non-poor. This is almost double the proportion of 20 years earlier. Private renting is now home to more poor adults under 40 than owner occupation and social renting combined. In addition, one in three children in poverty (36 per cent) now lives in private renting, three times the level of 20 years ago. For both adults and children, rates are even higher in London and the South. Although rates of increase have slowed in recent years, this dramatic shift in the housing circumstances of those in poverty has a number of implications for housing and social policy which have not yet been sufficiently recognised.","container-title":"PLoS ONE","DOI":"10.1371/journal.pone.0228273","ISSN":"1932-6203","issue":"2","journalAbbreviation":"PLoS One","note":"PMID: 32023292\nPMCID: PMC7001905","page":"e0228273","source":"PubMed Central","title":"Poverty and the re-growth of private renting in the UK, 1994-2018","volume":"15","author":[{"family":"Bailey","given":"Nick"}],"issued":{"date-parts":[["2020",2,5]]}}}],"schema":"https://github.com/citation-style-language/schema/raw/master/csl-citation.json"} </w:instrText>
      </w:r>
      <w:r>
        <w:fldChar w:fldCharType="separate"/>
      </w:r>
      <w:r w:rsidRPr="00F91DB2">
        <w:rPr>
          <w:rFonts w:ascii="Aptos" w:hAnsi="Aptos"/>
        </w:rPr>
        <w:t>(Bailey, 2020)</w:t>
      </w:r>
      <w:r>
        <w:fldChar w:fldCharType="end"/>
      </w:r>
      <w:r>
        <w:t xml:space="preserve">. These groups hence depend more on enforcement to access a decent standard of housing. The results with the Census local authority classification furthermore showed that SL adoption was strongly associated with larger cities and that SL was almost absent in affluent and more rural local authorities. </w:t>
      </w:r>
    </w:p>
    <w:p w14:paraId="31AC621E" w14:textId="77777777" w:rsidR="00EE0150" w:rsidRDefault="00EE0150" w:rsidP="00EE0150">
      <w:r>
        <w:t xml:space="preserve">The austerity funding cuts to local authorities in the aftermath of the global financial crisis hit low-income areas the hardest </w:t>
      </w:r>
      <w:r>
        <w:fldChar w:fldCharType="begin"/>
      </w:r>
      <w:r>
        <w:instrText xml:space="preserve"> ADDIN ZOTERO_ITEM CSL_CITATION {"citationID":"TNuWIq39","properties":{"formattedCitation":"(Hastings et al., 2017)","plainCitation":"(Hastings et al., 2017)","noteIndex":0},"citationItems":[{"id":1879,"uris":["http://zotero.org/users/714468/items/EPJUTKKJ"],"itemData":{"id":1879,"type":"article-journal","abstract":"That contemporary austerity is being realised to a large extent in and through cities is a growing theme in urban scholarship. Similarly, the concern that the economically marginalised are disproportionately impacted as ‘austerity urbanism’ takes hold drives a significant body of research. While it is clear that substantial austerity cuts are being downloaded onto cities and their governments, the evidence on whether it is the most disadvantaged fractions of the urban population which suffer as a consequence remains thin. Moreover, the mechanisms by which the downloading to the poor occurs are unclear. This paper identifies how austerity cuts are transmitted to the poor and marginalised in the context of severe cuts to the spending power of English local government. It identifies three transmission mechanisms and shows how these operate and with what outcomes, drawing on empirical evidence at the English national and local city levels. The paper provides robust evidence from national data sources and from in-depth, mixed-method case studies to show that the effects of austerity urbanism are borne most heavily by those who are already disadvantaged. It also demonstrates the importance of identifying the specific mechanisms by which downloading on to the poor occurs in particular national contexts, and how this contributes to understanding, and potentially resisting, the regressive logic of austerity urbanism.","container-title":"Environment and Planning A: Economy and Space","DOI":"10.1177/0308518X17714797","ISSN":"0308-518X","issue":"9","journalAbbreviation":"Environ Plan A","language":"EN","note":"publisher: SAGE Publications Ltd","page":"2007-2024","source":"SAGE Journals","title":"Austerity urbanism in England: The ‘regressive redistribution’ of local government services and the impact on the poor and marginalised","title-short":"Austerity urbanism in England","volume":"49","author":[{"family":"Hastings","given":"Annette"},{"family":"Bailey","given":"Nick"},{"family":"Bramley","given":"Glen"},{"family":"Gannon","given":"Maria"}],"issued":{"date-parts":[["2017",9,1]]}}}],"schema":"https://github.com/citation-style-language/schema/raw/master/csl-citation.json"} </w:instrText>
      </w:r>
      <w:r>
        <w:fldChar w:fldCharType="separate"/>
      </w:r>
      <w:r w:rsidRPr="5CD9066A">
        <w:rPr>
          <w:rFonts w:ascii="Aptos" w:hAnsi="Aptos"/>
        </w:rPr>
        <w:t>(Hastings et al., 2017)</w:t>
      </w:r>
      <w:r>
        <w:fldChar w:fldCharType="end"/>
      </w:r>
      <w:r>
        <w:t xml:space="preserve">. First, the more deprived urban local authorities faced disproportional cuts, and second, these cuts then in turn hit services used more by low-income groups disproportionally to other groups. Many local authorities cut their spending on discretionary policies during this time period </w:t>
      </w:r>
      <w:r>
        <w:fldChar w:fldCharType="begin"/>
      </w:r>
      <w:r>
        <w:instrText xml:space="preserve"> ADDIN ZOTERO_ITEM CSL_CITATION {"citationID":"0VrQVN6A","properties":{"formattedCitation":"(Phillips et al., 2019)","plainCitation":"(Phillips et al., 2019)","noteIndex":0},"citationItems":[{"id":4177,"uris":["http://zotero.org/users/714468/items/3445GUE3"],"itemData":{"id":4177,"type":"article-journal","abstract":"The 2010s saw big cuts to councils’ funding and spending, and while these may be over, rising costs and demands will mean further budget pressures. This report looks backwards and forwards at funding levels and reforms.","DOI":"10.1920/re.ifs.2019.0166","language":"en","note":"publisher: The IFS","source":"ifs.org.uk","title":"English local government funding: trends and challenges in 2019 and beyond","title-short":"English local government funding","URL":"https://ifs.org.uk/publications/english-local-government-funding-trends-and-challenges-2019-and-beyond-0","author":[{"family":"Phillips","given":"David"},{"family":"Hodge","given":"Louis"},{"family":"Harris","given":"Tom"}],"accessed":{"date-parts":[["2025",10,3]]},"issued":{"date-parts":[["2019",11,13]]}}}],"schema":"https://github.com/citation-style-language/schema/raw/master/csl-citation.json"} </w:instrText>
      </w:r>
      <w:r>
        <w:fldChar w:fldCharType="separate"/>
      </w:r>
      <w:r w:rsidRPr="00A24BA1">
        <w:rPr>
          <w:rFonts w:ascii="Aptos" w:hAnsi="Aptos"/>
        </w:rPr>
        <w:t>(Phillips et al., 2019)</w:t>
      </w:r>
      <w:r>
        <w:fldChar w:fldCharType="end"/>
      </w:r>
      <w:r>
        <w:t>. It is therefore plausible that they for that reason alone lacked capacity to implement SL.</w:t>
      </w:r>
    </w:p>
    <w:p w14:paraId="3D3CDE22" w14:textId="77777777" w:rsidR="00EE0150" w:rsidRDefault="00EE0150" w:rsidP="00EE0150">
      <w:r>
        <w:t xml:space="preserve">Local authorities have gained powers in other ways to intervene in </w:t>
      </w:r>
      <w:proofErr w:type="gramStart"/>
      <w:r>
        <w:t>PRS</w:t>
      </w:r>
      <w:proofErr w:type="gramEnd"/>
      <w:r>
        <w:t xml:space="preserve"> and this may have impacted on the adoption of SL. They can intervene ad hoc in response to complaints using the same instruments without implementing SL. The Housing and Planning Act 2016 (enacted May 2016) furthermore introduced a database of rogue landlords and allowed local authorities to issue financial penalties, rent repayment, and banning orders </w:t>
      </w:r>
      <w:r>
        <w:fldChar w:fldCharType="begin"/>
      </w:r>
      <w:r>
        <w:instrText xml:space="preserve"> ADDIN ZOTERO_ITEM CSL_CITATION {"citationID":"PQPvNzqu","properties":{"formattedCitation":"(National Audit Office, 2021b)","plainCitation":"(National Audit Office, 2021b)","noteIndex":0},"citationItems":[{"id":1529,"uris":["http://zotero.org/users/714468/items/3VPKI5UQ"],"itemData":{"id":1529,"type":"report","event-place":"London, UK","publisher":"National Audit Office","publisher-place":"London, UK","title":"Regulation of private renting","author":[{"family":"National Audit Office","given":""}],"issued":{"date-parts":[["2021"]]}}}],"schema":"https://github.com/citation-style-language/schema/raw/master/csl-citation.json"} </w:instrText>
      </w:r>
      <w:r>
        <w:fldChar w:fldCharType="separate"/>
      </w:r>
      <w:r w:rsidRPr="70739A35">
        <w:rPr>
          <w:rFonts w:ascii="Aptos" w:hAnsi="Aptos"/>
        </w:rPr>
        <w:t>(National Audit Office, 2021b)</w:t>
      </w:r>
      <w:r>
        <w:fldChar w:fldCharType="end"/>
      </w:r>
      <w:r>
        <w:t xml:space="preserve">. An unforeseen consequence of issuing penalties is that they often go unpaid and then add to the local authority's legal burden </w:t>
      </w:r>
      <w:r>
        <w:fldChar w:fldCharType="begin"/>
      </w:r>
      <w:r>
        <w:instrText xml:space="preserve"> ADDIN ZOTERO_ITEM CSL_CITATION {"citationID":"MDiiwPQG","properties":{"formattedCitation":"(National Residential Landlords Association, 2024)","plainCitation":"(National Residential Landlords Association, 2024)","noteIndex":0},"citationItems":[{"id":4175,"uris":["http://zotero.org/users/714468/items/8G68WAN6"],"itemData":{"id":4175,"type":"report","abstract":"New data gathered by the NRLA shows that there is still a postcode lottery of enforcement across the country. Read our research here.","language":"en","title":"The Enforcement Lottery: Local authority enforcement 2021-2023","title-short":"The Enforcement Lottery","URL":"https://www.nrla.org.uk/research/special-reports/enforcement-lottery-2021-2023","author":[{"family":"National Residential Landlords Association","given":""}],"accessed":{"date-parts":[["2025",9,29]]},"issued":{"date-parts":[["2024"]]}}}],"schema":"https://github.com/citation-style-language/schema/raw/master/csl-citation.json"} </w:instrText>
      </w:r>
      <w:r>
        <w:fldChar w:fldCharType="separate"/>
      </w:r>
      <w:r w:rsidRPr="009A5058">
        <w:rPr>
          <w:rFonts w:ascii="Aptos" w:hAnsi="Aptos"/>
        </w:rPr>
        <w:t>(National Residential Landlords Association, 2024)</w:t>
      </w:r>
      <w:r>
        <w:fldChar w:fldCharType="end"/>
      </w:r>
      <w:r>
        <w:t>.</w:t>
      </w:r>
    </w:p>
    <w:p w14:paraId="632291E5" w14:textId="77777777" w:rsidR="00EE0150" w:rsidRDefault="00EE0150" w:rsidP="00EE0150">
      <w:proofErr w:type="spellStart"/>
      <w:r w:rsidRPr="4427C4BE">
        <w:rPr>
          <w:lang w:val="en-US"/>
        </w:rPr>
        <w:t>Shipan</w:t>
      </w:r>
      <w:proofErr w:type="spellEnd"/>
      <w:r w:rsidRPr="4427C4BE">
        <w:rPr>
          <w:lang w:val="en-US"/>
        </w:rPr>
        <w:t xml:space="preserve"> and Volden (2012) found that smaller US cities were more likely to adopt policies of their state administration compared to larger cities although their regulatory actions were conditional on resource capacity and local competition </w:t>
      </w:r>
      <w:r w:rsidRPr="4427C4BE">
        <w:rPr>
          <w:lang w:val="en-US"/>
        </w:rPr>
        <w:fldChar w:fldCharType="begin"/>
      </w:r>
      <w:r>
        <w:rPr>
          <w:lang w:val="en-US"/>
        </w:rPr>
        <w:instrText xml:space="preserve"> ADDIN ZOTERO_ITEM CSL_CITATION {"citationID":"Kdr0Dv9w","properties":{"formattedCitation":"(Shipan and Volden, 2012)","plainCitation":"(Shipan and Volden, 2012)","noteIndex":0},"citationItems":[{"id":1956,"uris":["http://zotero.org/users/714468/items/DQSQ2T64"],"itemData":{"id":1956,"type":"article-journal","abstract":"The scholarship on policy diffusion in political science and public administration is extensive. This article provides an introduction to that literature for scholars, students, and practitioners. It offers seven lessons derived from that literature, built from numerous empirical studies and applied to contemporary policy debates. Based on these seven lessons, the authors offer guidance to policy makers and present opportunities for future research to students and scholars of policy diffusion.","container-title":"Public Administration Review","DOI":"10.1111/j.1540-6210.2012.02610.x","ISSN":"1540-6210","issue":"6","language":"en","license":"© 2012 by The American Society for Public Administration","note":"_eprint: https://onlinelibrary.wiley.com/doi/pdf/10.1111/j.1540-6210.2012.02610.x","page":"788-796","source":"Wiley Online Library","title":"Policy Diffusion: Seven Lessons for Scholars and Practitioners","title-short":"Policy Diffusion","volume":"72","author":[{"family":"Shipan","given":"Charles R."},{"family":"Volden","given":"Craig"}],"issued":{"date-parts":[["2012"]]}}}],"schema":"https://github.com/citation-style-language/schema/raw/master/csl-citation.json"} </w:instrText>
      </w:r>
      <w:r w:rsidRPr="4427C4BE">
        <w:rPr>
          <w:lang w:val="en-US"/>
        </w:rPr>
        <w:fldChar w:fldCharType="separate"/>
      </w:r>
      <w:r w:rsidRPr="4427C4BE">
        <w:rPr>
          <w:rFonts w:ascii="Aptos" w:hAnsi="Aptos"/>
        </w:rPr>
        <w:t>(Shipan and Volden, 2012)</w:t>
      </w:r>
      <w:r w:rsidRPr="4427C4BE">
        <w:rPr>
          <w:lang w:val="en-US"/>
        </w:rPr>
        <w:fldChar w:fldCharType="end"/>
      </w:r>
      <w:r w:rsidRPr="4427C4BE">
        <w:rPr>
          <w:lang w:val="en-US"/>
        </w:rPr>
        <w:t xml:space="preserve">. </w:t>
      </w:r>
      <w:proofErr w:type="spellStart"/>
      <w:r w:rsidRPr="4427C4BE">
        <w:rPr>
          <w:lang w:val="en-US"/>
        </w:rPr>
        <w:t>Schönefeld</w:t>
      </w:r>
      <w:proofErr w:type="spellEnd"/>
      <w:r w:rsidRPr="4427C4BE">
        <w:rPr>
          <w:lang w:val="en-US"/>
        </w:rPr>
        <w:t xml:space="preserve"> et al. </w:t>
      </w:r>
      <w:r>
        <w:t xml:space="preserve">(2023) found that larger municipalities in Germany and Finland were more likely to adopt climate adaptation policies than smaller ones </w:t>
      </w:r>
      <w:r>
        <w:fldChar w:fldCharType="begin"/>
      </w:r>
      <w:r>
        <w:instrText xml:space="preserve"> ADDIN ZOTERO_ITEM CSL_CITATION {"citationID":"9vkb2RrO","properties":{"formattedCitation":"(Sch\\uc0\\u246{}nefeld et al., 2023)","plainCitation":"(Schönefeld et al., 2023)","noteIndex":0},"citationItems":[{"id":1936,"uris":["http://zotero.org/users/714468/items/Y8NYRPP6"],"itemData":{"id":1936,"type":"article-journal","abstract":"Municipalities across the globe are seeking to adapt to increasing climate change impacts, such as heavy rainfall, drought, heat waves, and floods. An important question is how to support the diffusion of innovations in local adaptation policy-making. Responses often lack consideration of the diversity of municipalities and their varying needs and capacities. This article addresses this gap by analysing how internal and external motivations for and barriers to adaptation policy and diffusion vary across municipalities of different sizes in the federal State of Hessen in Germany and in Finland. Hessen and Finland have comparable population sizes and settlement structures, but their municipalities are embedded in different multilevel governance architectures and climatic geographies. The analysis builds on quantitative data from two independent surveys among Hessian and Finnish municipalities. The results show that while there are similarities and some differences among the motivations, with municipalities in Hessen focusing more on extreme weather events and Finnish municipalities more on well-being, the barriers are strikingly similar, focusing on lack of resources as well as unclear responsibilities of different governance levels and within municipalities. Size is an important factor determining the adaptation needs and capacities of municipalities in both surveys. The findings highlight the need for a clearer adaptation governance framework, support from the closest governance level and more resources, but also context-sensitive policy support that has been discussed in theory and practice.","container-title":"Regional Environmental Change","DOI":"10.1007/s10113-023-02048-9","ISSN":"1436-378X","issue":"2","journalAbbreviation":"Reg Environ Change","language":"en","page":"53","source":"Springer Link","title":"What motivates and hinders municipal adaptation policy? Exploring vertical and horizontal diffusion in Hessen and Finland","title-short":"What motivates and hinders municipal adaptation policy?","volume":"23","author":[{"family":"Schönefeld","given":"Jonas J."},{"family":"Hildén","given":"Mikael"},{"family":"Schulze","given":"Kai"},{"family":"Sorvali","given":"Jaana"}],"issued":{"date-parts":[["2023",3,30]]}}}],"schema":"https://github.com/citation-style-language/schema/raw/master/csl-citation.json"} </w:instrText>
      </w:r>
      <w:r>
        <w:fldChar w:fldCharType="separate"/>
      </w:r>
      <w:r w:rsidRPr="4427C4BE">
        <w:rPr>
          <w:rFonts w:ascii="Aptos" w:hAnsi="Aptos" w:cs="Times New Roman"/>
        </w:rPr>
        <w:t>(Schönefeld et al., 2023)</w:t>
      </w:r>
      <w:r>
        <w:fldChar w:fldCharType="end"/>
      </w:r>
      <w:r>
        <w:t xml:space="preserve">. </w:t>
      </w:r>
    </w:p>
    <w:p w14:paraId="4043EC56" w14:textId="77777777" w:rsidR="00EE0150" w:rsidRDefault="00EE0150" w:rsidP="00EE0150">
      <w:r>
        <w:t xml:space="preserve">From a different angle, a recent government white paper announced that the smaller size of two-tier local authorities in England could be a hindrance in delivering ‘sustainable and high-quality services’ </w:t>
      </w:r>
      <w:r>
        <w:fldChar w:fldCharType="begin"/>
      </w:r>
      <w:r>
        <w:instrText xml:space="preserve"> ADDIN ZOTERO_ITEM CSL_CITATION {"citationID":"i5tc2jjq","properties":{"formattedCitation":"(Ministry of Housing, Communities and Local Government, 2024a)","plainCitation":"(Ministry of Housing, Communities and Local Government, 2024a)","noteIndex":0},"citationItems":[{"id":1959,"uris":["http://zotero.org/users/714468/items/EEDD6Q5F"],"itemData":{"id":1959,"type":"webpage","abstract":"</w:instrText>
      </w:r>
      <w:r>
        <w:rPr>
          <w:rFonts w:ascii="Arial" w:hAnsi="Arial" w:cs="Arial"/>
        </w:rPr>
        <w:instrText>​​</w:instrText>
      </w:r>
      <w:r>
        <w:instrText>The government</w:instrText>
      </w:r>
      <w:r>
        <w:rPr>
          <w:rFonts w:ascii="Aptos" w:hAnsi="Aptos" w:cs="Aptos"/>
        </w:rPr>
        <w:instrText>’</w:instrText>
      </w:r>
      <w:r>
        <w:instrText>s proposals to empower local leaders and communities to drive growth and raise living standards across the country.</w:instrText>
      </w:r>
      <w:r>
        <w:rPr>
          <w:rFonts w:ascii="Arial" w:hAnsi="Arial" w:cs="Arial"/>
        </w:rPr>
        <w:instrText>​</w:instrText>
      </w:r>
      <w:r>
        <w:instrText>","container-title":"GOV.UK","language":"en","title":"</w:instrText>
      </w:r>
      <w:r>
        <w:rPr>
          <w:rFonts w:ascii="Arial" w:hAnsi="Arial" w:cs="Arial"/>
        </w:rPr>
        <w:instrText>​​</w:instrText>
      </w:r>
      <w:r>
        <w:instrText>English Devolution White Paper</w:instrText>
      </w:r>
      <w:r>
        <w:rPr>
          <w:rFonts w:ascii="Arial" w:hAnsi="Arial" w:cs="Arial"/>
        </w:rPr>
        <w:instrText>​</w:instrText>
      </w:r>
      <w:r>
        <w:instrText>: Power and partnership: Foundations for growth","title-short":"</w:instrText>
      </w:r>
      <w:r>
        <w:rPr>
          <w:rFonts w:ascii="Arial" w:hAnsi="Arial" w:cs="Arial"/>
        </w:rPr>
        <w:instrText>​​</w:instrText>
      </w:r>
      <w:r>
        <w:instrText>English Devolution White Paper</w:instrText>
      </w:r>
      <w:r>
        <w:rPr>
          <w:rFonts w:ascii="Arial" w:hAnsi="Arial" w:cs="Arial"/>
        </w:rPr>
        <w:instrText>​</w:instrText>
      </w:r>
      <w:r>
        <w:instrText xml:space="preserve">","URL":"https://www.gov.uk/government/publications/english-devolution-white-paper-power-and-partnership-foundations-for-growth","author":[{"family":"Ministry of Housing, Communities and Local Government","given":""}],"accessed":{"date-parts":[["2025",3,29]]},"issued":{"date-parts":[["2024"]]}}}],"schema":"https://github.com/citation-style-language/schema/raw/master/csl-citation.json"} </w:instrText>
      </w:r>
      <w:r>
        <w:fldChar w:fldCharType="separate"/>
      </w:r>
      <w:r w:rsidRPr="0199F67A">
        <w:rPr>
          <w:rFonts w:ascii="Aptos" w:hAnsi="Aptos"/>
        </w:rPr>
        <w:t>(Ministry of Housing, Communities and Local Government, 2024a)</w:t>
      </w:r>
      <w:r>
        <w:fldChar w:fldCharType="end"/>
      </w:r>
      <w:r>
        <w:t xml:space="preserve">. Andrews et al. (2006) studied size effects for different types of local authority-delivered services </w:t>
      </w:r>
      <w:r>
        <w:fldChar w:fldCharType="begin"/>
      </w:r>
      <w:r>
        <w:instrText xml:space="preserve"> ADDIN ZOTERO_ITEM CSL_CITATION {"citationID":"4NDtT8cJ","properties":{"formattedCitation":"(Andrews et al., 2006)","plainCitation":"(Andrews et al., 2006)","noteIndex":0},"citationItems":[{"id":1911,"uris":["http://zotero.org/users/714468/items/RVZNAVXG"],"itemData":{"id":1911,"type":"report","event-place":"London, UK","genre":"Monograph","note":"publisher-place: London\npublisher: Department for Communities and Local Government","publisher":"Department for Communities and Local Government","publisher-place":"London, UK","title":"Population size and local authority performance","URL":"https://orca.cardiff.ac.uk/id/eprint/42547/","author":[{"family":"Andrews","given":"Rhys William"},{"family":"Boyne","given":"George Alexander"},{"family":"Chen","given":"A."},{"family":"Martin","given":"Stephen James"}],"accessed":{"date-parts":[["2025",4,12]]},"issued":{"date-parts":[["2006"]]}}}],"schema":"https://github.com/citation-style-language/schema/raw/master/csl-citation.json"} </w:instrText>
      </w:r>
      <w:r>
        <w:fldChar w:fldCharType="separate"/>
      </w:r>
      <w:r w:rsidRPr="0199F67A">
        <w:rPr>
          <w:rFonts w:ascii="Aptos" w:hAnsi="Aptos"/>
        </w:rPr>
        <w:t>(Andrews et al., 2006)</w:t>
      </w:r>
      <w:r>
        <w:fldChar w:fldCharType="end"/>
      </w:r>
      <w:r>
        <w:t xml:space="preserve">. They looked at performance indicators and resident satisfaction rather than the actual decision to adopt a specific policy. Leisure and cultural services performed best in larger local authorities while educational services had the least size effect. Housing services ranked in the middle. Andrews et al. (2006) also observed that the size-performance relationship for many services was in fact non-linear. In our models, the Income Support variable was a much more powerful predictor of SL adoption than single-tier status. We can therefore not conclude that size specifically is a critical factor in policy adoption once socio-economic factors about the resident population are taken into consideration. </w:t>
      </w:r>
    </w:p>
    <w:p w14:paraId="08CE7989" w14:textId="77777777" w:rsidR="00EE0150" w:rsidRDefault="00EE0150" w:rsidP="00EE0150">
      <w:r>
        <w:t xml:space="preserve">The Government commissioned an independent review of the use and effectiveness of SL in 2019 </w:t>
      </w:r>
      <w:r>
        <w:fldChar w:fldCharType="begin"/>
      </w:r>
      <w:r>
        <w:instrText xml:space="preserve"> ADDIN ZOTERO_ITEM CSL_CITATION {"citationID":"mRERNeKY","properties":{"formattedCitation":"(Lawrence and Wilson, 2019)","plainCitation":"(Lawrence and Wilson, 2019)","noteIndex":0},"citationItems":[{"id":164,"uris":["http://zotero.org/users/714468/items/DG55EQKI"],"itemData":{"id":164,"type":"report","abstract":"Findings from an independent review into the use and effectiveness of selective licensing.","event-place":"London, UK","language":"en","publisher":"Ministry of Housing, Communities and Local Government","publisher-place":"London, UK","title":"An independent review of the use and effectiveness of selective licensing","URL":"https://www.gov.uk/government/publications/selective-licensing-review","author":[{"family":"Lawrence","given":"Scott"},{"family":"Wilson","given":"Peter"}],"accessed":{"date-parts":[["2021",3,30]]},"issued":{"date-parts":[["2019"]]}}}],"schema":"https://github.com/citation-style-language/schema/raw/master/csl-citation.json"} </w:instrText>
      </w:r>
      <w:r>
        <w:fldChar w:fldCharType="separate"/>
      </w:r>
      <w:r w:rsidRPr="15880E7C">
        <w:rPr>
          <w:rFonts w:ascii="Aptos" w:hAnsi="Aptos"/>
        </w:rPr>
        <w:t>(Lawrence and Wilson, 2019)</w:t>
      </w:r>
      <w:r>
        <w:fldChar w:fldCharType="end"/>
      </w:r>
      <w:r>
        <w:t xml:space="preserve">. English local authorities (N=326) were invited to take part in a survey and 84% responded </w:t>
      </w:r>
      <w:r>
        <w:fldChar w:fldCharType="begin"/>
      </w:r>
      <w:r>
        <w:instrText xml:space="preserve"> ADDIN ZOTERO_ITEM CSL_CITATION {"citationID":"HjmJSjBu","properties":{"formattedCitation":"(Lawrence and Wilson, 2019)","plainCitation":"(Lawrence and Wilson, 2019)","noteIndex":0},"citationItems":[{"id":164,"uris":["http://zotero.org/users/714468/items/DG55EQKI"],"itemData":{"id":164,"type":"report","abstract":"Findings from an independent review into the use and effectiveness of selective licensing.","event-place":"London, UK","language":"en","publisher":"Ministry of Housing, Communities and Local Government","publisher-place":"London, UK","title":"An independent review of the use and effectiveness of selective licensing","URL":"https://www.gov.uk/government/publications/selective-licensing-review","author":[{"family":"Lawrence","given":"Scott"},{"family":"Wilson","given":"Peter"}],"accessed":{"date-parts":[["2021",3,30]]},"issued":{"date-parts":[["2019"]]}}}],"schema":"https://github.com/citation-style-language/schema/raw/master/csl-citation.json"} </w:instrText>
      </w:r>
      <w:r>
        <w:fldChar w:fldCharType="separate"/>
      </w:r>
      <w:r w:rsidRPr="15880E7C">
        <w:rPr>
          <w:rFonts w:ascii="Aptos" w:hAnsi="Aptos"/>
        </w:rPr>
        <w:t>(Lawrence and Wilson, 2019)</w:t>
      </w:r>
      <w:r>
        <w:fldChar w:fldCharType="end"/>
      </w:r>
      <w:r>
        <w:t xml:space="preserve">. When those with a current scheme were asked about problems in PRS, more than half indicated the following problems: poor housing conditions, deprivation, ASB, and crime. When asked about the justification for implementing SL, poor housing conditions and ASB were the predominant answers. Low demand also played a role although only outside London. Most (91%) stated that SL was </w:t>
      </w:r>
      <w:proofErr w:type="gramStart"/>
      <w:r>
        <w:t>fairly effective</w:t>
      </w:r>
      <w:proofErr w:type="gramEnd"/>
      <w:r>
        <w:t xml:space="preserve"> or better at dealing with poor housing conditions, ASB, and low demand. The process for adopting SL was however often described as complex, bureaucratic, and costly. Staff recruitment/retention was mentioned as a limitation for operating large schemes. The maximum 20% coverage rule was highlighted as a potential barrier for smaller local authorities suggesting that only larger schemes are considered cost-effective or that problems were not concentrated on any one area sufficient to meet the designation criteria. Another potential barrier mentioned was lack of property-level PRS data. Among those that never adopted SL but had considered it (N=40), some reported lack of resources or political will (N=11), lack of evidence (N=9), or that the issues were with houses of multiple occupation rather than single occupancy households covered by SL (N=7) </w:t>
      </w:r>
      <w:r>
        <w:fldChar w:fldCharType="begin"/>
      </w:r>
      <w:r>
        <w:instrText xml:space="preserve"> ADDIN ZOTERO_ITEM CSL_CITATION {"citationID":"BBzV3oYw","properties":{"formattedCitation":"(Lawrence and Wilson, 2019)","plainCitation":"(Lawrence and Wilson, 2019)","noteIndex":0},"citationItems":[{"id":164,"uris":["http://zotero.org/users/714468/items/DG55EQKI"],"itemData":{"id":164,"type":"report","abstract":"Findings from an independent review into the use and effectiveness of selective licensing.","event-place":"London, UK","language":"en","publisher":"Ministry of Housing, Communities and Local Government","publisher-place":"London, UK","title":"An independent review of the use and effectiveness of selective licensing","URL":"https://www.gov.uk/government/publications/selective-licensing-review","author":[{"family":"Lawrence","given":"Scott"},{"family":"Wilson","given":"Peter"}],"accessed":{"date-parts":[["2021",3,30]]},"issued":{"date-parts":[["2019"]]}}}],"schema":"https://github.com/citation-style-language/schema/raw/master/csl-citation.json"} </w:instrText>
      </w:r>
      <w:r>
        <w:fldChar w:fldCharType="separate"/>
      </w:r>
      <w:r w:rsidRPr="15880E7C">
        <w:rPr>
          <w:rFonts w:ascii="Aptos" w:hAnsi="Aptos"/>
        </w:rPr>
        <w:t>(Lawrence and Wilson, 2019)</w:t>
      </w:r>
      <w:r>
        <w:fldChar w:fldCharType="end"/>
      </w:r>
      <w:r>
        <w:t xml:space="preserve">. </w:t>
      </w:r>
    </w:p>
    <w:p w14:paraId="74192B86" w14:textId="77777777" w:rsidR="00EE0150" w:rsidRDefault="00EE0150" w:rsidP="00EE0150">
      <w:r>
        <w:t xml:space="preserve">The National Audit Office (NAO), UK’s independent public spending watchdog, interviewed officials from 12 local authorities across England about PRS regulation and fairness for tenants in 2021 </w:t>
      </w:r>
      <w:r>
        <w:fldChar w:fldCharType="begin"/>
      </w:r>
      <w:r>
        <w:instrText xml:space="preserve"> ADDIN ZOTERO_ITEM CSL_CITATION {"citationID":"PnQrSUCb","properties":{"formattedCitation":"(National Audit Office, 2021b)","plainCitation":"(National Audit Office, 2021b)","noteIndex":0},"citationItems":[{"id":1529,"uris":["http://zotero.org/users/714468/items/3VPKI5UQ"],"itemData":{"id":1529,"type":"report","event-place":"London, UK","publisher":"National Audit Office","publisher-place":"London, UK","title":"Regulation of private renting","author":[{"family":"National Audit Office","given":""}],"issued":{"date-parts":[["2021"]]}}}],"schema":"https://github.com/citation-style-language/schema/raw/master/csl-citation.json"} </w:instrText>
      </w:r>
      <w:r>
        <w:fldChar w:fldCharType="separate"/>
      </w:r>
      <w:r w:rsidRPr="15880E7C">
        <w:rPr>
          <w:rFonts w:ascii="Aptos" w:hAnsi="Aptos"/>
        </w:rPr>
        <w:t>(National Audit Office, 2021b)</w:t>
      </w:r>
      <w:r>
        <w:fldChar w:fldCharType="end"/>
      </w:r>
      <w:r>
        <w:t xml:space="preserve">. Those who had experience with running a SL scheme stated that it improved their data and understanding of the sector, increased awareness of tenant and landlord rights, and increased resources for proactive enforcement. The results also highlighted some important barriers to adopting SL including insufficient staff with the right skill base, lack of resources and time to prepare the mandatory local consultation or the application to central government in case of schemes exceeding the 20% threshold, that 5-year schemes were too short to make schemes worthwhile, poor communication from central government, low success rate applying for large schemes, and limited feedback on rejected applications. </w:t>
      </w:r>
    </w:p>
    <w:p w14:paraId="04A79AB6" w14:textId="77777777" w:rsidR="00EE0150" w:rsidRDefault="00EE0150" w:rsidP="00EE0150">
      <w:r>
        <w:t xml:space="preserve">The Lawrence and Wilson (2019) review begs the question why SL has not been more widely adopted if indeed perceived by local authorities to address key housing problems in such an effective manner while only a few gave reasons for non-adoption. The NAO report conveyed greater concerns over barriers for adopting SL based on a limited number of implementer interviews </w:t>
      </w:r>
      <w:r>
        <w:fldChar w:fldCharType="begin"/>
      </w:r>
      <w:r>
        <w:instrText xml:space="preserve"> ADDIN ZOTERO_ITEM CSL_CITATION {"citationID":"Za6atK7V","properties":{"formattedCitation":"(National Audit Office, 2021b)","plainCitation":"(National Audit Office, 2021b)","noteIndex":0},"citationItems":[{"id":1529,"uris":["http://zotero.org/users/714468/items/3VPKI5UQ"],"itemData":{"id":1529,"type":"report","event-place":"London, UK","publisher":"National Audit Office","publisher-place":"London, UK","title":"Regulation of private renting","author":[{"family":"National Audit Office","given":""}],"issued":{"date-parts":[["2021"]]}}}],"schema":"https://github.com/citation-style-language/schema/raw/master/csl-citation.json"} </w:instrText>
      </w:r>
      <w:r>
        <w:fldChar w:fldCharType="separate"/>
      </w:r>
      <w:r w:rsidRPr="004B66A7">
        <w:rPr>
          <w:rFonts w:ascii="Aptos" w:hAnsi="Aptos"/>
        </w:rPr>
        <w:t>(National Audit Office, 2021b)</w:t>
      </w:r>
      <w:r>
        <w:fldChar w:fldCharType="end"/>
      </w:r>
      <w:r>
        <w:t xml:space="preserve">. Although the Lawrence and Wilson (2019) and the NAO report outline some of the many potential barriers there are for adoption, it is also clear that more evidence is needed in this area. We are therefore currently carrying out a mixed methods study to address this. </w:t>
      </w:r>
    </w:p>
    <w:p w14:paraId="2CE6E24E" w14:textId="77777777" w:rsidR="00EE0150" w:rsidRDefault="00EE0150" w:rsidP="00EE0150">
      <w:r>
        <w:fldChar w:fldCharType="begin"/>
      </w:r>
      <w:r>
        <w:instrText xml:space="preserve"> ADDIN ZOTERO_ITEM CSL_CITATION {"citationID":"E4rSQwKH","properties":{"formattedCitation":"(Craig et al., 2025; Gertler et al., 2016; Howlett et al., 2009; National Audit Office, 2021b, 2021a; Petersen et al., 2022)","plainCitation":"(Craig et al., 2025; Gertler et al., 2016; Howlett et al., 2009; National Audit Office, 2021b, 2021a; Petersen et al., 2022)","dontUpdate":true,"noteIndex":0},"citationItems":[{"id":1945,"uris":["http://zotero.org/users/714468/items/98YT27FK"],"itemData":{"id":1945,"type":"book","abstract":"Studying Public Policy examines three dimensions of efforts to engage and resolve public problems: policy actors, institutions, and ideas. Using this focus, the book overviews past efforts to understand public policy-making, outlines the different stages of the policy-making process, and discusses the principal elements and patterns of policy dynamics. Developing an analytical framework of the subject, the text examines the theoretical and conceptual foundations of, and approaches used in, policy sciences giving students a solid basis for understanding public policy. This edition has been fully updated with new developments in the field and revised with clear language and an easy-to-understand structure, making it the most current, student-friendly resource available.","ISBN":"978-0-19-542802-5","language":"en","note":"Google-Books-ID: 9I1zPwAACAAJ","number-of-pages":"298","publisher":"Oxford University Press","source":"Google Books","title":"Studying Public Policy: Policy Cycles &amp; Policy Subsystems","title-short":"Studying Public Policy","author":[{"family":"Howlett","given":"Michael"},{"family":"Ramesh","given":"M."},{"family":"Perl","given":"Anthony"}],"issued":{"date-parts":[["2009"]]}}},{"id":1529,"uris":["http://zotero.org/users/714468/items/3VPKI5UQ"],"itemData":{"id":1529,"type":"report","event-place":"London, UK","publisher":"National Audit Office","publisher-place":"London, UK","title":"Regulation of private renting","author":[{"family":"National Audit Office","given":""}],"issued":{"date-parts":[["2021"]]}}},{"id":161,"uris":["http://zotero.org/users/714468/items/ZTF8SGIF"],"itemData":{"id":161,"type":"book","abstract":"The second edition of the Impact Evaluation in Practice handbook is a comprehensive and accessible introduction to impact evaluation for policy makers and development practitioners. First published in 2011, it has been used widely across the development and academic communities. The book incorporates real-world examples to present practical guidelines for designing and implementing impact evaluations. Readers will gain an understanding of impact evaluations and the best ways to use them to design evidence-based policies and programs. The updated version covers the newest techniques for evaluating programs and includes state-of-the-art implementation advice, as well as an expanded set of examples and case studies that draw on recent development challenges. It also includes new material on research ethics and partnerships to conduct impact evaluation. The handbook is divided into four sections: Part One discusses what to evaluate and why; Part Two presents the main impact evaluation methods; Part Three addresses how to manage impact evaluations; Part Four reviews impact evaluation sampling and data collection. Case studies illustrate different applications of impact evaluations. The book links to complementary instructional material available online, including an applied case as well as questions and answers. The updated second edition will be a valuable resource for the international development community, universities, and policy makers looking to build better evidence around what works in development.","ISBN":"978-1-4648-0780-0","language":"en","note":"Google-Books-ID: Zm8kDQAAQBAJ","number-of-pages":"398","publisher":"World Bank Publications","source":"Google Books","title":"Impact Evaluation in Practice, Second Edition","author":[{"family":"Gertler","given":"Paul J."},{"family":"Martinez","given":"Sebastian"},{"family":"Premand","given":"Patrick"},{"family":"Rawlings","given":"Laura B."},{"family":"Vermeersch","given":"Christel M. J."}],"issued":{"date-parts":[["2016",9,12]]}}},{"id":5,"uris":["http://zotero.org/users/714468/items/9WC25NSF"],"itemData":{"id":5,"type":"report","abstract":"This report examines government’s progress in developing the provision and use of evaluation evidence across government.","language":"en-US","publisher":"National Audit Office","title":"Evaluating government spending","URL":"https://www.nao.org.uk/reports/evaluating-government-spending/","author":[{"family":"National Audit Office","given":""}],"accessed":{"date-parts":[["2023",12,15]]},"issued":{"date-parts":[["2021",12,2]]}}},{"id":1954,"uris":["http://zotero.org/users/714468/items/LKFBSJZ2"],"itemData":{"id":1954,"type":"article-journal","abstract":"BACKGROUND: There has been a substantial increase in the conduct of natural experimental evaluations in the last 10 years. This has been driven by advances in methodology, greater availability of large routinely collected datasets, and a rise in demand for evidence about the impacts of upstream population health interventions. It is important that researchers, practitioners, commissioners, and users of intervention research are aware of the recent developments. This new framework updates and extends existing Medical Research Council guidance for using natural experiments to evaluate population health interventions.\nMETHODS: The framework was developed with input from three international workshops and an online consultation with researchers, journal editors, funding representatives, and individuals with experience of using and commissioning natural experimental evaluations. The project team comprised researchers with expertise in natural experimental evaluations. The project had a funder-assigned oversight group and an advisory group of independent experts.\nRESULTS: The framework defines key concepts and provides an overview of recent advances in designing and planning evaluations of natural experiments, including the relevance of a systems perspective, mixed methods and stakeholder involvement throughout the process. It provides an overview of the strengths, weaknesses, applicability and limitations of the range of methods now available, identifies issues of infrastructure and data governance, and provides good practice considerations.\nLIMITATIONS: The framework does not provide detailed information for the substantial volume of themes and material covered, rather an overview of key issues to help the conduct and use of natural experimental evaluations.\nCONCLUSION: This updated and extended framework provides an integrated guide to the use of natural experimental methods to evaluate population health interventions. The framework provides a range of tools to support its use and detailed, evidence-informed recommendations for researchers, funders, publishers, and users of evidence.\nSTUDY REGISTRATION: This methodological project was not registered.\nFUNDING: This project was jointly funded by the Medical Research Council (MRC) and National Institute for Health and Care Research (NIHR), with project reference MC_PC_21009. The work is published in full in Public Health Research; Vol. 13, No. 3.","container-title":"Public Health Research (Southampton, England)","DOI":"10.3310/JTYW6582","ISSN":"2050-439X","issue":"3","journalAbbreviation":"Public Health Res (Southampt)","language":"eng","note":"PMID: 40163348","page":"1-59","source":"PubMed","title":"Using natural experiments to evaluate population health interventions: a framework for producers and users of evidence","title-short":"Using natural experiments to evaluate population health interventions","volume":"13","author":[{"family":"Craig","given":"Peter"},{"family":"Campbell","given":"Mhairi"},{"family":"Deidda","given":"Manuela"},{"family":"Dundas","given":"Ruth"},{"family":"Green","given":"Judith"},{"family":"Katikireddi","given":"Srinivasa Vittal"},{"family":"Lewsey","given":"Jim"},{"family":"Ogilvie","given":"David"},{"family":"Vocht","given":"Frank","non-dropping-particle":"de"},{"family":"White","given":"Martin"}],"issued":{"date-parts":[["2025",3]]}}},{"id":46,"uris":["http://zotero.org/users/714468/items/PUZP5R5T"],"itemData":{"id":46,"type":"article-journal","abstract":"Objectives To assess primary impact of selective Licensing (SL), an area-based intervention in the private rented housing market, on individual self-reported anxiety and neighbourhood mental health (MHI—Mental Healthcare Index) and secondary impacts on antisocial behaviour (ASB), population turnover and self-reported well-being.\nDesign Difference-in-difference (DiD) was used to evaluate effects of SL schemes initiated 2012–2018. 921 intervention areas (lower super output areas) were matched 3:1 using propensity scores derived from sociodemographic and housing variables (N=3.684 including controls). Average treatment effect on treated (ATT) was calculated for multiple time period DiD in area-level analyses. Canonical DiD was used for individual-level analysis by year of treatment initiation while adjusting for age, sex, native birth and occupational class.\nSetting Intervention neighbourhoods and control areas in Greater London, UK, 2011–2019.\nParticipants We sampled 4474 respondents renting privately in intervention areas (N=17 347 including controls) in Annual Population Survey and obtained area-level MHI population data.\nInterventions Private landlords in SL areas must obtain a licence from the local authority, allow inspection and maintain minimum housing standards.\nResults ATT after 5 years was significantly lower for MHI (−7.5%, 95% CI −5.6% to −8.8%) than controls. Antidepressant treatment days per population reduced by −5.4% (95% CI −3.7% to −7.3), mental health benefit receipt by −9.6% (95% CI −14% to −5.5%) and proportion with depression by −12% (95% CI −7.7% to −16.3%). ASB reduced by −15% (95% CI −21% to −8.2%). Population turnover increased by 26.5% (95% CI 22.1% to 30.8%). Sensitivity analysis suggests overlap with effects of London 2012 Olympic regeneration. No clear patterns were observed for self-reported anxiety.\nConclusions We found associations between SL and reductions in area-based mental healthcare outcomes and ASB, while population turnover increased. A national evaluation of SL is feasible and necessary.","container-title":"BMJ Open","DOI":"10.1136/bmjopen-2022-065747","ISSN":"2044-6055, 2044-6055","issue":"12","language":"en","license":"© Author(s) (or their employer(s)) 2022. Re-use permitted under CC BY. Published by BMJ.. https://creativecommons.org/licenses/by/4.0/This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British Medical Journal Publishing Group\nsection: Public health\nPMID: 36564110","page":"e065747","source":"bmjopen.bmj.com","title":"Impact of selective licensing schemes for private rental housing on mental health and social outcomes in Greater London, England: a natural experiment study","title-short":"Impact of selective licensing schemes for private rental housing on mental health and social outcomes in Greater London, England","volume":"12","author":[{"family":"Petersen","given":"Jakob"},{"family":"Alexiou","given":"Alexandros"},{"family":"Brewerton","given":"David"},{"family":"Cornelsen","given":"Laura"},{"family":"Courtin","given":"Emilie"},{"family":"Cummins","given":"Steven"},{"family":"Marks","given":"Dalya"},{"family":"Seguin","given":"Maureen"},{"family":"Stewart","given":"Jill"},{"family":"Thompson","given":"Kevin"},{"family":"Egan","given":"Matt"}],"issued":{"date-parts":[["2022",12,1]]}}}],"schema":"https://github.com/citation-style-language/schema/raw/master/csl-citation.json"} </w:instrText>
      </w:r>
      <w:r>
        <w:fldChar w:fldCharType="separate"/>
      </w:r>
      <w:r>
        <w:fldChar w:fldCharType="end"/>
      </w:r>
      <w:r>
        <w:t xml:space="preserve">In summary, adopting local authorities tended to implement selective licensing in disadvantaged urban areas. However, adoption across England has been slow – even amongst such areas – and has hardly occurred at all for other types of area. There are several possible explanations for the slow adoption of SL. Many local authorities lack resources to take on a non-mandatory policy such as SL due to austerity cuts </w:t>
      </w:r>
      <w:r>
        <w:fldChar w:fldCharType="begin"/>
      </w:r>
      <w:r>
        <w:instrText xml:space="preserve"> ADDIN ZOTERO_ITEM CSL_CITATION {"citationID":"YT2cS0z2","properties":{"formattedCitation":"(Alexiou et al., 2023; Fahy et al., 2023; Hastings et al., 2017; Jeffery, 2025)","plainCitation":"(Alexiou et al., 2023; Fahy et al., 2023; Hastings et al., 2017; Jeffery, 2025)","noteIndex":0},"citationItems":[{"id":1913,"uris":["http://zotero.org/users/714468/items/U4NYRYMS"],"itemData":{"id":1913,"type":"article-journal","abstract":"Since 2010 there have been large reductions in funding for local government services in England. This has led to reduced income to fund services, such as housing services, that potentially promote health. Housing services expenditure includes spending on housing advice services, homelessness relief and provision of temporary accommodation. During the same period there has been an increase in homelessness and drug related mortality. We carried out an ecological study by linking data on housing services expenditure to deaths from drug and alcohol abuse by local authority in England between 2013 and 2018, to assess whether those areas that experienced a greater decline in spending, also experienced more adverse trends in mortality rates. Our results demonstrate that spending cuts were associated with increased mortality rates due to drug misuse, however, we found no strong evidence of an association with alcohol-specific mortality. This study suggests that reduced fiscal support alongside the introduction of policies that changed how funds are distributed between areas may in part explain the recent adverse trends in drug-related mortality. Since housing expenditure decreased more in the most deprived areas of England compared to less deprived areas, such spending cuts may have contributed to the widening of health inequalities. KEYWORDS Housing services; spending; drug; alcohol; mortality","container-title":"International Journal of Housing Policy","DOI":"10.1080/19491247.2021.2002660","ISSN":"1949-1247","issue":"2","note":"publisher: Routledge\n_eprint: https://doi.org/10.1080/19491247.2021.2002660","page":"362-380","source":"Taylor and Francis+NEJM","title":"Assessing the impact of funding cuts to local housing services on drug and alcohol related mortality: a longitudinal study using area-level data in England","title-short":"Assessing the impact of funding cuts to local housing services on drug and alcohol related mortality","volume":"23","author":[{"family":"Alexiou","given":"Alexandros"},{"family":"","given":"Mason ,Kate"},{"family":"","given":"Fahy ,Katie"},{"family":"","given":"Taylor-Robinson ,David"},{"family":"Barr","given":"Benjamin","non-dropping-particle":"and"}],"issued":{"date-parts":[["2023",4,3]]}}},{"id":4179,"uris":["http://zotero.org/users/714468/items/U4VCS6XU"],"itemData":{"id":4179,"type":"article-journal","abstract":"Local government provides Cultural, Environmental, and Planning (CEP) services, such as parks, libraries, and waste collection, that are vital for promoting health and wellbeing. There have been significant changes to the funding of these services over the past decade, most notably due to the UK government’s austerity programme. These changes have not affected all places equally. To understand potential impacts on health inequalities, we investigated geographical patterning of recent CEP spending trends.","container-title":"BMC Public Health","DOI":"10.1186/s12889-023-15179-9","ISSN":"1471-2458","issue":"1","journalAbbreviation":"BMC Public Health","page":"408","source":"BioMed Central","title":"Inequalities in local government spending on cultural, environmental and planning services: a time-trend analysis in England, Scotland, and Wales","title-short":"Inequalities in local government spending on cultural, environmental and planning services","volume":"23","author":[{"family":"Fahy","given":"Katie"},{"family":"Alexiou","given":"Alexandros"},{"family":"Mason","given":"Kate"},{"family":"Bennett","given":"Davara"},{"family":"Egan","given":"Matt"},{"family":"Taylor-Robinson","given":"David"},{"family":"Barr","given":"Ben"}],"issued":{"date-parts":[["2023",2,28]]}}},{"id":1879,"uris":["http://zotero.org/users/714468/items/EPJUTKKJ"],"itemData":{"id":1879,"type":"article-journal","abstract":"That contemporary austerity is being realised to a large extent in and through cities is a growing theme in urban scholarship. Similarly, the concern that the economically marginalised are disproportionately impacted as ‘austerity urbanism’ takes hold drives a significant body of research. While it is clear that substantial austerity cuts are being downloaded onto cities and their governments, the evidence on whether it is the most disadvantaged fractions of the urban population which suffer as a consequence remains thin. Moreover, the mechanisms by which the downloading to the poor occurs are unclear. This paper identifies how austerity cuts are transmitted to the poor and marginalised in the context of severe cuts to the spending power of English local government. It identifies three transmission mechanisms and shows how these operate and with what outcomes, drawing on empirical evidence at the English national and local city levels. The paper provides robust evidence from national data sources and from in-depth, mixed-method case studies to show that the effects of austerity urbanism are borne most heavily by those who are already disadvantaged. It also demonstrates the importance of identifying the specific mechanisms by which downloading on to the poor occurs in particular national contexts, and how this contributes to understanding, and potentially resisting, the regressive logic of austerity urbanism.","container-title":"Environment and Planning A: Economy and Space","DOI":"10.1177/0308518X17714797","ISSN":"0308-518X","issue":"9","journalAbbreviation":"Environ Plan A","language":"EN","note":"publisher: SAGE Publications Ltd","page":"2007-2024","source":"SAGE Journals","title":"Austerity urbanism in England: The ‘regressive redistribution’ of local government services and the impact on the poor and marginalised","title-short":"Austerity urbanism in England","volume":"49","author":[{"family":"Hastings","given":"Annette"},{"family":"Bailey","given":"Nick"},{"family":"Bramley","given":"Glen"},{"family":"Gannon","given":"Maria"}],"issued":{"date-parts":[["2017",9,1]]}}},{"id":1937,"uris":["http://zotero.org/</w:instrText>
      </w:r>
      <w:r w:rsidRPr="00834AAE">
        <w:rPr>
          <w:lang w:val="da-DK"/>
        </w:rPr>
        <w:instrText xml:space="preserve">users/714468/items/XGJZVGJ3"],"itemData":{"id":1937,"type":"article-journal","abstract":"English local government faces a perilous position owing to insufficient funding, structural issues and capacity challenges. Fourteen years of austerity have significantly reduced council budgets, while increased demand for services—particularly adult social care—has strained resources. The current funding system is regressive and fails to incentivise economic growth, and the structure of local government is not fit for purpose due to a focus on unitary authorities, which are sub-optimal for service delivery. To address these issues, this article proposes a four-tier system of local government, a more robust funding mechanism and electoral reforms to ensure effective governance and representation.","container-title":"The Political Quarterly","DOI":"10.1111/1467-923X.13478","ISSN":"1467-923X","issue":"1","language":"en","license":"© 2025 The Author(s). The Political Quarterly published by John Wiley &amp; Sons Ltd on behalf of The Political Quarterly Publishing Co. Ltd.","note":"_eprint: https://onlinelibrary.wiley.com/doi/pdf/10.1111/1467-923X.13478","page":"199-205","source":"Wiley Online Library","title":"Broke and Broken: The Crises Facing Local Government in England","title-short":"Broke and Broken","volume":"96","author":[{"family":"Jeffery","given":"David"}],"issued":{"date-parts":[["2025"]]}}}],"schema":"https://github.com/citation-style-language/schema/raw/master/csl-citation.json"} </w:instrText>
      </w:r>
      <w:r>
        <w:fldChar w:fldCharType="separate"/>
      </w:r>
      <w:r w:rsidRPr="00834AAE">
        <w:rPr>
          <w:rFonts w:ascii="Aptos" w:hAnsi="Aptos"/>
          <w:lang w:val="da-DK"/>
        </w:rPr>
        <w:t>(Alexiou et al., 2023; Fahy et al., 2023; Hastings et al., 2017; Jeffery, 2025)</w:t>
      </w:r>
      <w:r>
        <w:fldChar w:fldCharType="end"/>
      </w:r>
      <w:r w:rsidRPr="00834AAE">
        <w:rPr>
          <w:lang w:val="da-DK"/>
        </w:rPr>
        <w:t xml:space="preserve">. </w:t>
      </w:r>
      <w:r>
        <w:t xml:space="preserve">At the same time qualified staff are reported to be in short supply </w:t>
      </w:r>
      <w:r>
        <w:fldChar w:fldCharType="begin"/>
      </w:r>
      <w:r>
        <w:instrText xml:space="preserve"> ADDIN ZOTERO_ITEM CSL_CITATION {"citationID":"r3AKlXVd","properties":{"formattedCitation":"(National Audit Office, 2021b)","plainCitation":"(National Audit Office, 2021b)","noteIndex":0},"citationItems":[{"id":1529,"uris":["http://zotero.org/users/714468/items/3VPKI5UQ"],"itemData":{"id":1529,"type":"report","event-place":"London, UK","publisher":"National Audit Office","publisher-place":"London, UK","title":"Regulation of private renting","author":[{"family":"National Audit Office","given":""}],"issued":{"date-parts":[["2021"]]}}}],"schema":"https://github.com/citation-style-language/schema/raw/master/csl-citation.json"} </w:instrText>
      </w:r>
      <w:r>
        <w:fldChar w:fldCharType="separate"/>
      </w:r>
      <w:r w:rsidRPr="70739A35">
        <w:rPr>
          <w:rFonts w:ascii="Aptos" w:hAnsi="Aptos"/>
        </w:rPr>
        <w:t>(National Audit Office, 2021b)</w:t>
      </w:r>
      <w:r>
        <w:fldChar w:fldCharType="end"/>
      </w:r>
      <w:r>
        <w:t xml:space="preserve"> (Seguin et al., unpublished). The public consultation process and initial data gathering can be costly at a point where there is uncertainty about the outcome </w:t>
      </w:r>
      <w:r>
        <w:fldChar w:fldCharType="begin"/>
      </w:r>
      <w:r>
        <w:instrText xml:space="preserve"> ADDIN ZOTERO_ITEM CSL_CITATION {"citationID":"SE4UtReQ","properties":{"formattedCitation":"(Lawrence and Wilson, 2019)","plainCitation":"(Lawrence and Wilson, 2019)","noteIndex":0},"citationItems":[{"id":164,"uris":["http://zotero.org/users/714468/items/DG55EQKI"],"itemData":{"id":164,"type":"report","abstract":"Findings from an independent review into the use and effectiveness of selective licensing.","event-place":"London, UK","language":"en","publisher":"Ministry of Housing, Communities and Local Government","publisher-place":"London, UK","title":"An independent review of the use and effectiveness of selective licensing","URL":"https://www.gov.uk/government/publications/selective-licensing-review","author":[{"family":"Lawrence","given":"Scott"},{"family":"Wilson","given":"Peter"}],"accessed":{"date-parts":[["2021",3,30]]},"issued":{"date-parts":[["2019"]]}}}],"schema":"https://github.com/citation-style-language/schema/raw/master/csl-citation.json"} </w:instrText>
      </w:r>
      <w:r>
        <w:fldChar w:fldCharType="separate"/>
      </w:r>
      <w:r w:rsidRPr="70739A35">
        <w:rPr>
          <w:rFonts w:ascii="Aptos" w:hAnsi="Aptos"/>
        </w:rPr>
        <w:t>(Lawrence and Wilson, 2019)</w:t>
      </w:r>
      <w:r>
        <w:fldChar w:fldCharType="end"/>
      </w:r>
      <w:r>
        <w:t xml:space="preserve">. There can be resistance from landlord lobby groups and strain from dealing with legal challenges from landlords. Other factors may also play a role. There could be internal organisational or political factors and/or policy-related factors including lack of cost-effectiveness data, that SL is perceived as too complex, or that it was poorly promoted </w:t>
      </w:r>
      <w:r>
        <w:fldChar w:fldCharType="begin"/>
      </w:r>
      <w:r>
        <w:instrText xml:space="preserve"> ADDIN ZOTERO_ITEM CSL_CITATION {"citationID":"okm0HKxY","properties":{"formattedCitation":"(Berry and Berry, 2007)","plainCitation":"(Berry and Berry, 2007)","noteIndex":0},"citationItems":[{"id":1931,"uris":["http://zotero.org/users/714468/items/B3Q9ULNY"],"itemData":{"id":1931,"type":"chapter","abstract":"This chapter reviews the dominant theories of government innovation in the public policy literature. It shows that these theories borrow heavily from others developed to explain innovative behavior by individuals: teachers using a new method of instruction, farmers adopting hybrid seeds and fertilizers, and consumers purchasing new products. The chapter explores that theories of government innovation share many commonalities with models that seek to explain organizational innovation. It deals with separate discussions of the central features of internal determinants and diffusion explanations for the adoption of a policy. The chapter explains three models that dominated early scholarship on policy innovation such as the national interaction model, the regional diffusion model and the leader-laggard model. It presents a model of American state lottery adoptions reflecting the simultaneous effects of both internal determinants and policy diffusion on state adoption behavior and employed event history analysis to test their model.","container-title":"Theories of the Policy Process","event-place":"Boulder, Colorado, USA","publisher":"Westview Press","publisher-place":"Boulder, Colorado, USA","title":"Innovation and Diffusion Models in Policy Research","author":[{"family":"Berry","given":"Frances Stokes"},{"family":"Berry","given":"William D."}],"issued":{"date-parts":[["2007"]]}}}],"schema":"https://github.com/citation-style-language/schema/raw/master/csl-citation.json"} </w:instrText>
      </w:r>
      <w:r>
        <w:fldChar w:fldCharType="separate"/>
      </w:r>
      <w:r w:rsidRPr="70739A35">
        <w:rPr>
          <w:rFonts w:ascii="Aptos" w:hAnsi="Aptos"/>
        </w:rPr>
        <w:t>(Berry and Berry, 2007)</w:t>
      </w:r>
      <w:r>
        <w:fldChar w:fldCharType="end"/>
      </w:r>
      <w:r>
        <w:t>. Labour-dominated local authorities were the most common adopters of SL throughout. The fact that local authorities with Conservative dominance mainly adopted after 2015 suggests that the new reasons may have broadened the ideological appeal of the policy. Overall, more qualitative evidence is needed from local authorities including from those that never adopted SL and from the parts of the Midlands and the South of England where SL has been absent to date.</w:t>
      </w:r>
    </w:p>
    <w:p w14:paraId="308487EE" w14:textId="77777777" w:rsidR="00EE0150" w:rsidRDefault="00EE0150" w:rsidP="00EE0150"/>
    <w:p w14:paraId="675F74C6" w14:textId="77777777" w:rsidR="00EE0150" w:rsidRPr="005A0841" w:rsidRDefault="00EE0150" w:rsidP="00EE0150">
      <w:pPr>
        <w:rPr>
          <w:rFonts w:cstheme="minorHAnsi"/>
          <w:i/>
          <w:iCs/>
        </w:rPr>
      </w:pPr>
      <w:r w:rsidRPr="005A0841">
        <w:rPr>
          <w:rFonts w:cstheme="minorHAnsi"/>
          <w:i/>
          <w:iCs/>
        </w:rPr>
        <w:t>Limitations</w:t>
      </w:r>
    </w:p>
    <w:p w14:paraId="540FBC6D" w14:textId="77777777" w:rsidR="00EE0150" w:rsidRDefault="00EE0150" w:rsidP="00EE0150">
      <w:r>
        <w:t>A limitation of assessing the temporal and spatial spread of SL is the lack of a national register. We have mitigated this via Freedom of Information Act (2000) requests with all local authorities.</w:t>
      </w:r>
    </w:p>
    <w:p w14:paraId="7ABC7C08" w14:textId="77777777" w:rsidR="00EE0150" w:rsidRDefault="00EE0150" w:rsidP="00EE0150">
      <w:pPr>
        <w:rPr>
          <w:rFonts w:cstheme="minorHAnsi"/>
        </w:rPr>
      </w:pPr>
      <w:r>
        <w:rPr>
          <w:rFonts w:cstheme="minorHAnsi"/>
        </w:rPr>
        <w:t xml:space="preserve">The size of the data set in terms of the number of adopting local authorities (N=49) sets limits for the number of indicators and domains that can be studied to avoid overfitting and we have applied a rule-of-10 </w:t>
      </w:r>
      <w:r>
        <w:rPr>
          <w:rFonts w:cstheme="minorHAnsi"/>
        </w:rPr>
        <w:fldChar w:fldCharType="begin"/>
      </w:r>
      <w:r>
        <w:rPr>
          <w:rFonts w:cstheme="minorHAnsi"/>
        </w:rPr>
        <w:instrText xml:space="preserve"> ADDIN ZOTERO_ITEM CSL_CITATION {"citationID":"rzxhWV0B","properties":{"formattedCitation":"(Kirkwood, B. and Sterne, 2003)","plainCitation":"(Kirkwood, B. and Sterne, 2003)","noteIndex":0},"citationItems":[{"id":1907,"uris":["http://zotero.org/users/714468/items/KWJZKR29"],"itemData":{"id":1907,"type":"book","edition":"2nd","event-place":"Oxford, UK","language":"en","publisher":"Wiley-Blackwell","publisher-place":"Oxford, UK","title":"Essential Medical Statistics","author":[{"family":"Kirkwood, B.","given":""},{"family":"Sterne","given":"Jonathan"}],"accessed":{"date-parts":[["2023",10,1]]},"issued":{"date-parts":[["2003"]]}}}],"schema":"https://github.com/citation-style-language/schema/raw/master/csl-citation.json"} </w:instrText>
      </w:r>
      <w:r>
        <w:rPr>
          <w:rFonts w:cstheme="minorHAnsi"/>
        </w:rPr>
        <w:fldChar w:fldCharType="separate"/>
      </w:r>
      <w:r w:rsidRPr="006027EB">
        <w:rPr>
          <w:rFonts w:ascii="Aptos" w:hAnsi="Aptos"/>
        </w:rPr>
        <w:t>(Kirkwood, B. and Sterne, 2003)</w:t>
      </w:r>
      <w:r>
        <w:rPr>
          <w:rFonts w:cstheme="minorHAnsi"/>
        </w:rPr>
        <w:fldChar w:fldCharType="end"/>
      </w:r>
      <w:r>
        <w:rPr>
          <w:rFonts w:cstheme="minorHAnsi"/>
        </w:rPr>
        <w:t xml:space="preserve">. The models can help with the interpretation of SL adoption, but we cannot rule out a role for unobserved variables due to the study design. We also studied exposure by Census 2011 classification which is based on over 50 different variables to provide an alternative with more broadly defined exposure categories. </w:t>
      </w:r>
    </w:p>
    <w:p w14:paraId="2BEF4854" w14:textId="77777777" w:rsidR="00EE0150" w:rsidRDefault="00EE0150" w:rsidP="00EE0150">
      <w:pPr>
        <w:rPr>
          <w:rFonts w:cstheme="minorHAnsi"/>
        </w:rPr>
      </w:pPr>
      <w:r>
        <w:rPr>
          <w:rFonts w:cstheme="minorHAnsi"/>
        </w:rPr>
        <w:t xml:space="preserve">The spatial autoregressive logit models consider SL adoption as a binary outcome together with spatial lags. The underlying data set also contains information on when SL was first adopted. We acknowledge that models spanning both spatial and temporal variation should be considered in future applications although the utility of such approaches would potentially still be limited by sample size. </w:t>
      </w:r>
    </w:p>
    <w:p w14:paraId="15B67717" w14:textId="77777777" w:rsidR="00EE0150" w:rsidRDefault="00EE0150" w:rsidP="00EE0150">
      <w:pPr>
        <w:rPr>
          <w:rFonts w:cstheme="minorHAnsi"/>
        </w:rPr>
      </w:pPr>
      <w:r>
        <w:rPr>
          <w:rFonts w:cstheme="minorHAnsi"/>
        </w:rPr>
        <w:t xml:space="preserve">We did not use row-standardisation for the spatial contiguity matrices assuming that local authorities with more neighbours have more opportunities to interact than if they had fewer </w:t>
      </w:r>
      <w:r>
        <w:fldChar w:fldCharType="begin"/>
      </w:r>
      <w:r>
        <w:instrText xml:space="preserve"> ADDIN ZOTERO_ITEM CSL_CITATION {"citationID":"0D2RHUuQ","properties":{"formattedCitation":"(Neumayer and Pl\\uc0\\u252{}mper, 2016)","plainCitation":"(Neumayer and Plümper, 2016)","noteIndex":0},"citationItems":[{"id":1935,"uris":["http://zotero.org/users/714468/items/WA6MNUQE"],"itemData":{"id":1935,"type":"article-journal","abstract":"In spatial econometrics, W refers to the matrix that weights the value of the spatially lagged variable of other units. As unimportant as it may appear, W specifies, or at least ought to specify, why and how other units of analysis affect the unit under observation. This article shows that theory must inform five crucial specification choices taken by researchers. Specifically, the connectivity variable employed in W must capture the causal mechanism of spatial dependence. The specification of W further determines the relative relevance of source units from which spatial dependence emanates, and whether receiving units are assumed to be identically or differentially exposed to spatial stimulus. Multiple dimensions of spatial dependence can be modeled as independent, substitutive or conditional links. Finally, spatial effects need not go exclusively in one direction, but can be bi-directional; recipients can simultaneously experience positive spatial dependence from some sources and negative dependence from others. The importance of W stands in stark contrast to applied researchers’ typical use of crude proxy variables (such as geographical proximity) to measure true connectivity, and the practice of adopting standard modeling conventions rather than substantive theory to specify W. This study demonstrates which assumptions these conventions impose on specification choices, and argues that theories of spatial dependence will often conflict with them.","container-title":"Political Science Research and Methods","DOI":"10.1017/psrm.2014.40","ISSN":"2049-8470, 2049-8489","issue":"1","language":"en","page":"175-193","source":"Cambridge University Press","title":"W","volume":"4","author":[{"family":"Neumayer","given":"Eric"},{"family":"Plümper","given":"Thomas"}],"issued":{"date-parts":[["2016",1]]}}}],"schema":"https://github.com/citation-style-language/schema/raw/master/csl-citation.json"} </w:instrText>
      </w:r>
      <w:r>
        <w:fldChar w:fldCharType="separate"/>
      </w:r>
      <w:r w:rsidRPr="006027EB">
        <w:rPr>
          <w:rFonts w:ascii="Aptos" w:hAnsi="Aptos" w:cs="Times New Roman"/>
        </w:rPr>
        <w:t>(Neumayer and Plümper, 2016)</w:t>
      </w:r>
      <w:r>
        <w:fldChar w:fldCharType="end"/>
      </w:r>
      <w:r>
        <w:rPr>
          <w:rFonts w:cstheme="minorHAnsi"/>
        </w:rPr>
        <w:t xml:space="preserve">. We do not have specific evidence for this and therefore carried out the tests with row-standardisation as a sensitivity check. The assumption would in that case be that a local authority with, say, half the number of neighbours as another one interacts twice as much with each neighbour than the other one. Row-standardisation would change the results slightly although it would not lead to different conclusions. </w:t>
      </w:r>
    </w:p>
    <w:p w14:paraId="14036627" w14:textId="77777777" w:rsidR="00EE0150" w:rsidRDefault="00EE0150" w:rsidP="00EE0150">
      <w:r>
        <w:t>There are several limitations when studying the potential role of political parties – mainly beyond the scope of this paper. These include that the data show the party with the most seats, which is not the same as having control unless they have majority and we do not know about local coalitions either. Policy adoption takes time and lags could be considered in more detailed analysis not to mention changes due to the ongoing local government reform.</w:t>
      </w:r>
    </w:p>
    <w:p w14:paraId="6172B3DE" w14:textId="77777777" w:rsidR="00EE0150" w:rsidRDefault="00EE0150" w:rsidP="00EE0150">
      <w:r>
        <w:t xml:space="preserve"> </w:t>
      </w:r>
    </w:p>
    <w:p w14:paraId="086B335A" w14:textId="77777777" w:rsidR="00EE0150" w:rsidRDefault="00EE0150" w:rsidP="00EE0150">
      <w:pPr>
        <w:rPr>
          <w:rFonts w:cstheme="minorHAnsi"/>
          <w:b/>
          <w:bCs/>
        </w:rPr>
      </w:pPr>
      <w:r>
        <w:rPr>
          <w:rFonts w:cstheme="minorHAnsi"/>
          <w:b/>
          <w:bCs/>
        </w:rPr>
        <w:t>Conclusions</w:t>
      </w:r>
    </w:p>
    <w:p w14:paraId="139DC629" w14:textId="77777777" w:rsidR="00EE0150" w:rsidRPr="00EA7DC5" w:rsidRDefault="00EE0150" w:rsidP="00EE0150">
      <w:r>
        <w:t xml:space="preserve">English Local Authorities have had the power to implement SL in the private rental sector since 2006. The schemes are intended to target problems in their areas such as low housing demand, poor housing conditions and high levels of anti-social behaviour, deprivation, crime and migration. As of 2019, only 15% of local authorities had adopted SL. </w:t>
      </w:r>
    </w:p>
    <w:p w14:paraId="26C7CACB" w14:textId="77777777" w:rsidR="00EE0150" w:rsidRPr="00EA7DC5" w:rsidRDefault="00EE0150" w:rsidP="00EE0150">
      <w:r>
        <w:t xml:space="preserve">The cumulative adoption curve showed that the policy has only been adopted at a slow rate. The adoption rate did however increase slightly at the point when the justifiable reasons for implementing SL were expanded. The spatial autoregressive logit models showed that socio-economic factors related to area deprivation were the most powerful determinants and that spatial spillovers were not statistically significant. We note that SL is absent from large parts of Mid- and South-England, so even without evidence of regional diffusion on a local scale it may still exist on a larger scale. </w:t>
      </w:r>
    </w:p>
    <w:p w14:paraId="59BB948D" w14:textId="77777777" w:rsidR="00EE0150" w:rsidRPr="001E5621" w:rsidRDefault="00EE0150" w:rsidP="00EE0150">
      <w:r>
        <w:t>We conclude that SL adoption has been slow and regionally patchy, while correlated with socio-economic factors. Resource and staffing constraints as well as internal organisational/political and policy-related factors are likely barriers. More qualitative evidence is therefore urgently needed from local authorities, including from those that never adopted SL.</w:t>
      </w:r>
    </w:p>
    <w:p w14:paraId="0C3ED804" w14:textId="77777777" w:rsidR="00EE0150" w:rsidRPr="008E3EA9" w:rsidRDefault="00EE0150" w:rsidP="00EE0150">
      <w:pPr>
        <w:spacing w:line="240" w:lineRule="auto"/>
      </w:pPr>
    </w:p>
    <w:p w14:paraId="61F1CF6B" w14:textId="77777777" w:rsidR="00EE0150" w:rsidRPr="00417862" w:rsidRDefault="00EE0150" w:rsidP="00EE0150">
      <w:pPr>
        <w:spacing w:line="240" w:lineRule="auto"/>
        <w:rPr>
          <w:b/>
          <w:bCs/>
        </w:rPr>
      </w:pPr>
      <w:r w:rsidRPr="00417862">
        <w:rPr>
          <w:b/>
          <w:bCs/>
        </w:rPr>
        <w:t xml:space="preserve">Data availability statement </w:t>
      </w:r>
    </w:p>
    <w:p w14:paraId="14AF1E08" w14:textId="77777777" w:rsidR="00EE0150" w:rsidRDefault="00EE0150" w:rsidP="00EE0150">
      <w:pPr>
        <w:rPr>
          <w:rFonts w:cstheme="minorHAnsi"/>
        </w:rPr>
      </w:pPr>
      <w:r>
        <w:rPr>
          <w:rFonts w:cstheme="minorHAnsi"/>
        </w:rPr>
        <w:t>The data on Selective Licensing schemes in England, 2006-2021, is currently under review for publication (Alexiou et al., unpublished). All data are in the meantime available from the corresponding author upon request.</w:t>
      </w:r>
    </w:p>
    <w:p w14:paraId="1D1FCA70" w14:textId="77777777" w:rsidR="00EE0150" w:rsidRDefault="00EE0150" w:rsidP="00EE0150">
      <w:pPr>
        <w:rPr>
          <w:rFonts w:cstheme="minorHAnsi"/>
        </w:rPr>
      </w:pPr>
    </w:p>
    <w:p w14:paraId="67A5E0A2" w14:textId="77777777" w:rsidR="00EE0150" w:rsidRPr="00BF4281" w:rsidRDefault="00EE0150" w:rsidP="00EE0150">
      <w:pPr>
        <w:rPr>
          <w:rFonts w:cstheme="minorHAnsi"/>
          <w:b/>
          <w:bCs/>
        </w:rPr>
      </w:pPr>
      <w:r w:rsidRPr="00BF4281">
        <w:rPr>
          <w:rFonts w:cstheme="minorHAnsi"/>
          <w:b/>
          <w:bCs/>
        </w:rPr>
        <w:t>References</w:t>
      </w:r>
    </w:p>
    <w:p w14:paraId="61A79EA9" w14:textId="77777777" w:rsidR="00EE0150" w:rsidRDefault="00EE0150" w:rsidP="00EE0150">
      <w:pPr>
        <w:pStyle w:val="Bibliography"/>
      </w:pPr>
      <w:r>
        <w:rPr>
          <w:rFonts w:cstheme="minorHAnsi"/>
        </w:rPr>
        <w:fldChar w:fldCharType="begin"/>
      </w:r>
      <w:r>
        <w:rPr>
          <w:rFonts w:cstheme="minorHAnsi"/>
        </w:rPr>
        <w:instrText xml:space="preserve"> ADDIN ZOTERO_BIBL {"uncited":[],"omitted":[],"custom":[]} CSL_BIBLIOGRAPHY </w:instrText>
      </w:r>
      <w:r>
        <w:rPr>
          <w:rFonts w:cstheme="minorHAnsi"/>
        </w:rPr>
        <w:fldChar w:fldCharType="separate"/>
      </w:r>
      <w:r>
        <w:t xml:space="preserve">Alexiou A, Mason ,Kate, Fahy ,Katie, Taylor-Robinson ,David, and Barr B, 2023, “Assessing the impact of funding cuts to local housing services on drug and alcohol related mortality: a longitudinal study using area-level data in England” </w:t>
      </w:r>
      <w:r>
        <w:rPr>
          <w:i/>
          <w:iCs/>
        </w:rPr>
        <w:t>International Journal of Housing Policy</w:t>
      </w:r>
      <w:r>
        <w:t xml:space="preserve"> </w:t>
      </w:r>
      <w:r>
        <w:rPr>
          <w:b/>
          <w:bCs/>
        </w:rPr>
        <w:t>23</w:t>
      </w:r>
      <w:r>
        <w:t>(2) 362–380</w:t>
      </w:r>
    </w:p>
    <w:p w14:paraId="767EA43D" w14:textId="77777777" w:rsidR="00EE0150" w:rsidRDefault="00EE0150" w:rsidP="00EE0150">
      <w:pPr>
        <w:pStyle w:val="Bibliography"/>
      </w:pPr>
      <w:r>
        <w:t>Andrews R W, Boyne G A, Chen A, Martin S J, 2006, “Population size and local authority performance”, Department for Communities and Local Government, London, UK, https://orca.cardiff.ac.uk/id/eprint/42547/</w:t>
      </w:r>
    </w:p>
    <w:p w14:paraId="736FB91C" w14:textId="77777777" w:rsidR="00EE0150" w:rsidRDefault="00EE0150" w:rsidP="00EE0150">
      <w:pPr>
        <w:pStyle w:val="Bibliography"/>
      </w:pPr>
      <w:r>
        <w:t xml:space="preserve">Anselin L, 2003, “Spatial Externalities, Spatial Multipliers, And Spatial Econometrics” </w:t>
      </w:r>
      <w:r>
        <w:rPr>
          <w:i/>
          <w:iCs/>
        </w:rPr>
        <w:t>International Regional Science Review</w:t>
      </w:r>
      <w:r>
        <w:t xml:space="preserve"> </w:t>
      </w:r>
      <w:r>
        <w:rPr>
          <w:b/>
          <w:bCs/>
        </w:rPr>
        <w:t>26</w:t>
      </w:r>
      <w:r>
        <w:t>(2) 153–166</w:t>
      </w:r>
    </w:p>
    <w:p w14:paraId="201D583E" w14:textId="77777777" w:rsidR="00EE0150" w:rsidRDefault="00EE0150" w:rsidP="00EE0150">
      <w:pPr>
        <w:pStyle w:val="Bibliography"/>
      </w:pPr>
      <w:r>
        <w:t xml:space="preserve">Bailey N, 2020, “Poverty and the re-growth of private renting in the UK, 1994-2018” </w:t>
      </w:r>
      <w:r>
        <w:rPr>
          <w:i/>
          <w:iCs/>
        </w:rPr>
        <w:t>PLoS ONE</w:t>
      </w:r>
      <w:r>
        <w:t xml:space="preserve"> </w:t>
      </w:r>
      <w:r>
        <w:rPr>
          <w:b/>
          <w:bCs/>
        </w:rPr>
        <w:t>15</w:t>
      </w:r>
      <w:r>
        <w:t>(2) e0228273</w:t>
      </w:r>
    </w:p>
    <w:p w14:paraId="20CEF9BF" w14:textId="77777777" w:rsidR="00EE0150" w:rsidRDefault="00EE0150" w:rsidP="00EE0150">
      <w:pPr>
        <w:pStyle w:val="Bibliography"/>
      </w:pPr>
      <w:r>
        <w:t xml:space="preserve">Batty M, 2013 </w:t>
      </w:r>
      <w:r>
        <w:rPr>
          <w:i/>
          <w:iCs/>
        </w:rPr>
        <w:t>The New Science of Cities</w:t>
      </w:r>
      <w:r>
        <w:t xml:space="preserve"> (MIT Press)</w:t>
      </w:r>
    </w:p>
    <w:p w14:paraId="3F4FE935" w14:textId="77777777" w:rsidR="00EE0150" w:rsidRDefault="00EE0150" w:rsidP="00EE0150">
      <w:pPr>
        <w:pStyle w:val="Bibliography"/>
      </w:pPr>
      <w:r>
        <w:t xml:space="preserve">Berry F S, Berry W D, 2007, “Innovation and Diffusion Models in Policy Research”, in </w:t>
      </w:r>
      <w:r>
        <w:rPr>
          <w:i/>
          <w:iCs/>
        </w:rPr>
        <w:t>Theories of the Policy Process</w:t>
      </w:r>
      <w:r>
        <w:t xml:space="preserve"> (Westview Press, Boulder, Colorado, USA)</w:t>
      </w:r>
    </w:p>
    <w:p w14:paraId="77B26167" w14:textId="77777777" w:rsidR="00EE0150" w:rsidRDefault="00EE0150" w:rsidP="00EE0150">
      <w:pPr>
        <w:pStyle w:val="Bibliography"/>
      </w:pPr>
      <w:r>
        <w:t xml:space="preserve">Blick A, 2025 </w:t>
      </w:r>
      <w:r>
        <w:rPr>
          <w:i/>
          <w:iCs/>
        </w:rPr>
        <w:t>UK Politics</w:t>
      </w:r>
      <w:r>
        <w:t xml:space="preserve"> (Oxford University Press, Oxford, UK), https://global.oup.com/ukhe/product/uk-politics-9780198907466</w:t>
      </w:r>
    </w:p>
    <w:p w14:paraId="114FB3BE" w14:textId="77777777" w:rsidR="00EE0150" w:rsidRDefault="00EE0150" w:rsidP="00EE0150">
      <w:pPr>
        <w:pStyle w:val="Bibliography"/>
      </w:pPr>
      <w:r>
        <w:t xml:space="preserve">Cairney P, Fullerton A H, Denny E St, Weible C M, 2025, “Policy process theories in Europe: A survey of who uses them, where, and why” </w:t>
      </w:r>
      <w:r>
        <w:rPr>
          <w:i/>
          <w:iCs/>
        </w:rPr>
        <w:t>European Policy Analysis</w:t>
      </w:r>
      <w:r>
        <w:t xml:space="preserve"> </w:t>
      </w:r>
      <w:r>
        <w:rPr>
          <w:b/>
          <w:bCs/>
        </w:rPr>
        <w:t>n/a</w:t>
      </w:r>
      <w:r>
        <w:t>(n/a), https://onlinelibrary.wiley.com/doi/full/10.1002/epa2.1237</w:t>
      </w:r>
    </w:p>
    <w:p w14:paraId="39AF354C" w14:textId="77777777" w:rsidR="00EE0150" w:rsidRDefault="00EE0150" w:rsidP="00EE0150">
      <w:pPr>
        <w:pStyle w:val="Bibliography"/>
      </w:pPr>
      <w:r>
        <w:t xml:space="preserve">Clark G, 1984, “Innovation diffusion: Contemporary geographical approaches” </w:t>
      </w:r>
      <w:r>
        <w:rPr>
          <w:i/>
          <w:iCs/>
        </w:rPr>
        <w:t>CATMOG (Concepts &amp; Techniques in Modern Geography)</w:t>
      </w:r>
      <w:r>
        <w:t xml:space="preserve"> </w:t>
      </w:r>
      <w:r>
        <w:rPr>
          <w:b/>
          <w:bCs/>
        </w:rPr>
        <w:t>40</w:t>
      </w:r>
    </w:p>
    <w:p w14:paraId="119C8412" w14:textId="77777777" w:rsidR="00EE0150" w:rsidRDefault="00EE0150" w:rsidP="00EE0150">
      <w:pPr>
        <w:pStyle w:val="Bibliography"/>
      </w:pPr>
      <w:r>
        <w:t xml:space="preserve">Cook S J, An S-H, Favero N, 2019, “Beyond Policy Diffusion: Spatial Econometric Models of Public Administration” </w:t>
      </w:r>
      <w:r>
        <w:rPr>
          <w:i/>
          <w:iCs/>
        </w:rPr>
        <w:t>Journal of Public Administration Research and Theory</w:t>
      </w:r>
      <w:r>
        <w:t xml:space="preserve"> </w:t>
      </w:r>
      <w:r>
        <w:rPr>
          <w:b/>
          <w:bCs/>
        </w:rPr>
        <w:t>29</w:t>
      </w:r>
      <w:r>
        <w:t>(4) 591–608</w:t>
      </w:r>
    </w:p>
    <w:p w14:paraId="3C8369C0" w14:textId="77777777" w:rsidR="00EE0150" w:rsidRDefault="00EE0150" w:rsidP="00EE0150">
      <w:pPr>
        <w:pStyle w:val="Bibliography"/>
      </w:pPr>
      <w:r>
        <w:t xml:space="preserve">Craig P, Campbell M, Deidda M, Dundas R, Green J, Katikireddi S V, Lewsey J, Ogilvie D, de Vocht F, White M, 2025, “Using natural experiments to evaluate population health interventions: a framework for producers and users of evidence” </w:t>
      </w:r>
      <w:r>
        <w:rPr>
          <w:i/>
          <w:iCs/>
        </w:rPr>
        <w:t>Public Health Research (Southampton, England)</w:t>
      </w:r>
      <w:r>
        <w:t xml:space="preserve"> </w:t>
      </w:r>
      <w:r>
        <w:rPr>
          <w:b/>
          <w:bCs/>
        </w:rPr>
        <w:t>13</w:t>
      </w:r>
      <w:r>
        <w:t>(3) 1–59</w:t>
      </w:r>
    </w:p>
    <w:p w14:paraId="187CC1F8" w14:textId="77777777" w:rsidR="00EE0150" w:rsidRDefault="00EE0150" w:rsidP="00EE0150">
      <w:pPr>
        <w:pStyle w:val="Bibliography"/>
      </w:pPr>
      <w:r>
        <w:t>Department for Communities and Local Government, 2015a, “Selective licensing in the private rented sector: a guide for local authorities”, London, UK, https://www.gov.uk/government/publications/selective-licensing-in-the-private-rented-sector-a-guide-for-local-authorities</w:t>
      </w:r>
    </w:p>
    <w:p w14:paraId="052A0B0F" w14:textId="77777777" w:rsidR="00EE0150" w:rsidRDefault="00EE0150" w:rsidP="00EE0150">
      <w:pPr>
        <w:pStyle w:val="Bibliography"/>
      </w:pPr>
      <w:r>
        <w:t>Department for Communities and Local Government, 2015b, “The English Indices of Deprivation 2015”, London, UK</w:t>
      </w:r>
    </w:p>
    <w:p w14:paraId="38F6E843" w14:textId="77777777" w:rsidR="00EE0150" w:rsidRDefault="00EE0150" w:rsidP="00EE0150">
      <w:pPr>
        <w:pStyle w:val="Bibliography"/>
      </w:pPr>
      <w:r>
        <w:t xml:space="preserve">Department for Levelling Up, Housing, and Communities, 2022a, “English Housing Survey 2021 to 2022: headline report” </w:t>
      </w:r>
      <w:r>
        <w:rPr>
          <w:i/>
          <w:iCs/>
        </w:rPr>
        <w:t>GOV.UK</w:t>
      </w:r>
      <w:r>
        <w:t>, https://www.gov.uk/government/statistics/english-housing-survey-2021-to-2022-headline-report/english-housing-survey-2021-to-2022-headline-report</w:t>
      </w:r>
    </w:p>
    <w:p w14:paraId="73391373" w14:textId="77777777" w:rsidR="00EE0150" w:rsidRDefault="00EE0150" w:rsidP="00EE0150">
      <w:pPr>
        <w:pStyle w:val="Bibliography"/>
      </w:pPr>
      <w:r>
        <w:t>Department for Levelling Up, Housing, and Communities, 2022b, “Policy paper: A fairer private rented sector”, London, UK, https://www.gov.uk/government/publications/a-fairer-private-rented-sector/a-fairer-private-rented-sector</w:t>
      </w:r>
    </w:p>
    <w:p w14:paraId="6FAC1D0F" w14:textId="77777777" w:rsidR="00EE0150" w:rsidRDefault="00EE0150" w:rsidP="00EE0150">
      <w:pPr>
        <w:pStyle w:val="Bibliography"/>
      </w:pPr>
      <w:r>
        <w:t xml:space="preserve">Dolowitz D P, Marsh D, 2000, “Learning from Abroad: The Role of Policy Transfer in Contemporary Policy-Making” </w:t>
      </w:r>
      <w:r>
        <w:rPr>
          <w:i/>
          <w:iCs/>
        </w:rPr>
        <w:t>Governance</w:t>
      </w:r>
      <w:r>
        <w:t xml:space="preserve"> </w:t>
      </w:r>
      <w:r>
        <w:rPr>
          <w:b/>
          <w:bCs/>
        </w:rPr>
        <w:t>13</w:t>
      </w:r>
      <w:r>
        <w:t>(1) 5–23</w:t>
      </w:r>
    </w:p>
    <w:p w14:paraId="38E3B313" w14:textId="77777777" w:rsidR="00EE0150" w:rsidRDefault="00EE0150" w:rsidP="00EE0150">
      <w:pPr>
        <w:pStyle w:val="Bibliography"/>
      </w:pPr>
      <w:r>
        <w:t>Dougenik J A, Chrisman ,Nicholas R., and Niemeyer D R, 1985, “An Algorithm to Construct Continuous Area Cartograms</w:t>
      </w:r>
      <w:r>
        <w:rPr>
          <w:rFonts w:ascii="Cambria Math" w:hAnsi="Cambria Math" w:cs="Cambria Math"/>
        </w:rPr>
        <w:t>∗</w:t>
      </w:r>
      <w:r>
        <w:rPr>
          <w:rFonts w:ascii="Aptos" w:hAnsi="Aptos" w:cs="Aptos"/>
        </w:rPr>
        <w:t>”</w:t>
      </w:r>
      <w:r>
        <w:t xml:space="preserve"> </w:t>
      </w:r>
      <w:r>
        <w:rPr>
          <w:i/>
          <w:iCs/>
        </w:rPr>
        <w:t>The Professional Geographer</w:t>
      </w:r>
      <w:r>
        <w:t xml:space="preserve"> </w:t>
      </w:r>
      <w:r>
        <w:rPr>
          <w:b/>
          <w:bCs/>
        </w:rPr>
        <w:t>37</w:t>
      </w:r>
      <w:r>
        <w:t>(1) 75–81</w:t>
      </w:r>
    </w:p>
    <w:p w14:paraId="1259A5AA" w14:textId="77777777" w:rsidR="00EE0150" w:rsidRDefault="00EE0150" w:rsidP="00EE0150">
      <w:pPr>
        <w:pStyle w:val="Bibliography"/>
      </w:pPr>
      <w:r>
        <w:t xml:space="preserve">Fahy K, Alexiou A, Mason K, Bennett D, Egan M, Taylor-Robinson D, Barr B, 2023, “Inequalities in local government spending on cultural, environmental and planning services: a time-trend analysis in England, Scotland, and Wales” </w:t>
      </w:r>
      <w:r>
        <w:rPr>
          <w:i/>
          <w:iCs/>
        </w:rPr>
        <w:t>BMC Public Health</w:t>
      </w:r>
      <w:r>
        <w:t xml:space="preserve"> </w:t>
      </w:r>
      <w:r>
        <w:rPr>
          <w:b/>
          <w:bCs/>
        </w:rPr>
        <w:t>23</w:t>
      </w:r>
      <w:r>
        <w:t>(1) 408</w:t>
      </w:r>
    </w:p>
    <w:p w14:paraId="1435225C" w14:textId="77777777" w:rsidR="00EE0150" w:rsidRDefault="00EE0150" w:rsidP="00EE0150">
      <w:pPr>
        <w:pStyle w:val="Bibliography"/>
      </w:pPr>
      <w:r>
        <w:t>Fink C, 2022, “cartogram3, v3.1.5”, QGIS Python Plugins Repository, https://plugins.qgis.org/plugins/cartogram3/</w:t>
      </w:r>
    </w:p>
    <w:p w14:paraId="5573CE5B" w14:textId="77777777" w:rsidR="00EE0150" w:rsidRDefault="00EE0150" w:rsidP="00EE0150">
      <w:pPr>
        <w:pStyle w:val="Bibliography"/>
      </w:pPr>
      <w:r>
        <w:t xml:space="preserve">Garlick A, Junk W M, Brown H, 2025, “How Lobbying Matters” </w:t>
      </w:r>
      <w:r>
        <w:rPr>
          <w:i/>
          <w:iCs/>
        </w:rPr>
        <w:t>Annual Review of Political Science</w:t>
      </w:r>
      <w:r>
        <w:t xml:space="preserve"> </w:t>
      </w:r>
      <w:r>
        <w:rPr>
          <w:b/>
          <w:bCs/>
        </w:rPr>
        <w:t>28</w:t>
      </w:r>
      <w:r>
        <w:t xml:space="preserve"> 24.1-24.19</w:t>
      </w:r>
    </w:p>
    <w:p w14:paraId="56C055F8" w14:textId="77777777" w:rsidR="00EE0150" w:rsidRDefault="00EE0150" w:rsidP="00EE0150">
      <w:pPr>
        <w:pStyle w:val="Bibliography"/>
      </w:pPr>
      <w:r>
        <w:t>Garrett H, Mackay M, Nicol S, Piddington J, Roys M, 2021, “The cost of poor housing in England”, BRE Group, Watford, UK</w:t>
      </w:r>
    </w:p>
    <w:p w14:paraId="2BAEEDED" w14:textId="77777777" w:rsidR="00EE0150" w:rsidRDefault="00EE0150" w:rsidP="00EE0150">
      <w:pPr>
        <w:pStyle w:val="Bibliography"/>
      </w:pPr>
      <w:r>
        <w:t xml:space="preserve">Gavens L, Holmes J, Buykx P, de Vocht F, Egan M, Grace D, Lock K, Mooney J D, Brennan A, 2019, “Processes of local alcohol policy-making in England: Does the theory of policy transfer provide useful insights into public health decision-making?” </w:t>
      </w:r>
      <w:r>
        <w:rPr>
          <w:i/>
          <w:iCs/>
        </w:rPr>
        <w:t>Health &amp; Place</w:t>
      </w:r>
      <w:r>
        <w:t xml:space="preserve"> </w:t>
      </w:r>
      <w:r>
        <w:rPr>
          <w:b/>
          <w:bCs/>
        </w:rPr>
        <w:t>57</w:t>
      </w:r>
      <w:r>
        <w:t xml:space="preserve"> 358–364</w:t>
      </w:r>
    </w:p>
    <w:p w14:paraId="70EA66F9" w14:textId="77777777" w:rsidR="00EE0150" w:rsidRDefault="00EE0150" w:rsidP="00EE0150">
      <w:pPr>
        <w:pStyle w:val="Bibliography"/>
      </w:pPr>
      <w:r>
        <w:t xml:space="preserve">Gertler P J, Martinez S, Premand P, Rawlings L B, Vermeersch C M J, 2016 </w:t>
      </w:r>
      <w:r>
        <w:rPr>
          <w:i/>
          <w:iCs/>
        </w:rPr>
        <w:t>Impact Evaluation in Practice, Second Edition</w:t>
      </w:r>
      <w:r>
        <w:t xml:space="preserve"> (World Bank Publications)</w:t>
      </w:r>
    </w:p>
    <w:p w14:paraId="6B7D6267" w14:textId="77777777" w:rsidR="00EE0150" w:rsidRDefault="00EE0150" w:rsidP="00EE0150">
      <w:pPr>
        <w:pStyle w:val="Bibliography"/>
      </w:pPr>
      <w:r>
        <w:t xml:space="preserve">Greenland S, Daniel R, Pearce N, 2016, “Outcome modelling strategies in epidemiology: traditional methods and basic alternatives” </w:t>
      </w:r>
      <w:r>
        <w:rPr>
          <w:i/>
          <w:iCs/>
        </w:rPr>
        <w:t>International Journal of Epidemiology</w:t>
      </w:r>
      <w:r>
        <w:t xml:space="preserve"> </w:t>
      </w:r>
      <w:r>
        <w:rPr>
          <w:b/>
          <w:bCs/>
        </w:rPr>
        <w:t>45</w:t>
      </w:r>
      <w:r>
        <w:t>(2) 565–575</w:t>
      </w:r>
    </w:p>
    <w:p w14:paraId="443504AD" w14:textId="77777777" w:rsidR="00EE0150" w:rsidRDefault="00EE0150" w:rsidP="00EE0150">
      <w:pPr>
        <w:pStyle w:val="Bibliography"/>
      </w:pPr>
      <w:r>
        <w:t xml:space="preserve">Harris R, Sleight P, Webber R, 2005 </w:t>
      </w:r>
      <w:r>
        <w:rPr>
          <w:i/>
          <w:iCs/>
        </w:rPr>
        <w:t>Geodemographics, GIS and Neighbourhood Targeting</w:t>
      </w:r>
      <w:r>
        <w:t xml:space="preserve"> (John Wiley and Sons)</w:t>
      </w:r>
    </w:p>
    <w:p w14:paraId="4101330B" w14:textId="77777777" w:rsidR="00EE0150" w:rsidRDefault="00EE0150" w:rsidP="00EE0150">
      <w:pPr>
        <w:pStyle w:val="Bibliography"/>
      </w:pPr>
      <w:r>
        <w:t xml:space="preserve">Hastings A, Bailey N, Bramley G, Gannon M, 2017, “Austerity urbanism in England: The ‘regressive redistribution’ of local government services and the impact on the poor and marginalised” </w:t>
      </w:r>
      <w:r>
        <w:rPr>
          <w:i/>
          <w:iCs/>
        </w:rPr>
        <w:t>Environment and Planning A: Economy and Space</w:t>
      </w:r>
      <w:r>
        <w:t xml:space="preserve"> </w:t>
      </w:r>
      <w:r>
        <w:rPr>
          <w:b/>
          <w:bCs/>
        </w:rPr>
        <w:t>49</w:t>
      </w:r>
      <w:r>
        <w:t>(9) 2007–2024</w:t>
      </w:r>
    </w:p>
    <w:p w14:paraId="661010CC" w14:textId="77777777" w:rsidR="00EE0150" w:rsidRDefault="00EE0150" w:rsidP="00EE0150">
      <w:pPr>
        <w:pStyle w:val="Bibliography"/>
      </w:pPr>
      <w:r>
        <w:t xml:space="preserve">Haupt W, 2023, “Policy diffusion, policy transfer, and policy mobilities revisited: A call for more interdisciplinary approaches in human geography” </w:t>
      </w:r>
      <w:r>
        <w:rPr>
          <w:i/>
          <w:iCs/>
        </w:rPr>
        <w:t>Geography Compass</w:t>
      </w:r>
      <w:r>
        <w:t xml:space="preserve"> </w:t>
      </w:r>
      <w:r>
        <w:rPr>
          <w:b/>
          <w:bCs/>
        </w:rPr>
        <w:t>17</w:t>
      </w:r>
      <w:r>
        <w:t>(5) e12688</w:t>
      </w:r>
    </w:p>
    <w:p w14:paraId="11616038" w14:textId="77777777" w:rsidR="00EE0150" w:rsidRDefault="00EE0150" w:rsidP="00EE0150">
      <w:pPr>
        <w:pStyle w:val="Bibliography"/>
      </w:pPr>
      <w:r>
        <w:t xml:space="preserve">Howden-Chapman P, Bennett J, Edwards R, Jacobs D, Nathan K, Ormandy D, 2023, “Review of the Impact of Housing Quality on Inequalities in Health and Well-Being” </w:t>
      </w:r>
      <w:r>
        <w:rPr>
          <w:i/>
          <w:iCs/>
        </w:rPr>
        <w:t>Annual Review of Public Health</w:t>
      </w:r>
      <w:r>
        <w:t xml:space="preserve"> </w:t>
      </w:r>
      <w:r>
        <w:rPr>
          <w:b/>
          <w:bCs/>
        </w:rPr>
        <w:t>44</w:t>
      </w:r>
      <w:r>
        <w:t>(1) 233–254</w:t>
      </w:r>
    </w:p>
    <w:p w14:paraId="5FB4EC5B" w14:textId="77777777" w:rsidR="00EE0150" w:rsidRDefault="00EE0150" w:rsidP="00EE0150">
      <w:pPr>
        <w:pStyle w:val="Bibliography"/>
      </w:pPr>
      <w:r>
        <w:t xml:space="preserve">Howlett M, Ramesh M, Perl A, 2009 </w:t>
      </w:r>
      <w:r>
        <w:rPr>
          <w:i/>
          <w:iCs/>
        </w:rPr>
        <w:t>Studying Public Policy: Policy Cycles &amp; Policy Subsystems</w:t>
      </w:r>
      <w:r>
        <w:t xml:space="preserve"> (Oxford University Press)</w:t>
      </w:r>
    </w:p>
    <w:p w14:paraId="3ADC38C0" w14:textId="77777777" w:rsidR="00EE0150" w:rsidRDefault="00EE0150" w:rsidP="00EE0150">
      <w:pPr>
        <w:pStyle w:val="Bibliography"/>
      </w:pPr>
      <w:r>
        <w:t xml:space="preserve">Jeffery D, 2025, “Broke and Broken: The Crises Facing Local Government in England” </w:t>
      </w:r>
      <w:r>
        <w:rPr>
          <w:i/>
          <w:iCs/>
        </w:rPr>
        <w:t>The Political Quarterly</w:t>
      </w:r>
      <w:r>
        <w:t xml:space="preserve"> </w:t>
      </w:r>
      <w:r>
        <w:rPr>
          <w:b/>
          <w:bCs/>
        </w:rPr>
        <w:t>96</w:t>
      </w:r>
      <w:r>
        <w:t>(1) 199–205</w:t>
      </w:r>
    </w:p>
    <w:p w14:paraId="2D79E17D" w14:textId="77777777" w:rsidR="00EE0150" w:rsidRDefault="00EE0150" w:rsidP="00EE0150">
      <w:pPr>
        <w:pStyle w:val="Bibliography"/>
      </w:pPr>
      <w:r>
        <w:t xml:space="preserve">Kirkwood, B., Sterne J, 2003 </w:t>
      </w:r>
      <w:r>
        <w:rPr>
          <w:i/>
          <w:iCs/>
        </w:rPr>
        <w:t>Essential Medical Statistics</w:t>
      </w:r>
      <w:r>
        <w:t xml:space="preserve"> 2nd edition (Wiley-Blackwell, Oxford, UK)</w:t>
      </w:r>
    </w:p>
    <w:p w14:paraId="37CC33AE" w14:textId="77777777" w:rsidR="00EE0150" w:rsidRDefault="00EE0150" w:rsidP="00EE0150">
      <w:pPr>
        <w:pStyle w:val="Bibliography"/>
      </w:pPr>
      <w:r>
        <w:t>Lawrence S, Wilson P, 2019, “An independent review of the use and effectiveness of selective licensing”, Ministry of Housing, Communities and Local Government, London, UK, https://www.gov.uk/government/publications/selective-licensing-review</w:t>
      </w:r>
    </w:p>
    <w:p w14:paraId="2FE767B0" w14:textId="77777777" w:rsidR="00EE0150" w:rsidRDefault="00EE0150" w:rsidP="00EE0150">
      <w:pPr>
        <w:pStyle w:val="Bibliography"/>
      </w:pPr>
      <w:r>
        <w:t>Lawson J, 2025, “Open Council Data UK - compositions councillors parties wards elections emails”, http://www.opencouncildata.co.uk/</w:t>
      </w:r>
    </w:p>
    <w:p w14:paraId="5B819DBB" w14:textId="77777777" w:rsidR="00EE0150" w:rsidRDefault="00EE0150" w:rsidP="00EE0150">
      <w:pPr>
        <w:pStyle w:val="Bibliography"/>
      </w:pPr>
      <w:r>
        <w:t xml:space="preserve">Lundin M, Öberg P, Josefsson C, 2015, “Learning from Success: Are Successful Governments Role Models?” </w:t>
      </w:r>
      <w:r>
        <w:rPr>
          <w:i/>
          <w:iCs/>
        </w:rPr>
        <w:t>Public Administration</w:t>
      </w:r>
      <w:r>
        <w:t xml:space="preserve"> </w:t>
      </w:r>
      <w:r>
        <w:rPr>
          <w:b/>
          <w:bCs/>
        </w:rPr>
        <w:t>93</w:t>
      </w:r>
      <w:r>
        <w:t>(3) 733–752</w:t>
      </w:r>
    </w:p>
    <w:p w14:paraId="168D0420" w14:textId="77777777" w:rsidR="00EE0150" w:rsidRDefault="00EE0150" w:rsidP="00EE0150">
      <w:pPr>
        <w:pStyle w:val="Bibliography"/>
      </w:pPr>
      <w:r>
        <w:t xml:space="preserve">Maclennan D, Pawson H, Gibb K, Chisholm S, Hulchanski D, 2019, “Shaping futures: changing the housing story (2017)” </w:t>
      </w:r>
      <w:r>
        <w:rPr>
          <w:i/>
          <w:iCs/>
        </w:rPr>
        <w:t>CaCHE</w:t>
      </w:r>
      <w:r>
        <w:t>, https://housingevidence.ac.uk/publications/shaping-futures-2017/</w:t>
      </w:r>
    </w:p>
    <w:p w14:paraId="3AE3F666" w14:textId="77777777" w:rsidR="00EE0150" w:rsidRDefault="00EE0150" w:rsidP="00EE0150">
      <w:pPr>
        <w:pStyle w:val="Bibliography"/>
      </w:pPr>
      <w:r>
        <w:t xml:space="preserve">Marmot M, Allen J, Boyce T, Goldblatt P, Morrison J, 2020, “Health Equity in England: The Marmot Review 10 Years On” </w:t>
      </w:r>
      <w:r>
        <w:rPr>
          <w:i/>
          <w:iCs/>
        </w:rPr>
        <w:t>The Health Foundation</w:t>
      </w:r>
      <w:r>
        <w:t>, https://www.health.org.uk/publications/reports/the-marmot-review-10-years-on</w:t>
      </w:r>
    </w:p>
    <w:p w14:paraId="5670786D" w14:textId="77777777" w:rsidR="00EE0150" w:rsidRDefault="00EE0150" w:rsidP="00EE0150">
      <w:pPr>
        <w:pStyle w:val="Bibliography"/>
      </w:pPr>
      <w:r>
        <w:t>McGill E, Egan M, Petticrew M, Mountford L, Milton S, Whitehead M, Lock K, 2015, “Trading quality for relevance: non-health decision-makers’ use of evidence on the social determinants of health”, https://bmjopen.bmj.com/content/5/4/e007053</w:t>
      </w:r>
    </w:p>
    <w:p w14:paraId="33C8D17A" w14:textId="77777777" w:rsidR="00EE0150" w:rsidRDefault="00EE0150" w:rsidP="00EE0150">
      <w:pPr>
        <w:pStyle w:val="Bibliography"/>
      </w:pPr>
      <w:r>
        <w:t xml:space="preserve">McKee K, Muir J, Moore T, 2017, “Housing policy in the UK: the importance of spatial nuance” </w:t>
      </w:r>
      <w:r>
        <w:rPr>
          <w:i/>
          <w:iCs/>
        </w:rPr>
        <w:t>Housing Studies</w:t>
      </w:r>
      <w:r>
        <w:t>, https://www.tandfonline.com/doi/full/10.1080/02673037.2016.1181722</w:t>
      </w:r>
    </w:p>
    <w:p w14:paraId="3A191408" w14:textId="77777777" w:rsidR="00EE0150" w:rsidRDefault="00EE0150" w:rsidP="00EE0150">
      <w:pPr>
        <w:pStyle w:val="Bibliography"/>
      </w:pPr>
      <w:r>
        <w:t>Ministry of Housing, Communities and Local Government, 2024a, “</w:t>
      </w:r>
      <w:r>
        <w:rPr>
          <w:rFonts w:ascii="Arial" w:hAnsi="Arial" w:cs="Arial"/>
        </w:rPr>
        <w:t>​​</w:t>
      </w:r>
      <w:r>
        <w:t>English Devolution White Paper</w:t>
      </w:r>
      <w:r>
        <w:rPr>
          <w:rFonts w:ascii="Arial" w:hAnsi="Arial" w:cs="Arial"/>
        </w:rPr>
        <w:t>​</w:t>
      </w:r>
      <w:r>
        <w:t>: Power and partnership: Foundations for growth</w:t>
      </w:r>
      <w:r>
        <w:rPr>
          <w:rFonts w:ascii="Aptos" w:hAnsi="Aptos" w:cs="Aptos"/>
        </w:rPr>
        <w:t>”</w:t>
      </w:r>
      <w:r>
        <w:t xml:space="preserve"> </w:t>
      </w:r>
      <w:r>
        <w:rPr>
          <w:i/>
          <w:iCs/>
        </w:rPr>
        <w:t>GOV.UK</w:t>
      </w:r>
      <w:r>
        <w:t>, https://www.gov.uk/government/publications/english-devolution-white-paper-power-and-partnership-foundations-for-growth</w:t>
      </w:r>
    </w:p>
    <w:p w14:paraId="6F224128" w14:textId="77777777" w:rsidR="00EE0150" w:rsidRDefault="00EE0150" w:rsidP="00EE0150">
      <w:pPr>
        <w:pStyle w:val="Bibliography"/>
      </w:pPr>
      <w:r>
        <w:t>Ministry of Housing, Communities and Local Government, 2024b, “Selective licensing in the private rented sector: a guide for local authorities”, https://www.gov.uk/government/publications/selective-licensing-in-the-private-rented-sector-a-guide-for-local-authorities/selective-licensing-in-the-private-rented-sector-a-guide-for-local-authorities</w:t>
      </w:r>
    </w:p>
    <w:p w14:paraId="102A9BF6" w14:textId="77777777" w:rsidR="00EE0150" w:rsidRDefault="00EE0150" w:rsidP="00EE0150">
      <w:pPr>
        <w:pStyle w:val="Bibliography"/>
      </w:pPr>
      <w:r>
        <w:t>National Audit Office, 2021a, “Evaluating government spending”, National Audit Office, https://www.nao.org.uk/reports/evaluating-government-spending/</w:t>
      </w:r>
    </w:p>
    <w:p w14:paraId="4DADECBB" w14:textId="77777777" w:rsidR="00EE0150" w:rsidRDefault="00EE0150" w:rsidP="00EE0150">
      <w:pPr>
        <w:pStyle w:val="Bibliography"/>
      </w:pPr>
      <w:r>
        <w:t>National Audit Office, 2021b, “Regulation of private renting”, National Audit Office, London, UK</w:t>
      </w:r>
    </w:p>
    <w:p w14:paraId="245F9CE6" w14:textId="77777777" w:rsidR="00EE0150" w:rsidRDefault="00EE0150" w:rsidP="00EE0150">
      <w:pPr>
        <w:pStyle w:val="Bibliography"/>
      </w:pPr>
      <w:r>
        <w:t>National Residential Landlords Association, 2024, “The Enforcement Lottery: Local authority enforcement 2021-2023”, https://www.nrla.org.uk/research/special-reports/enforcement-lottery-2021-2023</w:t>
      </w:r>
    </w:p>
    <w:p w14:paraId="0312EAAA" w14:textId="77777777" w:rsidR="00EE0150" w:rsidRDefault="00EE0150" w:rsidP="00EE0150">
      <w:pPr>
        <w:pStyle w:val="Bibliography"/>
      </w:pPr>
      <w:r>
        <w:t xml:space="preserve">Neumayer E, Plümper T, 2016, “W” </w:t>
      </w:r>
      <w:r>
        <w:rPr>
          <w:i/>
          <w:iCs/>
        </w:rPr>
        <w:t>Political Science Research and Methods</w:t>
      </w:r>
      <w:r>
        <w:t xml:space="preserve"> </w:t>
      </w:r>
      <w:r>
        <w:rPr>
          <w:b/>
          <w:bCs/>
        </w:rPr>
        <w:t>4</w:t>
      </w:r>
      <w:r>
        <w:t>(1) 175–193</w:t>
      </w:r>
    </w:p>
    <w:p w14:paraId="07C13DB3" w14:textId="77777777" w:rsidR="00EE0150" w:rsidRDefault="00EE0150" w:rsidP="00EE0150">
      <w:pPr>
        <w:pStyle w:val="Bibliography"/>
      </w:pPr>
      <w:r>
        <w:t>Office for National Statistics, 2023, “2011 residential-based area classifications”, https://www.ons.gov.uk/methodology/geography/geographicalproducts/areaclassifications/2011areaclassifications</w:t>
      </w:r>
    </w:p>
    <w:p w14:paraId="1B68A984" w14:textId="77777777" w:rsidR="00EE0150" w:rsidRDefault="00EE0150" w:rsidP="00EE0150">
      <w:pPr>
        <w:pStyle w:val="Bibliography"/>
      </w:pPr>
      <w:r>
        <w:t>Office of the Deputy Prime Minister, 2004, “Explanatory Notes to Housing Act 2004”, Queen’s Printer of Acts of Parliament, https://www.legislation.gov.uk/ukpga/2004/34/notes/contents</w:t>
      </w:r>
    </w:p>
    <w:p w14:paraId="193BDAE1" w14:textId="77777777" w:rsidR="00EE0150" w:rsidRDefault="00EE0150" w:rsidP="00EE0150">
      <w:pPr>
        <w:pStyle w:val="Bibliography"/>
      </w:pPr>
      <w:r>
        <w:t>ONS, 2015, “2011 Census: Aggregate data (England and Wales)”, Office for National Statistics, http://www.nationalarchives.gov.uk/doc/open-government-licence/version/2</w:t>
      </w:r>
    </w:p>
    <w:p w14:paraId="28489B3B" w14:textId="77777777" w:rsidR="00EE0150" w:rsidRDefault="00EE0150" w:rsidP="00EE0150">
      <w:pPr>
        <w:pStyle w:val="Bibliography"/>
      </w:pPr>
      <w:r>
        <w:t>ONS, 2021, “The National Statistics Socio-economic classification (NS-SEC)”, https://www.ons.gov.uk/methodology/classificationsandstandards/otherclassifications/thenationalstatisticssocioeconomicclassificationnssecrebasedonsoc2010</w:t>
      </w:r>
    </w:p>
    <w:p w14:paraId="0477EC15" w14:textId="77777777" w:rsidR="00EE0150" w:rsidRDefault="00EE0150" w:rsidP="00EE0150">
      <w:pPr>
        <w:pStyle w:val="Bibliography"/>
      </w:pPr>
      <w:r>
        <w:t xml:space="preserve">Petersen J, Alexiou A, Brewerton D, Cornelsen L, Courtin E, Cummins S, Marks D, Seguin M, Stewart J, Thompson K, Egan M, 2022, “Impact of selective licensing schemes for private rental housing on mental health and social outcomes in Greater London, England: a natural experiment study” </w:t>
      </w:r>
      <w:r>
        <w:rPr>
          <w:i/>
          <w:iCs/>
        </w:rPr>
        <w:t>BMJ Open</w:t>
      </w:r>
      <w:r>
        <w:t xml:space="preserve"> </w:t>
      </w:r>
      <w:r>
        <w:rPr>
          <w:b/>
          <w:bCs/>
        </w:rPr>
        <w:t>12</w:t>
      </w:r>
      <w:r>
        <w:t>(12) e065747</w:t>
      </w:r>
    </w:p>
    <w:p w14:paraId="07A8A1F5" w14:textId="77777777" w:rsidR="00EE0150" w:rsidRDefault="00EE0150" w:rsidP="00EE0150">
      <w:pPr>
        <w:pStyle w:val="Bibliography"/>
      </w:pPr>
      <w:r>
        <w:t>Phillips D, Hodge L, Harris T, 2019, “English local government funding: trends and challenges in 2019 and beyond”, https://ifs.org.uk/publications/english-local-government-funding-trends-and-challenges-2019-and-beyond-0</w:t>
      </w:r>
    </w:p>
    <w:p w14:paraId="6B59F84C" w14:textId="77777777" w:rsidR="00EE0150" w:rsidRDefault="00EE0150" w:rsidP="00EE0150">
      <w:pPr>
        <w:pStyle w:val="Bibliography"/>
      </w:pPr>
      <w:r>
        <w:t xml:space="preserve">Prince R, 2012, “Policy transfer, consultants and the geographies of governance” </w:t>
      </w:r>
      <w:r>
        <w:rPr>
          <w:i/>
          <w:iCs/>
        </w:rPr>
        <w:t>Progress in Human Geography</w:t>
      </w:r>
      <w:r>
        <w:t xml:space="preserve"> </w:t>
      </w:r>
      <w:r>
        <w:rPr>
          <w:b/>
          <w:bCs/>
        </w:rPr>
        <w:t>36</w:t>
      </w:r>
      <w:r>
        <w:t>(2) 188–203</w:t>
      </w:r>
    </w:p>
    <w:p w14:paraId="75977E52" w14:textId="77777777" w:rsidR="00EE0150" w:rsidRDefault="00EE0150" w:rsidP="00EE0150">
      <w:pPr>
        <w:pStyle w:val="Bibliography"/>
      </w:pPr>
      <w:r>
        <w:t xml:space="preserve">Redhead G, Lynch R, 2024, “The unfairness of place: A cultural history of the UK’s ‘postcode lottery’” </w:t>
      </w:r>
      <w:r>
        <w:rPr>
          <w:i/>
          <w:iCs/>
        </w:rPr>
        <w:t>Health &amp; Place</w:t>
      </w:r>
      <w:r>
        <w:t xml:space="preserve"> </w:t>
      </w:r>
      <w:r>
        <w:rPr>
          <w:b/>
          <w:bCs/>
        </w:rPr>
        <w:t>90</w:t>
      </w:r>
      <w:r>
        <w:t xml:space="preserve"> 103301</w:t>
      </w:r>
    </w:p>
    <w:p w14:paraId="4FD5F804" w14:textId="77777777" w:rsidR="00EE0150" w:rsidRDefault="00EE0150" w:rsidP="00EE0150">
      <w:pPr>
        <w:pStyle w:val="Bibliography"/>
      </w:pPr>
      <w:r>
        <w:t xml:space="preserve">Schönefeld J J, Hildén M, Schulze K, Sorvali J, 2023, “What motivates and hinders municipal adaptation policy? Exploring vertical and horizontal diffusion in Hessen and Finland” </w:t>
      </w:r>
      <w:r>
        <w:rPr>
          <w:i/>
          <w:iCs/>
        </w:rPr>
        <w:t>Regional Environmental Change</w:t>
      </w:r>
      <w:r>
        <w:t xml:space="preserve"> </w:t>
      </w:r>
      <w:r>
        <w:rPr>
          <w:b/>
          <w:bCs/>
        </w:rPr>
        <w:t>23</w:t>
      </w:r>
      <w:r>
        <w:t>(2) 53</w:t>
      </w:r>
    </w:p>
    <w:p w14:paraId="5E987E67" w14:textId="77777777" w:rsidR="00EE0150" w:rsidRDefault="00EE0150" w:rsidP="00EE0150">
      <w:pPr>
        <w:pStyle w:val="Bibliography"/>
      </w:pPr>
      <w:r>
        <w:t xml:space="preserve">Shipan C R, Volden C, 2008, “The Mechanisms of Policy Diffusion” </w:t>
      </w:r>
      <w:r>
        <w:rPr>
          <w:i/>
          <w:iCs/>
        </w:rPr>
        <w:t>American Journal of Political Science</w:t>
      </w:r>
      <w:r>
        <w:t xml:space="preserve"> </w:t>
      </w:r>
      <w:r>
        <w:rPr>
          <w:b/>
          <w:bCs/>
        </w:rPr>
        <w:t>52</w:t>
      </w:r>
      <w:r>
        <w:t>(4) 840–857</w:t>
      </w:r>
    </w:p>
    <w:p w14:paraId="1B36242A" w14:textId="77777777" w:rsidR="00EE0150" w:rsidRDefault="00EE0150" w:rsidP="00EE0150">
      <w:pPr>
        <w:pStyle w:val="Bibliography"/>
      </w:pPr>
      <w:r>
        <w:t xml:space="preserve">Shipan C R, Volden C, 2012, “Policy Diffusion: Seven Lessons for Scholars and Practitioners” </w:t>
      </w:r>
      <w:r>
        <w:rPr>
          <w:i/>
          <w:iCs/>
        </w:rPr>
        <w:t>Public Administration Review</w:t>
      </w:r>
      <w:r>
        <w:t xml:space="preserve"> </w:t>
      </w:r>
      <w:r>
        <w:rPr>
          <w:b/>
          <w:bCs/>
        </w:rPr>
        <w:t>72</w:t>
      </w:r>
      <w:r>
        <w:t>(6) 788–796</w:t>
      </w:r>
    </w:p>
    <w:p w14:paraId="07162492" w14:textId="77777777" w:rsidR="00EE0150" w:rsidRDefault="00EE0150" w:rsidP="00EE0150">
      <w:pPr>
        <w:pStyle w:val="Bibliography"/>
      </w:pPr>
      <w:r>
        <w:t xml:space="preserve">Smith A M, 2014, “Police.uk and Data.police.uk: Developing Open Crime and Justice Data for the UK.” </w:t>
      </w:r>
      <w:r>
        <w:rPr>
          <w:i/>
          <w:iCs/>
        </w:rPr>
        <w:t>JeDEM - eJournal of eDemocracy and Open Government</w:t>
      </w:r>
      <w:r>
        <w:t xml:space="preserve"> </w:t>
      </w:r>
      <w:r>
        <w:rPr>
          <w:b/>
          <w:bCs/>
        </w:rPr>
        <w:t>6</w:t>
      </w:r>
      <w:r>
        <w:t>(1) 87–96</w:t>
      </w:r>
    </w:p>
    <w:p w14:paraId="7785A930" w14:textId="77777777" w:rsidR="00EE0150" w:rsidRDefault="00EE0150" w:rsidP="00EE0150">
      <w:pPr>
        <w:pStyle w:val="Bibliography"/>
      </w:pPr>
      <w:r>
        <w:t xml:space="preserve">Spinelli D, 2022, “Fitting spatial autoregressive logit and probit models using Stata: The spatbinary command” </w:t>
      </w:r>
      <w:r>
        <w:rPr>
          <w:i/>
          <w:iCs/>
        </w:rPr>
        <w:t>The Stata Journal</w:t>
      </w:r>
      <w:r>
        <w:t xml:space="preserve"> </w:t>
      </w:r>
      <w:r>
        <w:rPr>
          <w:b/>
          <w:bCs/>
        </w:rPr>
        <w:t>22</w:t>
      </w:r>
      <w:r>
        <w:t>(2) 293–318</w:t>
      </w:r>
    </w:p>
    <w:p w14:paraId="5DB88076" w14:textId="77777777" w:rsidR="00EE0150" w:rsidRDefault="00EE0150" w:rsidP="00EE0150">
      <w:pPr>
        <w:rPr>
          <w:rFonts w:cstheme="minorHAnsi"/>
          <w:b/>
        </w:rPr>
      </w:pPr>
      <w:r>
        <w:rPr>
          <w:rFonts w:cstheme="minorHAnsi"/>
        </w:rPr>
        <w:fldChar w:fldCharType="end"/>
      </w:r>
    </w:p>
    <w:p w14:paraId="0A25099C" w14:textId="77777777" w:rsidR="00EE0150" w:rsidRDefault="00EE0150" w:rsidP="00EE0150">
      <w:pPr>
        <w:rPr>
          <w:rFonts w:cstheme="minorHAnsi"/>
          <w:b/>
          <w:bCs/>
        </w:rPr>
      </w:pPr>
      <w:r>
        <w:rPr>
          <w:rFonts w:cstheme="minorHAnsi"/>
          <w:b/>
          <w:bCs/>
        </w:rPr>
        <w:br w:type="page"/>
      </w:r>
    </w:p>
    <w:p w14:paraId="49EE57E0" w14:textId="215868CE" w:rsidR="00EE0150" w:rsidRPr="005A6C1A" w:rsidRDefault="00EE0150" w:rsidP="00EE0150">
      <w:pPr>
        <w:rPr>
          <w:rFonts w:cstheme="minorHAnsi"/>
          <w:b/>
          <w:bCs/>
        </w:rPr>
      </w:pPr>
      <w:r>
        <w:rPr>
          <w:rFonts w:cstheme="minorHAnsi"/>
          <w:b/>
          <w:bCs/>
        </w:rPr>
        <w:t xml:space="preserve">FIGURE AND </w:t>
      </w:r>
      <w:r w:rsidRPr="005A6C1A">
        <w:rPr>
          <w:rFonts w:cstheme="minorHAnsi"/>
          <w:b/>
          <w:bCs/>
        </w:rPr>
        <w:t>TABLES</w:t>
      </w:r>
    </w:p>
    <w:p w14:paraId="482A51DB" w14:textId="55F5BDCE" w:rsidR="00EE0150" w:rsidRPr="00EE0150" w:rsidRDefault="002D13A0" w:rsidP="00EE0150">
      <w:pPr>
        <w:pStyle w:val="Caption"/>
        <w:rPr>
          <w:i w:val="0"/>
          <w:iCs w:val="0"/>
        </w:rPr>
      </w:pPr>
      <w:r>
        <w:rPr>
          <w:i w:val="0"/>
          <w:iCs w:val="0"/>
          <w:noProof/>
          <w14:ligatures w14:val="standardContextual"/>
        </w:rPr>
        <w:drawing>
          <wp:inline distT="0" distB="0" distL="0" distR="0" wp14:anchorId="4F7F71EF" wp14:editId="31712DBE">
            <wp:extent cx="5943600" cy="3041540"/>
            <wp:effectExtent l="0" t="0" r="0" b="6985"/>
            <wp:docPr id="909543902" name="Picture 1"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43902" name="Picture 1" descr="A screenshot of a computer generated image&#10;&#10;AI-generated content may be incorrect."/>
                    <pic:cNvPicPr/>
                  </pic:nvPicPr>
                  <pic:blipFill rotWithShape="1">
                    <a:blip r:embed="rId23" cstate="print">
                      <a:extLst>
                        <a:ext uri="{28A0092B-C50C-407E-A947-70E740481C1C}">
                          <a14:useLocalDpi xmlns:a14="http://schemas.microsoft.com/office/drawing/2010/main" val="0"/>
                        </a:ext>
                      </a:extLst>
                    </a:blip>
                    <a:srcRect t="27624"/>
                    <a:stretch>
                      <a:fillRect/>
                    </a:stretch>
                  </pic:blipFill>
                  <pic:spPr bwMode="auto">
                    <a:xfrm>
                      <a:off x="0" y="0"/>
                      <a:ext cx="5943600" cy="3041540"/>
                    </a:xfrm>
                    <a:prstGeom prst="rect">
                      <a:avLst/>
                    </a:prstGeom>
                    <a:ln>
                      <a:noFill/>
                    </a:ln>
                    <a:extLst>
                      <a:ext uri="{53640926-AAD7-44D8-BBD7-CCE9431645EC}">
                        <a14:shadowObscured xmlns:a14="http://schemas.microsoft.com/office/drawing/2010/main"/>
                      </a:ext>
                    </a:extLst>
                  </pic:spPr>
                </pic:pic>
              </a:graphicData>
            </a:graphic>
          </wp:inline>
        </w:drawing>
      </w:r>
    </w:p>
    <w:p w14:paraId="7E7F8414" w14:textId="0B84FFE3" w:rsidR="00EE0150" w:rsidRDefault="00EE0150" w:rsidP="00CD7D75">
      <w:pPr>
        <w:pStyle w:val="Caption"/>
      </w:pPr>
      <w:r>
        <w:t xml:space="preserve">Figure 1   </w:t>
      </w:r>
      <w:r w:rsidR="00CD7D75">
        <w:t xml:space="preserve">Selective Licensing (SL) policy adoption by local authorities in England, 2006-19 (left panel). Proportion of population in receipt of </w:t>
      </w:r>
      <w:r w:rsidR="00E97C5E">
        <w:t>I</w:t>
      </w:r>
      <w:r w:rsidR="00CD7D75">
        <w:t xml:space="preserve">ncome </w:t>
      </w:r>
      <w:r w:rsidR="00E97C5E">
        <w:t>S</w:t>
      </w:r>
      <w:r w:rsidR="00CD7D75">
        <w:t>upport quintiles in 2012 (right panel). The area of each local authority has been scaled relative to the number of people renting privately (Census 2011).</w:t>
      </w:r>
    </w:p>
    <w:p w14:paraId="2801486C" w14:textId="77777777" w:rsidR="00EE0150" w:rsidRPr="00EE0150" w:rsidRDefault="00EE0150" w:rsidP="00EE0150"/>
    <w:p w14:paraId="57ADFAAD" w14:textId="57B965B4" w:rsidR="00EE0150" w:rsidRDefault="00EE0150" w:rsidP="00EE0150">
      <w:pPr>
        <w:pStyle w:val="Caption"/>
      </w:pPr>
      <w:r>
        <w:t xml:space="preserve">Table 1   Local authority (LA) characteristics by whether the LA adopted SL (N=49) in 2006-2019 or not (N=275). Data from City of London and Isles of Scilly not included. The table shows frequencies and column percentages. </w:t>
      </w:r>
      <w:r w:rsidRPr="002A132B">
        <w:t>Antisocial behaviour</w:t>
      </w:r>
      <w:r>
        <w:t xml:space="preserve"> (ASB) is however reported as calls per 10,000 population.</w:t>
      </w:r>
      <w:r w:rsidRPr="000E65C9">
        <w:t xml:space="preserve"> </w:t>
      </w:r>
      <w:r>
        <w:t>All data are from 2011 except for Income Support (2012)</w:t>
      </w:r>
      <w:r w:rsidRPr="002A132B">
        <w:t xml:space="preserve">. </w:t>
      </w:r>
      <w:r>
        <w:t xml:space="preserve"> </w:t>
      </w:r>
    </w:p>
    <w:tbl>
      <w:tblPr>
        <w:tblW w:w="5000" w:type="pct"/>
        <w:tblLook w:val="04A0" w:firstRow="1" w:lastRow="0" w:firstColumn="1" w:lastColumn="0" w:noHBand="0" w:noVBand="1"/>
      </w:tblPr>
      <w:tblGrid>
        <w:gridCol w:w="2202"/>
        <w:gridCol w:w="3673"/>
        <w:gridCol w:w="1075"/>
        <w:gridCol w:w="603"/>
        <w:gridCol w:w="1204"/>
        <w:gridCol w:w="603"/>
      </w:tblGrid>
      <w:tr w:rsidR="00EE0150" w:rsidRPr="006A493D" w14:paraId="24F5BBD5" w14:textId="77777777" w:rsidTr="005271E0">
        <w:trPr>
          <w:trHeight w:val="300"/>
        </w:trPr>
        <w:tc>
          <w:tcPr>
            <w:tcW w:w="1176" w:type="pct"/>
            <w:tcBorders>
              <w:top w:val="single" w:sz="4" w:space="0" w:color="auto"/>
              <w:left w:val="nil"/>
              <w:right w:val="nil"/>
            </w:tcBorders>
            <w:noWrap/>
            <w:hideMark/>
          </w:tcPr>
          <w:p w14:paraId="48769191" w14:textId="77777777" w:rsidR="00EE0150" w:rsidRPr="006A493D" w:rsidRDefault="00EE0150" w:rsidP="005271E0">
            <w:pPr>
              <w:spacing w:after="0" w:line="240" w:lineRule="auto"/>
              <w:rPr>
                <w:rFonts w:eastAsiaTheme="minorEastAsia" w:cstheme="minorHAnsi"/>
                <w:b/>
                <w:bCs/>
                <w:sz w:val="16"/>
                <w:szCs w:val="16"/>
              </w:rPr>
            </w:pPr>
            <w:r w:rsidRPr="006A493D">
              <w:rPr>
                <w:rFonts w:eastAsiaTheme="minorEastAsia" w:cstheme="minorHAnsi"/>
                <w:b/>
                <w:bCs/>
                <w:sz w:val="16"/>
                <w:szCs w:val="16"/>
              </w:rPr>
              <w:t>Domain</w:t>
            </w:r>
          </w:p>
        </w:tc>
        <w:tc>
          <w:tcPr>
            <w:tcW w:w="1962" w:type="pct"/>
            <w:tcBorders>
              <w:top w:val="single" w:sz="4" w:space="0" w:color="auto"/>
              <w:left w:val="nil"/>
              <w:right w:val="nil"/>
            </w:tcBorders>
            <w:noWrap/>
            <w:hideMark/>
          </w:tcPr>
          <w:p w14:paraId="07BB55E6" w14:textId="77777777" w:rsidR="00EE0150" w:rsidRPr="006A493D" w:rsidRDefault="00EE0150" w:rsidP="005271E0">
            <w:pPr>
              <w:spacing w:after="0" w:line="240" w:lineRule="auto"/>
              <w:rPr>
                <w:rFonts w:eastAsiaTheme="minorEastAsia" w:cstheme="minorHAnsi"/>
                <w:b/>
                <w:bCs/>
                <w:sz w:val="16"/>
                <w:szCs w:val="16"/>
              </w:rPr>
            </w:pPr>
            <w:r w:rsidRPr="006A493D">
              <w:rPr>
                <w:rFonts w:eastAsiaTheme="minorEastAsia" w:cstheme="minorHAnsi"/>
                <w:b/>
                <w:bCs/>
                <w:sz w:val="16"/>
                <w:szCs w:val="16"/>
              </w:rPr>
              <w:t>Variable</w:t>
            </w:r>
          </w:p>
        </w:tc>
        <w:tc>
          <w:tcPr>
            <w:tcW w:w="896" w:type="pct"/>
            <w:gridSpan w:val="2"/>
            <w:tcBorders>
              <w:top w:val="single" w:sz="4" w:space="0" w:color="auto"/>
              <w:left w:val="nil"/>
              <w:right w:val="nil"/>
            </w:tcBorders>
            <w:noWrap/>
          </w:tcPr>
          <w:p w14:paraId="38DB1373" w14:textId="77777777" w:rsidR="00EE0150" w:rsidRPr="006A493D" w:rsidRDefault="00EE0150" w:rsidP="005271E0">
            <w:pPr>
              <w:spacing w:after="0" w:line="240" w:lineRule="auto"/>
              <w:jc w:val="center"/>
              <w:rPr>
                <w:rFonts w:eastAsiaTheme="minorEastAsia"/>
                <w:b/>
                <w:bCs/>
                <w:sz w:val="16"/>
                <w:szCs w:val="16"/>
              </w:rPr>
            </w:pPr>
            <w:r w:rsidRPr="4427C4BE">
              <w:rPr>
                <w:rFonts w:eastAsiaTheme="minorEastAsia"/>
                <w:b/>
                <w:bCs/>
                <w:sz w:val="16"/>
                <w:szCs w:val="16"/>
              </w:rPr>
              <w:t xml:space="preserve">Adopting LA </w:t>
            </w:r>
            <w:r>
              <w:rPr>
                <w:rFonts w:eastAsiaTheme="minorEastAsia"/>
                <w:b/>
                <w:bCs/>
                <w:sz w:val="16"/>
                <w:szCs w:val="16"/>
              </w:rPr>
              <w:t>(</w:t>
            </w:r>
            <w:r w:rsidRPr="4427C4BE">
              <w:rPr>
                <w:rFonts w:eastAsiaTheme="minorEastAsia"/>
                <w:b/>
                <w:bCs/>
                <w:sz w:val="16"/>
                <w:szCs w:val="16"/>
              </w:rPr>
              <w:t>N=49</w:t>
            </w:r>
            <w:r>
              <w:rPr>
                <w:rFonts w:eastAsiaTheme="minorEastAsia"/>
                <w:b/>
                <w:bCs/>
                <w:sz w:val="16"/>
                <w:szCs w:val="16"/>
              </w:rPr>
              <w:t>)</w:t>
            </w:r>
          </w:p>
          <w:p w14:paraId="4785F3C6" w14:textId="77777777" w:rsidR="00EE0150" w:rsidRPr="006A493D" w:rsidRDefault="00EE0150" w:rsidP="005271E0">
            <w:pPr>
              <w:spacing w:after="0" w:line="240" w:lineRule="auto"/>
              <w:jc w:val="center"/>
              <w:rPr>
                <w:rFonts w:eastAsiaTheme="minorEastAsia"/>
                <w:b/>
                <w:bCs/>
                <w:sz w:val="16"/>
                <w:szCs w:val="16"/>
              </w:rPr>
            </w:pPr>
          </w:p>
        </w:tc>
        <w:tc>
          <w:tcPr>
            <w:tcW w:w="965" w:type="pct"/>
            <w:gridSpan w:val="2"/>
            <w:tcBorders>
              <w:top w:val="single" w:sz="4" w:space="0" w:color="auto"/>
              <w:left w:val="nil"/>
              <w:right w:val="nil"/>
            </w:tcBorders>
          </w:tcPr>
          <w:p w14:paraId="78E5DA54" w14:textId="77777777" w:rsidR="00EE0150" w:rsidRPr="006A493D" w:rsidRDefault="00EE0150" w:rsidP="005271E0">
            <w:pPr>
              <w:spacing w:after="0" w:line="240" w:lineRule="auto"/>
              <w:jc w:val="center"/>
              <w:rPr>
                <w:rFonts w:eastAsiaTheme="minorEastAsia"/>
                <w:b/>
                <w:bCs/>
                <w:sz w:val="16"/>
                <w:szCs w:val="16"/>
              </w:rPr>
            </w:pPr>
            <w:r w:rsidRPr="4427C4BE">
              <w:rPr>
                <w:rFonts w:eastAsiaTheme="minorEastAsia"/>
                <w:b/>
                <w:bCs/>
                <w:sz w:val="16"/>
                <w:szCs w:val="16"/>
              </w:rPr>
              <w:t xml:space="preserve">Non–adopting LA </w:t>
            </w:r>
            <w:r>
              <w:rPr>
                <w:rFonts w:eastAsiaTheme="minorEastAsia"/>
                <w:b/>
                <w:bCs/>
                <w:sz w:val="16"/>
                <w:szCs w:val="16"/>
              </w:rPr>
              <w:t>(</w:t>
            </w:r>
            <w:r w:rsidRPr="4427C4BE">
              <w:rPr>
                <w:rFonts w:eastAsiaTheme="minorEastAsia"/>
                <w:b/>
                <w:bCs/>
                <w:sz w:val="16"/>
                <w:szCs w:val="16"/>
              </w:rPr>
              <w:t>N=275</w:t>
            </w:r>
            <w:r>
              <w:rPr>
                <w:rFonts w:eastAsiaTheme="minorEastAsia"/>
                <w:b/>
                <w:bCs/>
                <w:sz w:val="16"/>
                <w:szCs w:val="16"/>
              </w:rPr>
              <w:t>)</w:t>
            </w:r>
          </w:p>
        </w:tc>
      </w:tr>
      <w:tr w:rsidR="00EE0150" w:rsidRPr="006A493D" w14:paraId="1020EBE0" w14:textId="77777777" w:rsidTr="005271E0">
        <w:trPr>
          <w:trHeight w:val="300"/>
        </w:trPr>
        <w:tc>
          <w:tcPr>
            <w:tcW w:w="1176" w:type="pct"/>
            <w:tcBorders>
              <w:left w:val="nil"/>
              <w:bottom w:val="single" w:sz="4" w:space="0" w:color="auto"/>
              <w:right w:val="nil"/>
            </w:tcBorders>
            <w:noWrap/>
          </w:tcPr>
          <w:p w14:paraId="0233A2D7" w14:textId="77777777" w:rsidR="00EE0150" w:rsidRPr="006A493D" w:rsidRDefault="00EE0150" w:rsidP="005271E0">
            <w:pPr>
              <w:spacing w:after="0" w:line="240" w:lineRule="auto"/>
              <w:rPr>
                <w:rFonts w:eastAsiaTheme="minorEastAsia" w:cstheme="minorHAnsi"/>
                <w:b/>
                <w:bCs/>
                <w:sz w:val="16"/>
                <w:szCs w:val="16"/>
              </w:rPr>
            </w:pPr>
          </w:p>
        </w:tc>
        <w:tc>
          <w:tcPr>
            <w:tcW w:w="1962" w:type="pct"/>
            <w:tcBorders>
              <w:left w:val="nil"/>
              <w:bottom w:val="single" w:sz="4" w:space="0" w:color="auto"/>
              <w:right w:val="nil"/>
            </w:tcBorders>
            <w:noWrap/>
          </w:tcPr>
          <w:p w14:paraId="11FAB806" w14:textId="77777777" w:rsidR="00EE0150" w:rsidRPr="006A493D" w:rsidRDefault="00EE0150" w:rsidP="005271E0">
            <w:pPr>
              <w:spacing w:after="0" w:line="240" w:lineRule="auto"/>
              <w:rPr>
                <w:rFonts w:eastAsiaTheme="minorEastAsia" w:cstheme="minorHAnsi"/>
                <w:b/>
                <w:bCs/>
                <w:sz w:val="16"/>
                <w:szCs w:val="16"/>
              </w:rPr>
            </w:pPr>
          </w:p>
        </w:tc>
        <w:tc>
          <w:tcPr>
            <w:tcW w:w="574" w:type="pct"/>
            <w:tcBorders>
              <w:left w:val="nil"/>
              <w:bottom w:val="single" w:sz="4" w:space="0" w:color="auto"/>
              <w:right w:val="nil"/>
            </w:tcBorders>
            <w:noWrap/>
          </w:tcPr>
          <w:p w14:paraId="5A726E36" w14:textId="77777777" w:rsidR="00EE0150" w:rsidRDefault="00EE0150" w:rsidP="005271E0">
            <w:pPr>
              <w:spacing w:after="0" w:line="240" w:lineRule="auto"/>
              <w:jc w:val="right"/>
              <w:rPr>
                <w:rFonts w:ascii="Aptos" w:eastAsia="Aptos" w:hAnsi="Aptos" w:cs="Aptos"/>
                <w:sz w:val="16"/>
                <w:szCs w:val="16"/>
              </w:rPr>
            </w:pPr>
            <w:r w:rsidRPr="4427C4BE">
              <w:rPr>
                <w:rFonts w:eastAsiaTheme="minorEastAsia"/>
                <w:b/>
                <w:bCs/>
                <w:sz w:val="16"/>
                <w:szCs w:val="16"/>
              </w:rPr>
              <w:t>Freq</w:t>
            </w:r>
          </w:p>
        </w:tc>
        <w:tc>
          <w:tcPr>
            <w:tcW w:w="322" w:type="pct"/>
            <w:tcBorders>
              <w:left w:val="nil"/>
              <w:bottom w:val="single" w:sz="4" w:space="0" w:color="auto"/>
              <w:right w:val="nil"/>
            </w:tcBorders>
            <w:noWrap/>
          </w:tcPr>
          <w:p w14:paraId="72FAE8A7" w14:textId="77777777" w:rsidR="00EE0150" w:rsidRDefault="00EE0150" w:rsidP="005271E0">
            <w:pPr>
              <w:spacing w:after="0" w:line="240" w:lineRule="auto"/>
              <w:jc w:val="right"/>
              <w:rPr>
                <w:rFonts w:eastAsiaTheme="minorEastAsia" w:cstheme="minorHAnsi"/>
                <w:b/>
                <w:bCs/>
                <w:sz w:val="16"/>
                <w:szCs w:val="16"/>
              </w:rPr>
            </w:pPr>
            <w:r>
              <w:rPr>
                <w:rFonts w:eastAsiaTheme="minorEastAsia" w:cstheme="minorHAnsi"/>
                <w:b/>
                <w:bCs/>
                <w:sz w:val="16"/>
                <w:szCs w:val="16"/>
              </w:rPr>
              <w:t>%</w:t>
            </w:r>
          </w:p>
        </w:tc>
        <w:tc>
          <w:tcPr>
            <w:tcW w:w="643" w:type="pct"/>
            <w:tcBorders>
              <w:left w:val="nil"/>
              <w:bottom w:val="single" w:sz="4" w:space="0" w:color="auto"/>
              <w:right w:val="nil"/>
            </w:tcBorders>
          </w:tcPr>
          <w:p w14:paraId="1EBC431C" w14:textId="77777777" w:rsidR="00EE0150" w:rsidRDefault="00EE0150" w:rsidP="005271E0">
            <w:pPr>
              <w:spacing w:after="0" w:line="240" w:lineRule="auto"/>
              <w:jc w:val="right"/>
              <w:rPr>
                <w:rFonts w:ascii="Aptos" w:eastAsia="Aptos" w:hAnsi="Aptos" w:cs="Aptos"/>
                <w:sz w:val="16"/>
                <w:szCs w:val="16"/>
              </w:rPr>
            </w:pPr>
            <w:r w:rsidRPr="4427C4BE">
              <w:rPr>
                <w:rFonts w:eastAsiaTheme="minorEastAsia"/>
                <w:b/>
                <w:bCs/>
                <w:sz w:val="16"/>
                <w:szCs w:val="16"/>
              </w:rPr>
              <w:t>Freq</w:t>
            </w:r>
          </w:p>
        </w:tc>
        <w:tc>
          <w:tcPr>
            <w:tcW w:w="322" w:type="pct"/>
            <w:tcBorders>
              <w:left w:val="nil"/>
              <w:bottom w:val="single" w:sz="4" w:space="0" w:color="auto"/>
              <w:right w:val="nil"/>
            </w:tcBorders>
            <w:noWrap/>
          </w:tcPr>
          <w:p w14:paraId="37674723" w14:textId="77777777" w:rsidR="00EE0150" w:rsidRDefault="00EE0150" w:rsidP="005271E0">
            <w:pPr>
              <w:spacing w:after="0" w:line="240" w:lineRule="auto"/>
              <w:jc w:val="right"/>
              <w:rPr>
                <w:rFonts w:eastAsiaTheme="minorEastAsia" w:cstheme="minorHAnsi"/>
                <w:b/>
                <w:bCs/>
                <w:sz w:val="16"/>
                <w:szCs w:val="16"/>
              </w:rPr>
            </w:pPr>
            <w:r>
              <w:rPr>
                <w:rFonts w:eastAsiaTheme="minorEastAsia" w:cstheme="minorHAnsi"/>
                <w:b/>
                <w:bCs/>
                <w:sz w:val="16"/>
                <w:szCs w:val="16"/>
              </w:rPr>
              <w:t>%</w:t>
            </w:r>
          </w:p>
        </w:tc>
      </w:tr>
      <w:tr w:rsidR="00EE0150" w:rsidRPr="006A493D" w14:paraId="4037582C" w14:textId="77777777" w:rsidTr="005271E0">
        <w:trPr>
          <w:trHeight w:val="300"/>
        </w:trPr>
        <w:tc>
          <w:tcPr>
            <w:tcW w:w="1176" w:type="pct"/>
            <w:tcBorders>
              <w:top w:val="nil"/>
              <w:left w:val="nil"/>
              <w:bottom w:val="nil"/>
              <w:right w:val="nil"/>
            </w:tcBorders>
            <w:noWrap/>
            <w:hideMark/>
          </w:tcPr>
          <w:p w14:paraId="5A05A1E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Age</w:t>
            </w:r>
          </w:p>
        </w:tc>
        <w:tc>
          <w:tcPr>
            <w:tcW w:w="1962" w:type="pct"/>
            <w:tcBorders>
              <w:top w:val="nil"/>
              <w:left w:val="nil"/>
              <w:bottom w:val="nil"/>
              <w:right w:val="nil"/>
            </w:tcBorders>
            <w:noWrap/>
            <w:hideMark/>
          </w:tcPr>
          <w:p w14:paraId="2520F73B"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Aged 0-15 year</w:t>
            </w:r>
            <w:r>
              <w:rPr>
                <w:rFonts w:eastAsiaTheme="minorEastAsia" w:cstheme="minorHAnsi"/>
                <w:sz w:val="16"/>
                <w:szCs w:val="16"/>
              </w:rPr>
              <w:t>s</w:t>
            </w:r>
          </w:p>
        </w:tc>
        <w:tc>
          <w:tcPr>
            <w:tcW w:w="574" w:type="pct"/>
            <w:tcBorders>
              <w:top w:val="nil"/>
              <w:left w:val="nil"/>
              <w:bottom w:val="nil"/>
              <w:right w:val="nil"/>
            </w:tcBorders>
            <w:noWrap/>
          </w:tcPr>
          <w:p w14:paraId="7CB963E1"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2,323,924</w:t>
            </w:r>
          </w:p>
        </w:tc>
        <w:tc>
          <w:tcPr>
            <w:tcW w:w="322" w:type="pct"/>
            <w:tcBorders>
              <w:top w:val="nil"/>
              <w:left w:val="nil"/>
              <w:bottom w:val="nil"/>
              <w:right w:val="nil"/>
            </w:tcBorders>
            <w:noWrap/>
          </w:tcPr>
          <w:p w14:paraId="6F399995"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19.4</w:t>
            </w:r>
          </w:p>
        </w:tc>
        <w:tc>
          <w:tcPr>
            <w:tcW w:w="643" w:type="pct"/>
            <w:tcBorders>
              <w:top w:val="nil"/>
              <w:left w:val="nil"/>
              <w:bottom w:val="nil"/>
              <w:right w:val="nil"/>
            </w:tcBorders>
          </w:tcPr>
          <w:p w14:paraId="0FC5EA3C"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7,697,946</w:t>
            </w:r>
          </w:p>
        </w:tc>
        <w:tc>
          <w:tcPr>
            <w:tcW w:w="322" w:type="pct"/>
            <w:tcBorders>
              <w:top w:val="nil"/>
              <w:left w:val="nil"/>
              <w:bottom w:val="nil"/>
              <w:right w:val="nil"/>
            </w:tcBorders>
            <w:noWrap/>
          </w:tcPr>
          <w:p w14:paraId="36B7B213"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18.8</w:t>
            </w:r>
          </w:p>
        </w:tc>
      </w:tr>
      <w:tr w:rsidR="00EE0150" w:rsidRPr="006A493D" w14:paraId="1E5D36AF" w14:textId="77777777" w:rsidTr="005271E0">
        <w:trPr>
          <w:trHeight w:val="300"/>
        </w:trPr>
        <w:tc>
          <w:tcPr>
            <w:tcW w:w="1176" w:type="pct"/>
            <w:tcBorders>
              <w:top w:val="nil"/>
              <w:left w:val="nil"/>
              <w:bottom w:val="nil"/>
              <w:right w:val="nil"/>
            </w:tcBorders>
            <w:noWrap/>
          </w:tcPr>
          <w:p w14:paraId="263E5E96" w14:textId="77777777" w:rsidR="00EE0150" w:rsidRPr="006A493D" w:rsidRDefault="00EE0150" w:rsidP="005271E0">
            <w:pPr>
              <w:spacing w:after="0" w:line="240" w:lineRule="auto"/>
              <w:rPr>
                <w:rFonts w:eastAsiaTheme="minorEastAsia" w:cstheme="minorHAnsi"/>
                <w:sz w:val="16"/>
                <w:szCs w:val="16"/>
              </w:rPr>
            </w:pPr>
          </w:p>
        </w:tc>
        <w:tc>
          <w:tcPr>
            <w:tcW w:w="1962" w:type="pct"/>
            <w:tcBorders>
              <w:top w:val="nil"/>
              <w:left w:val="nil"/>
              <w:bottom w:val="nil"/>
              <w:right w:val="nil"/>
            </w:tcBorders>
            <w:noWrap/>
          </w:tcPr>
          <w:p w14:paraId="41BF68B9"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Aged 16-64 years</w:t>
            </w:r>
          </w:p>
        </w:tc>
        <w:tc>
          <w:tcPr>
            <w:tcW w:w="574" w:type="pct"/>
            <w:tcBorders>
              <w:top w:val="nil"/>
              <w:left w:val="nil"/>
              <w:bottom w:val="nil"/>
              <w:right w:val="nil"/>
            </w:tcBorders>
            <w:noWrap/>
          </w:tcPr>
          <w:p w14:paraId="67215EF1"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7,983,707</w:t>
            </w:r>
          </w:p>
        </w:tc>
        <w:tc>
          <w:tcPr>
            <w:tcW w:w="322" w:type="pct"/>
            <w:tcBorders>
              <w:top w:val="nil"/>
              <w:left w:val="nil"/>
              <w:bottom w:val="nil"/>
              <w:right w:val="nil"/>
            </w:tcBorders>
            <w:noWrap/>
          </w:tcPr>
          <w:p w14:paraId="0644264F"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66.6</w:t>
            </w:r>
          </w:p>
        </w:tc>
        <w:tc>
          <w:tcPr>
            <w:tcW w:w="643" w:type="pct"/>
            <w:tcBorders>
              <w:top w:val="nil"/>
              <w:left w:val="nil"/>
              <w:bottom w:val="nil"/>
              <w:right w:val="nil"/>
            </w:tcBorders>
          </w:tcPr>
          <w:p w14:paraId="7F7E679B"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26,338,313</w:t>
            </w:r>
          </w:p>
        </w:tc>
        <w:tc>
          <w:tcPr>
            <w:tcW w:w="322" w:type="pct"/>
            <w:tcBorders>
              <w:top w:val="nil"/>
              <w:left w:val="nil"/>
              <w:bottom w:val="nil"/>
              <w:right w:val="nil"/>
            </w:tcBorders>
            <w:noWrap/>
          </w:tcPr>
          <w:p w14:paraId="2F59AD61"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64.2</w:t>
            </w:r>
          </w:p>
        </w:tc>
      </w:tr>
      <w:tr w:rsidR="00EE0150" w:rsidRPr="006A493D" w14:paraId="455B5BE6" w14:textId="77777777" w:rsidTr="005271E0">
        <w:trPr>
          <w:trHeight w:val="300"/>
        </w:trPr>
        <w:tc>
          <w:tcPr>
            <w:tcW w:w="1176" w:type="pct"/>
            <w:tcBorders>
              <w:top w:val="nil"/>
              <w:left w:val="nil"/>
              <w:bottom w:val="single" w:sz="4" w:space="0" w:color="auto"/>
              <w:right w:val="nil"/>
            </w:tcBorders>
            <w:noWrap/>
            <w:hideMark/>
          </w:tcPr>
          <w:p w14:paraId="7907A63F" w14:textId="77777777" w:rsidR="00EE0150" w:rsidRPr="006A493D" w:rsidRDefault="00EE0150" w:rsidP="005271E0">
            <w:pPr>
              <w:spacing w:after="0" w:line="240" w:lineRule="auto"/>
              <w:rPr>
                <w:rFonts w:eastAsiaTheme="minorEastAsia" w:cstheme="minorHAnsi"/>
                <w:sz w:val="16"/>
                <w:szCs w:val="16"/>
              </w:rPr>
            </w:pPr>
          </w:p>
        </w:tc>
        <w:tc>
          <w:tcPr>
            <w:tcW w:w="1962" w:type="pct"/>
            <w:tcBorders>
              <w:top w:val="nil"/>
              <w:left w:val="nil"/>
              <w:bottom w:val="single" w:sz="4" w:space="0" w:color="auto"/>
              <w:right w:val="nil"/>
            </w:tcBorders>
            <w:noWrap/>
            <w:hideMark/>
          </w:tcPr>
          <w:p w14:paraId="3581B473"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Aged 65+ year</w:t>
            </w:r>
            <w:r>
              <w:rPr>
                <w:rFonts w:eastAsiaTheme="minorEastAsia" w:cstheme="minorHAnsi"/>
                <w:sz w:val="16"/>
                <w:szCs w:val="16"/>
              </w:rPr>
              <w:t>s</w:t>
            </w:r>
          </w:p>
        </w:tc>
        <w:tc>
          <w:tcPr>
            <w:tcW w:w="574" w:type="pct"/>
            <w:tcBorders>
              <w:top w:val="nil"/>
              <w:left w:val="nil"/>
              <w:bottom w:val="single" w:sz="4" w:space="0" w:color="auto"/>
              <w:right w:val="nil"/>
            </w:tcBorders>
            <w:noWrap/>
          </w:tcPr>
          <w:p w14:paraId="4BF47977"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1,679,722</w:t>
            </w:r>
          </w:p>
        </w:tc>
        <w:tc>
          <w:tcPr>
            <w:tcW w:w="322" w:type="pct"/>
            <w:tcBorders>
              <w:top w:val="nil"/>
              <w:left w:val="nil"/>
              <w:bottom w:val="single" w:sz="4" w:space="0" w:color="auto"/>
              <w:right w:val="nil"/>
            </w:tcBorders>
            <w:noWrap/>
          </w:tcPr>
          <w:p w14:paraId="7CE4B453"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14.0</w:t>
            </w:r>
          </w:p>
        </w:tc>
        <w:tc>
          <w:tcPr>
            <w:tcW w:w="643" w:type="pct"/>
            <w:tcBorders>
              <w:top w:val="nil"/>
              <w:left w:val="nil"/>
              <w:bottom w:val="single" w:sz="4" w:space="0" w:color="auto"/>
              <w:right w:val="nil"/>
            </w:tcBorders>
          </w:tcPr>
          <w:p w14:paraId="6CE6DC25"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6,979,266</w:t>
            </w:r>
          </w:p>
        </w:tc>
        <w:tc>
          <w:tcPr>
            <w:tcW w:w="322" w:type="pct"/>
            <w:tcBorders>
              <w:top w:val="nil"/>
              <w:left w:val="nil"/>
              <w:bottom w:val="single" w:sz="4" w:space="0" w:color="auto"/>
              <w:right w:val="nil"/>
            </w:tcBorders>
            <w:noWrap/>
          </w:tcPr>
          <w:p w14:paraId="6F986B5A"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17.0</w:t>
            </w:r>
          </w:p>
        </w:tc>
      </w:tr>
      <w:tr w:rsidR="00EE0150" w:rsidRPr="006A493D" w14:paraId="7FDF716D" w14:textId="77777777" w:rsidTr="005271E0">
        <w:trPr>
          <w:trHeight w:val="300"/>
        </w:trPr>
        <w:tc>
          <w:tcPr>
            <w:tcW w:w="1176" w:type="pct"/>
            <w:tcBorders>
              <w:top w:val="nil"/>
              <w:left w:val="nil"/>
              <w:bottom w:val="nil"/>
              <w:right w:val="nil"/>
            </w:tcBorders>
            <w:noWrap/>
            <w:hideMark/>
          </w:tcPr>
          <w:p w14:paraId="5CE1584D"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Ethnicity</w:t>
            </w:r>
          </w:p>
        </w:tc>
        <w:tc>
          <w:tcPr>
            <w:tcW w:w="1962" w:type="pct"/>
            <w:tcBorders>
              <w:top w:val="nil"/>
              <w:left w:val="nil"/>
              <w:bottom w:val="nil"/>
              <w:right w:val="nil"/>
            </w:tcBorders>
            <w:noWrap/>
            <w:hideMark/>
          </w:tcPr>
          <w:p w14:paraId="4C056254"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White</w:t>
            </w:r>
          </w:p>
        </w:tc>
        <w:tc>
          <w:tcPr>
            <w:tcW w:w="574" w:type="pct"/>
            <w:tcBorders>
              <w:top w:val="nil"/>
              <w:left w:val="nil"/>
              <w:bottom w:val="nil"/>
              <w:right w:val="nil"/>
            </w:tcBorders>
            <w:noWrap/>
          </w:tcPr>
          <w:p w14:paraId="059A20FD"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9,080,690</w:t>
            </w:r>
          </w:p>
        </w:tc>
        <w:tc>
          <w:tcPr>
            <w:tcW w:w="322" w:type="pct"/>
            <w:tcBorders>
              <w:top w:val="nil"/>
              <w:left w:val="nil"/>
              <w:bottom w:val="nil"/>
              <w:right w:val="nil"/>
            </w:tcBorders>
            <w:noWrap/>
          </w:tcPr>
          <w:p w14:paraId="04F02FAE"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75.8</w:t>
            </w:r>
          </w:p>
        </w:tc>
        <w:tc>
          <w:tcPr>
            <w:tcW w:w="643" w:type="pct"/>
            <w:tcBorders>
              <w:top w:val="nil"/>
              <w:left w:val="nil"/>
              <w:bottom w:val="nil"/>
              <w:right w:val="nil"/>
            </w:tcBorders>
          </w:tcPr>
          <w:p w14:paraId="0D61C84F"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36,192,476</w:t>
            </w:r>
          </w:p>
        </w:tc>
        <w:tc>
          <w:tcPr>
            <w:tcW w:w="322" w:type="pct"/>
            <w:tcBorders>
              <w:top w:val="nil"/>
              <w:left w:val="nil"/>
              <w:bottom w:val="nil"/>
              <w:right w:val="nil"/>
            </w:tcBorders>
            <w:noWrap/>
          </w:tcPr>
          <w:p w14:paraId="7B4E249C"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88.2</w:t>
            </w:r>
          </w:p>
        </w:tc>
      </w:tr>
      <w:tr w:rsidR="00EE0150" w:rsidRPr="006A493D" w14:paraId="62FFD461" w14:textId="77777777" w:rsidTr="005271E0">
        <w:trPr>
          <w:trHeight w:val="300"/>
        </w:trPr>
        <w:tc>
          <w:tcPr>
            <w:tcW w:w="1176" w:type="pct"/>
            <w:tcBorders>
              <w:top w:val="nil"/>
              <w:left w:val="nil"/>
              <w:bottom w:val="nil"/>
              <w:right w:val="nil"/>
            </w:tcBorders>
            <w:noWrap/>
          </w:tcPr>
          <w:p w14:paraId="3A0F4D12" w14:textId="77777777" w:rsidR="00EE0150" w:rsidRPr="006A493D" w:rsidRDefault="00EE0150" w:rsidP="005271E0">
            <w:pPr>
              <w:spacing w:after="0" w:line="240" w:lineRule="auto"/>
              <w:rPr>
                <w:rFonts w:eastAsiaTheme="minorEastAsia" w:cstheme="minorHAnsi"/>
                <w:sz w:val="16"/>
                <w:szCs w:val="16"/>
              </w:rPr>
            </w:pPr>
          </w:p>
        </w:tc>
        <w:tc>
          <w:tcPr>
            <w:tcW w:w="1962" w:type="pct"/>
            <w:tcBorders>
              <w:top w:val="nil"/>
              <w:left w:val="nil"/>
              <w:bottom w:val="nil"/>
              <w:right w:val="nil"/>
            </w:tcBorders>
            <w:noWrap/>
          </w:tcPr>
          <w:p w14:paraId="780C89B9"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Asian</w:t>
            </w:r>
          </w:p>
        </w:tc>
        <w:tc>
          <w:tcPr>
            <w:tcW w:w="574" w:type="pct"/>
            <w:tcBorders>
              <w:top w:val="nil"/>
              <w:left w:val="nil"/>
              <w:bottom w:val="nil"/>
              <w:right w:val="nil"/>
            </w:tcBorders>
            <w:noWrap/>
          </w:tcPr>
          <w:p w14:paraId="140C646A"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1,564,021</w:t>
            </w:r>
          </w:p>
        </w:tc>
        <w:tc>
          <w:tcPr>
            <w:tcW w:w="322" w:type="pct"/>
            <w:tcBorders>
              <w:top w:val="nil"/>
              <w:left w:val="nil"/>
              <w:bottom w:val="nil"/>
              <w:right w:val="nil"/>
            </w:tcBorders>
            <w:noWrap/>
          </w:tcPr>
          <w:p w14:paraId="3A74E0B1"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13.0</w:t>
            </w:r>
          </w:p>
        </w:tc>
        <w:tc>
          <w:tcPr>
            <w:tcW w:w="643" w:type="pct"/>
            <w:tcBorders>
              <w:top w:val="nil"/>
              <w:left w:val="nil"/>
              <w:bottom w:val="nil"/>
              <w:right w:val="nil"/>
            </w:tcBorders>
          </w:tcPr>
          <w:p w14:paraId="30DCCA42"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2,578,440</w:t>
            </w:r>
          </w:p>
        </w:tc>
        <w:tc>
          <w:tcPr>
            <w:tcW w:w="322" w:type="pct"/>
            <w:tcBorders>
              <w:top w:val="nil"/>
              <w:left w:val="nil"/>
              <w:bottom w:val="nil"/>
              <w:right w:val="nil"/>
            </w:tcBorders>
            <w:noWrap/>
          </w:tcPr>
          <w:p w14:paraId="2148054B"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6.3</w:t>
            </w:r>
          </w:p>
        </w:tc>
      </w:tr>
      <w:tr w:rsidR="00EE0150" w:rsidRPr="006A493D" w14:paraId="65725A6F" w14:textId="77777777" w:rsidTr="005271E0">
        <w:trPr>
          <w:trHeight w:val="300"/>
        </w:trPr>
        <w:tc>
          <w:tcPr>
            <w:tcW w:w="1176" w:type="pct"/>
            <w:tcBorders>
              <w:top w:val="nil"/>
              <w:left w:val="nil"/>
              <w:bottom w:val="nil"/>
              <w:right w:val="nil"/>
            </w:tcBorders>
            <w:noWrap/>
          </w:tcPr>
          <w:p w14:paraId="0B8367AE" w14:textId="77777777" w:rsidR="00EE0150" w:rsidRPr="006A493D" w:rsidRDefault="00EE0150" w:rsidP="005271E0">
            <w:pPr>
              <w:spacing w:after="0" w:line="240" w:lineRule="auto"/>
              <w:rPr>
                <w:rFonts w:eastAsiaTheme="minorEastAsia" w:cstheme="minorHAnsi"/>
                <w:sz w:val="16"/>
                <w:szCs w:val="16"/>
              </w:rPr>
            </w:pPr>
          </w:p>
        </w:tc>
        <w:tc>
          <w:tcPr>
            <w:tcW w:w="1962" w:type="pct"/>
            <w:tcBorders>
              <w:top w:val="nil"/>
              <w:left w:val="nil"/>
              <w:bottom w:val="nil"/>
              <w:right w:val="nil"/>
            </w:tcBorders>
            <w:noWrap/>
          </w:tcPr>
          <w:p w14:paraId="4B2D3AE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Black</w:t>
            </w:r>
          </w:p>
        </w:tc>
        <w:tc>
          <w:tcPr>
            <w:tcW w:w="574" w:type="pct"/>
            <w:tcBorders>
              <w:top w:val="nil"/>
              <w:left w:val="nil"/>
              <w:bottom w:val="nil"/>
              <w:right w:val="nil"/>
            </w:tcBorders>
            <w:noWrap/>
          </w:tcPr>
          <w:p w14:paraId="21398EB4"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774,530</w:t>
            </w:r>
          </w:p>
        </w:tc>
        <w:tc>
          <w:tcPr>
            <w:tcW w:w="322" w:type="pct"/>
            <w:tcBorders>
              <w:top w:val="nil"/>
              <w:left w:val="nil"/>
              <w:bottom w:val="nil"/>
              <w:right w:val="nil"/>
            </w:tcBorders>
            <w:noWrap/>
          </w:tcPr>
          <w:p w14:paraId="3824609D"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6.5</w:t>
            </w:r>
          </w:p>
        </w:tc>
        <w:tc>
          <w:tcPr>
            <w:tcW w:w="643" w:type="pct"/>
            <w:tcBorders>
              <w:top w:val="nil"/>
              <w:left w:val="nil"/>
              <w:bottom w:val="nil"/>
              <w:right w:val="nil"/>
            </w:tcBorders>
          </w:tcPr>
          <w:p w14:paraId="669B3CFA"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1,071,889</w:t>
            </w:r>
          </w:p>
        </w:tc>
        <w:tc>
          <w:tcPr>
            <w:tcW w:w="322" w:type="pct"/>
            <w:tcBorders>
              <w:top w:val="nil"/>
              <w:left w:val="nil"/>
              <w:bottom w:val="nil"/>
              <w:right w:val="nil"/>
            </w:tcBorders>
            <w:noWrap/>
          </w:tcPr>
          <w:p w14:paraId="6C7F29C5"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2.6</w:t>
            </w:r>
          </w:p>
        </w:tc>
      </w:tr>
      <w:tr w:rsidR="00EE0150" w:rsidRPr="006A493D" w14:paraId="7A81397B" w14:textId="77777777" w:rsidTr="005271E0">
        <w:trPr>
          <w:trHeight w:val="300"/>
        </w:trPr>
        <w:tc>
          <w:tcPr>
            <w:tcW w:w="1176" w:type="pct"/>
            <w:tcBorders>
              <w:top w:val="nil"/>
              <w:left w:val="nil"/>
              <w:right w:val="nil"/>
            </w:tcBorders>
            <w:noWrap/>
            <w:hideMark/>
          </w:tcPr>
          <w:p w14:paraId="6F043581" w14:textId="77777777" w:rsidR="00EE0150" w:rsidRPr="006A493D" w:rsidRDefault="00EE0150" w:rsidP="005271E0">
            <w:pPr>
              <w:spacing w:after="0" w:line="240" w:lineRule="auto"/>
              <w:rPr>
                <w:rFonts w:eastAsiaTheme="minorEastAsia" w:cstheme="minorHAnsi"/>
                <w:sz w:val="16"/>
                <w:szCs w:val="16"/>
              </w:rPr>
            </w:pPr>
          </w:p>
        </w:tc>
        <w:tc>
          <w:tcPr>
            <w:tcW w:w="1962" w:type="pct"/>
            <w:tcBorders>
              <w:top w:val="nil"/>
              <w:left w:val="nil"/>
              <w:right w:val="nil"/>
            </w:tcBorders>
            <w:noWrap/>
          </w:tcPr>
          <w:p w14:paraId="0F858642"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Other</w:t>
            </w:r>
          </w:p>
        </w:tc>
        <w:tc>
          <w:tcPr>
            <w:tcW w:w="574" w:type="pct"/>
            <w:tcBorders>
              <w:top w:val="nil"/>
              <w:left w:val="nil"/>
              <w:right w:val="nil"/>
            </w:tcBorders>
            <w:noWrap/>
          </w:tcPr>
          <w:p w14:paraId="107C5723"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568,112</w:t>
            </w:r>
          </w:p>
        </w:tc>
        <w:tc>
          <w:tcPr>
            <w:tcW w:w="322" w:type="pct"/>
            <w:tcBorders>
              <w:top w:val="nil"/>
              <w:left w:val="nil"/>
              <w:right w:val="nil"/>
            </w:tcBorders>
            <w:noWrap/>
          </w:tcPr>
          <w:p w14:paraId="0D27A64C"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4.7</w:t>
            </w:r>
          </w:p>
        </w:tc>
        <w:tc>
          <w:tcPr>
            <w:tcW w:w="643" w:type="pct"/>
            <w:tcBorders>
              <w:top w:val="nil"/>
              <w:left w:val="nil"/>
              <w:right w:val="nil"/>
            </w:tcBorders>
          </w:tcPr>
          <w:p w14:paraId="45235726"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1,172,720</w:t>
            </w:r>
          </w:p>
        </w:tc>
        <w:tc>
          <w:tcPr>
            <w:tcW w:w="322" w:type="pct"/>
            <w:tcBorders>
              <w:top w:val="nil"/>
              <w:left w:val="nil"/>
              <w:right w:val="nil"/>
            </w:tcBorders>
            <w:noWrap/>
          </w:tcPr>
          <w:p w14:paraId="77D326B7"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2.9</w:t>
            </w:r>
          </w:p>
        </w:tc>
      </w:tr>
      <w:tr w:rsidR="00EE0150" w:rsidRPr="006A493D" w14:paraId="26EC9CF2" w14:textId="77777777" w:rsidTr="005271E0">
        <w:trPr>
          <w:trHeight w:val="300"/>
        </w:trPr>
        <w:tc>
          <w:tcPr>
            <w:tcW w:w="1176" w:type="pct"/>
            <w:tcBorders>
              <w:top w:val="single" w:sz="4" w:space="0" w:color="auto"/>
              <w:left w:val="nil"/>
              <w:right w:val="nil"/>
            </w:tcBorders>
            <w:noWrap/>
            <w:hideMark/>
          </w:tcPr>
          <w:p w14:paraId="4A871F64"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C</w:t>
            </w:r>
            <w:r>
              <w:rPr>
                <w:rFonts w:eastAsiaTheme="minorEastAsia" w:cstheme="minorHAnsi"/>
                <w:sz w:val="16"/>
                <w:szCs w:val="16"/>
              </w:rPr>
              <w:t>ountry of birth</w:t>
            </w:r>
          </w:p>
        </w:tc>
        <w:tc>
          <w:tcPr>
            <w:tcW w:w="1962" w:type="pct"/>
            <w:tcBorders>
              <w:top w:val="single" w:sz="4" w:space="0" w:color="auto"/>
              <w:left w:val="nil"/>
              <w:right w:val="nil"/>
            </w:tcBorders>
            <w:noWrap/>
            <w:hideMark/>
          </w:tcPr>
          <w:p w14:paraId="3CCC14F9"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Born abroad</w:t>
            </w:r>
          </w:p>
        </w:tc>
        <w:tc>
          <w:tcPr>
            <w:tcW w:w="574" w:type="pct"/>
            <w:tcBorders>
              <w:top w:val="single" w:sz="4" w:space="0" w:color="auto"/>
              <w:left w:val="nil"/>
              <w:right w:val="nil"/>
            </w:tcBorders>
            <w:noWrap/>
          </w:tcPr>
          <w:p w14:paraId="7C4D5F88"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2,344,492</w:t>
            </w:r>
          </w:p>
        </w:tc>
        <w:tc>
          <w:tcPr>
            <w:tcW w:w="322" w:type="pct"/>
            <w:tcBorders>
              <w:top w:val="single" w:sz="4" w:space="0" w:color="auto"/>
              <w:left w:val="nil"/>
              <w:right w:val="nil"/>
            </w:tcBorders>
            <w:noWrap/>
          </w:tcPr>
          <w:p w14:paraId="3F56E4C2"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19.6</w:t>
            </w:r>
          </w:p>
        </w:tc>
        <w:tc>
          <w:tcPr>
            <w:tcW w:w="643" w:type="pct"/>
            <w:tcBorders>
              <w:top w:val="single" w:sz="4" w:space="0" w:color="auto"/>
              <w:left w:val="nil"/>
              <w:right w:val="nil"/>
            </w:tcBorders>
          </w:tcPr>
          <w:p w14:paraId="0392C62A"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4,989,809</w:t>
            </w:r>
          </w:p>
        </w:tc>
        <w:tc>
          <w:tcPr>
            <w:tcW w:w="322" w:type="pct"/>
            <w:tcBorders>
              <w:top w:val="single" w:sz="4" w:space="0" w:color="auto"/>
              <w:left w:val="nil"/>
              <w:right w:val="nil"/>
            </w:tcBorders>
            <w:noWrap/>
          </w:tcPr>
          <w:p w14:paraId="30C8EB03"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12.2</w:t>
            </w:r>
          </w:p>
        </w:tc>
      </w:tr>
      <w:tr w:rsidR="00EE0150" w:rsidRPr="006A493D" w14:paraId="0529A163" w14:textId="77777777" w:rsidTr="005271E0">
        <w:trPr>
          <w:trHeight w:val="300"/>
        </w:trPr>
        <w:tc>
          <w:tcPr>
            <w:tcW w:w="1176" w:type="pct"/>
            <w:tcBorders>
              <w:left w:val="nil"/>
              <w:bottom w:val="single" w:sz="4" w:space="0" w:color="auto"/>
              <w:right w:val="nil"/>
            </w:tcBorders>
            <w:noWrap/>
          </w:tcPr>
          <w:p w14:paraId="5E4DB4FF" w14:textId="77777777" w:rsidR="00EE0150" w:rsidRPr="006A493D" w:rsidRDefault="00EE0150" w:rsidP="005271E0">
            <w:pPr>
              <w:spacing w:after="0" w:line="240" w:lineRule="auto"/>
              <w:rPr>
                <w:rFonts w:eastAsiaTheme="minorEastAsia" w:cstheme="minorHAnsi"/>
                <w:sz w:val="16"/>
                <w:szCs w:val="16"/>
              </w:rPr>
            </w:pPr>
          </w:p>
        </w:tc>
        <w:tc>
          <w:tcPr>
            <w:tcW w:w="1962" w:type="pct"/>
            <w:tcBorders>
              <w:left w:val="nil"/>
              <w:bottom w:val="single" w:sz="4" w:space="0" w:color="auto"/>
              <w:right w:val="nil"/>
            </w:tcBorders>
            <w:noWrap/>
          </w:tcPr>
          <w:p w14:paraId="6625869B"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Born UK</w:t>
            </w:r>
          </w:p>
        </w:tc>
        <w:tc>
          <w:tcPr>
            <w:tcW w:w="574" w:type="pct"/>
            <w:tcBorders>
              <w:left w:val="nil"/>
              <w:bottom w:val="single" w:sz="4" w:space="0" w:color="auto"/>
              <w:right w:val="nil"/>
            </w:tcBorders>
            <w:noWrap/>
          </w:tcPr>
          <w:p w14:paraId="48A9DEB2"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9,642,861</w:t>
            </w:r>
          </w:p>
        </w:tc>
        <w:tc>
          <w:tcPr>
            <w:tcW w:w="322" w:type="pct"/>
            <w:tcBorders>
              <w:left w:val="nil"/>
              <w:bottom w:val="single" w:sz="4" w:space="0" w:color="auto"/>
              <w:right w:val="nil"/>
            </w:tcBorders>
            <w:noWrap/>
          </w:tcPr>
          <w:p w14:paraId="37D12C34"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80.4</w:t>
            </w:r>
          </w:p>
        </w:tc>
        <w:tc>
          <w:tcPr>
            <w:tcW w:w="643" w:type="pct"/>
            <w:tcBorders>
              <w:left w:val="nil"/>
              <w:bottom w:val="single" w:sz="4" w:space="0" w:color="auto"/>
              <w:right w:val="nil"/>
            </w:tcBorders>
          </w:tcPr>
          <w:p w14:paraId="6E99A30D"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36,025,716</w:t>
            </w:r>
          </w:p>
        </w:tc>
        <w:tc>
          <w:tcPr>
            <w:tcW w:w="322" w:type="pct"/>
            <w:tcBorders>
              <w:left w:val="nil"/>
              <w:bottom w:val="single" w:sz="4" w:space="0" w:color="auto"/>
              <w:right w:val="nil"/>
            </w:tcBorders>
            <w:noWrap/>
          </w:tcPr>
          <w:p w14:paraId="17111399"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87.8</w:t>
            </w:r>
          </w:p>
        </w:tc>
      </w:tr>
      <w:tr w:rsidR="00EE0150" w:rsidRPr="006A493D" w14:paraId="271FE80D" w14:textId="77777777" w:rsidTr="005271E0">
        <w:trPr>
          <w:trHeight w:val="300"/>
        </w:trPr>
        <w:tc>
          <w:tcPr>
            <w:tcW w:w="1176" w:type="pct"/>
            <w:tcBorders>
              <w:top w:val="single" w:sz="4" w:space="0" w:color="auto"/>
              <w:left w:val="nil"/>
              <w:right w:val="nil"/>
            </w:tcBorders>
            <w:noWrap/>
            <w:hideMark/>
          </w:tcPr>
          <w:p w14:paraId="29210D69"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Occupational class</w:t>
            </w:r>
          </w:p>
        </w:tc>
        <w:tc>
          <w:tcPr>
            <w:tcW w:w="1962" w:type="pct"/>
            <w:tcBorders>
              <w:top w:val="single" w:sz="4" w:space="0" w:color="auto"/>
              <w:left w:val="nil"/>
              <w:right w:val="nil"/>
            </w:tcBorders>
            <w:noWrap/>
            <w:hideMark/>
          </w:tcPr>
          <w:p w14:paraId="740C42B1"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1.Higher managerial, administrative/professional</w:t>
            </w:r>
          </w:p>
        </w:tc>
        <w:tc>
          <w:tcPr>
            <w:tcW w:w="574" w:type="pct"/>
            <w:tcBorders>
              <w:top w:val="single" w:sz="4" w:space="0" w:color="auto"/>
              <w:left w:val="nil"/>
              <w:right w:val="nil"/>
            </w:tcBorders>
            <w:noWrap/>
          </w:tcPr>
          <w:p w14:paraId="1567806E"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2,451,526</w:t>
            </w:r>
          </w:p>
        </w:tc>
        <w:tc>
          <w:tcPr>
            <w:tcW w:w="322" w:type="pct"/>
            <w:tcBorders>
              <w:top w:val="single" w:sz="4" w:space="0" w:color="auto"/>
              <w:left w:val="nil"/>
              <w:right w:val="nil"/>
            </w:tcBorders>
            <w:noWrap/>
          </w:tcPr>
          <w:p w14:paraId="3EB6C6D1"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27.6</w:t>
            </w:r>
          </w:p>
        </w:tc>
        <w:tc>
          <w:tcPr>
            <w:tcW w:w="643" w:type="pct"/>
            <w:tcBorders>
              <w:top w:val="single" w:sz="4" w:space="0" w:color="auto"/>
              <w:left w:val="nil"/>
              <w:right w:val="nil"/>
            </w:tcBorders>
          </w:tcPr>
          <w:p w14:paraId="04F60503"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9,721,737</w:t>
            </w:r>
          </w:p>
        </w:tc>
        <w:tc>
          <w:tcPr>
            <w:tcW w:w="322" w:type="pct"/>
            <w:tcBorders>
              <w:top w:val="single" w:sz="4" w:space="0" w:color="auto"/>
              <w:left w:val="nil"/>
              <w:right w:val="nil"/>
            </w:tcBorders>
            <w:noWrap/>
          </w:tcPr>
          <w:p w14:paraId="6D2B09B2"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32.4</w:t>
            </w:r>
          </w:p>
        </w:tc>
      </w:tr>
      <w:tr w:rsidR="00EE0150" w:rsidRPr="00F02BAE" w14:paraId="653C68CB" w14:textId="77777777" w:rsidTr="005271E0">
        <w:trPr>
          <w:trHeight w:val="300"/>
        </w:trPr>
        <w:tc>
          <w:tcPr>
            <w:tcW w:w="1176" w:type="pct"/>
            <w:tcBorders>
              <w:left w:val="nil"/>
              <w:bottom w:val="nil"/>
              <w:right w:val="nil"/>
            </w:tcBorders>
            <w:noWrap/>
          </w:tcPr>
          <w:p w14:paraId="0E161444" w14:textId="77777777" w:rsidR="00EE0150" w:rsidRPr="00F02BAE" w:rsidRDefault="00EE0150" w:rsidP="005271E0">
            <w:pPr>
              <w:spacing w:after="0" w:line="240" w:lineRule="auto"/>
              <w:rPr>
                <w:rFonts w:eastAsiaTheme="minorEastAsia" w:cstheme="minorHAnsi"/>
                <w:sz w:val="16"/>
                <w:szCs w:val="16"/>
              </w:rPr>
            </w:pPr>
          </w:p>
        </w:tc>
        <w:tc>
          <w:tcPr>
            <w:tcW w:w="1962" w:type="pct"/>
            <w:tcBorders>
              <w:left w:val="nil"/>
              <w:bottom w:val="nil"/>
              <w:right w:val="nil"/>
            </w:tcBorders>
            <w:noWrap/>
          </w:tcPr>
          <w:p w14:paraId="00142A82" w14:textId="77777777" w:rsidR="00EE0150" w:rsidRPr="00F02BAE" w:rsidRDefault="00EE0150" w:rsidP="005271E0">
            <w:pPr>
              <w:spacing w:after="0" w:line="240" w:lineRule="auto"/>
              <w:rPr>
                <w:rFonts w:eastAsiaTheme="minorEastAsia" w:cstheme="minorHAnsi"/>
                <w:sz w:val="16"/>
                <w:szCs w:val="16"/>
              </w:rPr>
            </w:pPr>
            <w:r w:rsidRPr="00F02BAE">
              <w:rPr>
                <w:sz w:val="16"/>
                <w:szCs w:val="16"/>
              </w:rPr>
              <w:t xml:space="preserve">2.Intermediate </w:t>
            </w:r>
          </w:p>
        </w:tc>
        <w:tc>
          <w:tcPr>
            <w:tcW w:w="574" w:type="pct"/>
            <w:tcBorders>
              <w:left w:val="nil"/>
              <w:bottom w:val="nil"/>
              <w:right w:val="nil"/>
            </w:tcBorders>
            <w:noWrap/>
          </w:tcPr>
          <w:p w14:paraId="20AF5A60"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1,803,298</w:t>
            </w:r>
          </w:p>
        </w:tc>
        <w:tc>
          <w:tcPr>
            <w:tcW w:w="322" w:type="pct"/>
            <w:tcBorders>
              <w:left w:val="nil"/>
              <w:bottom w:val="nil"/>
              <w:right w:val="nil"/>
            </w:tcBorders>
            <w:noWrap/>
          </w:tcPr>
          <w:p w14:paraId="022AE19B"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20.3</w:t>
            </w:r>
          </w:p>
        </w:tc>
        <w:tc>
          <w:tcPr>
            <w:tcW w:w="643" w:type="pct"/>
            <w:tcBorders>
              <w:left w:val="nil"/>
              <w:bottom w:val="nil"/>
              <w:right w:val="nil"/>
            </w:tcBorders>
          </w:tcPr>
          <w:p w14:paraId="421DB86C"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6,829,917</w:t>
            </w:r>
          </w:p>
        </w:tc>
        <w:tc>
          <w:tcPr>
            <w:tcW w:w="322" w:type="pct"/>
            <w:tcBorders>
              <w:left w:val="nil"/>
              <w:bottom w:val="nil"/>
              <w:right w:val="nil"/>
            </w:tcBorders>
            <w:noWrap/>
          </w:tcPr>
          <w:p w14:paraId="0938DB29"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22.8</w:t>
            </w:r>
          </w:p>
        </w:tc>
      </w:tr>
      <w:tr w:rsidR="00EE0150" w:rsidRPr="00F02BAE" w14:paraId="4474CEBD" w14:textId="77777777" w:rsidTr="005271E0">
        <w:trPr>
          <w:trHeight w:val="300"/>
        </w:trPr>
        <w:tc>
          <w:tcPr>
            <w:tcW w:w="1176" w:type="pct"/>
            <w:tcBorders>
              <w:left w:val="nil"/>
              <w:bottom w:val="nil"/>
              <w:right w:val="nil"/>
            </w:tcBorders>
            <w:noWrap/>
          </w:tcPr>
          <w:p w14:paraId="598D16BA" w14:textId="77777777" w:rsidR="00EE0150" w:rsidRPr="00F02BAE" w:rsidRDefault="00EE0150" w:rsidP="005271E0">
            <w:pPr>
              <w:spacing w:after="0" w:line="240" w:lineRule="auto"/>
              <w:rPr>
                <w:rFonts w:eastAsiaTheme="minorEastAsia" w:cstheme="minorHAnsi"/>
                <w:sz w:val="16"/>
                <w:szCs w:val="16"/>
              </w:rPr>
            </w:pPr>
          </w:p>
        </w:tc>
        <w:tc>
          <w:tcPr>
            <w:tcW w:w="1962" w:type="pct"/>
            <w:tcBorders>
              <w:left w:val="nil"/>
              <w:bottom w:val="nil"/>
              <w:right w:val="nil"/>
            </w:tcBorders>
            <w:noWrap/>
          </w:tcPr>
          <w:p w14:paraId="14ADB564" w14:textId="77777777" w:rsidR="00EE0150" w:rsidRPr="00F02BAE" w:rsidRDefault="00EE0150" w:rsidP="005271E0">
            <w:pPr>
              <w:spacing w:after="0" w:line="240" w:lineRule="auto"/>
              <w:rPr>
                <w:rFonts w:eastAsiaTheme="minorEastAsia" w:cstheme="minorHAnsi"/>
                <w:sz w:val="16"/>
                <w:szCs w:val="16"/>
              </w:rPr>
            </w:pPr>
            <w:r w:rsidRPr="00F02BAE">
              <w:rPr>
                <w:sz w:val="16"/>
                <w:szCs w:val="16"/>
              </w:rPr>
              <w:t xml:space="preserve">3.Routine/manual </w:t>
            </w:r>
          </w:p>
        </w:tc>
        <w:tc>
          <w:tcPr>
            <w:tcW w:w="574" w:type="pct"/>
            <w:tcBorders>
              <w:left w:val="nil"/>
              <w:bottom w:val="nil"/>
              <w:right w:val="nil"/>
            </w:tcBorders>
            <w:noWrap/>
          </w:tcPr>
          <w:p w14:paraId="67146C4E"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2,885,948</w:t>
            </w:r>
          </w:p>
        </w:tc>
        <w:tc>
          <w:tcPr>
            <w:tcW w:w="322" w:type="pct"/>
            <w:tcBorders>
              <w:left w:val="nil"/>
              <w:bottom w:val="nil"/>
              <w:right w:val="nil"/>
            </w:tcBorders>
            <w:noWrap/>
          </w:tcPr>
          <w:p w14:paraId="158BE845"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32.5</w:t>
            </w:r>
          </w:p>
        </w:tc>
        <w:tc>
          <w:tcPr>
            <w:tcW w:w="643" w:type="pct"/>
            <w:tcBorders>
              <w:left w:val="nil"/>
              <w:bottom w:val="nil"/>
              <w:right w:val="nil"/>
            </w:tcBorders>
          </w:tcPr>
          <w:p w14:paraId="335A632D"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9,497,437</w:t>
            </w:r>
          </w:p>
        </w:tc>
        <w:tc>
          <w:tcPr>
            <w:tcW w:w="322" w:type="pct"/>
            <w:tcBorders>
              <w:left w:val="nil"/>
              <w:bottom w:val="nil"/>
              <w:right w:val="nil"/>
            </w:tcBorders>
            <w:noWrap/>
          </w:tcPr>
          <w:p w14:paraId="2D9B9376"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31.7</w:t>
            </w:r>
          </w:p>
        </w:tc>
      </w:tr>
      <w:tr w:rsidR="00EE0150" w:rsidRPr="00F02BAE" w14:paraId="62153BD4" w14:textId="77777777" w:rsidTr="005271E0">
        <w:trPr>
          <w:trHeight w:val="300"/>
        </w:trPr>
        <w:tc>
          <w:tcPr>
            <w:tcW w:w="1176" w:type="pct"/>
            <w:tcBorders>
              <w:left w:val="nil"/>
              <w:bottom w:val="nil"/>
              <w:right w:val="nil"/>
            </w:tcBorders>
            <w:noWrap/>
          </w:tcPr>
          <w:p w14:paraId="502BFD54" w14:textId="77777777" w:rsidR="00EE0150" w:rsidRPr="00F02BAE" w:rsidRDefault="00EE0150" w:rsidP="005271E0">
            <w:pPr>
              <w:spacing w:after="0" w:line="240" w:lineRule="auto"/>
              <w:rPr>
                <w:rFonts w:eastAsiaTheme="minorEastAsia" w:cstheme="minorHAnsi"/>
                <w:sz w:val="16"/>
                <w:szCs w:val="16"/>
              </w:rPr>
            </w:pPr>
          </w:p>
        </w:tc>
        <w:tc>
          <w:tcPr>
            <w:tcW w:w="1962" w:type="pct"/>
            <w:tcBorders>
              <w:left w:val="nil"/>
              <w:bottom w:val="nil"/>
              <w:right w:val="nil"/>
            </w:tcBorders>
            <w:noWrap/>
          </w:tcPr>
          <w:p w14:paraId="42A26318" w14:textId="77777777" w:rsidR="00EE0150" w:rsidRPr="00F02BAE" w:rsidRDefault="00EE0150" w:rsidP="005271E0">
            <w:pPr>
              <w:spacing w:after="0" w:line="240" w:lineRule="auto"/>
              <w:rPr>
                <w:rFonts w:eastAsiaTheme="minorEastAsia" w:cstheme="minorHAnsi"/>
                <w:sz w:val="16"/>
                <w:szCs w:val="16"/>
              </w:rPr>
            </w:pPr>
            <w:r w:rsidRPr="00F02BAE">
              <w:rPr>
                <w:sz w:val="16"/>
                <w:szCs w:val="16"/>
              </w:rPr>
              <w:t>4.Never worked/</w:t>
            </w:r>
            <w:proofErr w:type="spellStart"/>
            <w:r w:rsidRPr="00F02BAE">
              <w:rPr>
                <w:sz w:val="16"/>
                <w:szCs w:val="16"/>
              </w:rPr>
              <w:t>longterm</w:t>
            </w:r>
            <w:proofErr w:type="spellEnd"/>
            <w:r w:rsidRPr="00F02BAE">
              <w:rPr>
                <w:sz w:val="16"/>
                <w:szCs w:val="16"/>
              </w:rPr>
              <w:t xml:space="preserve"> unemployed </w:t>
            </w:r>
          </w:p>
        </w:tc>
        <w:tc>
          <w:tcPr>
            <w:tcW w:w="574" w:type="pct"/>
            <w:tcBorders>
              <w:left w:val="nil"/>
              <w:bottom w:val="nil"/>
              <w:right w:val="nil"/>
            </w:tcBorders>
            <w:noWrap/>
          </w:tcPr>
          <w:p w14:paraId="6AC078EA"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703,717</w:t>
            </w:r>
          </w:p>
        </w:tc>
        <w:tc>
          <w:tcPr>
            <w:tcW w:w="322" w:type="pct"/>
            <w:tcBorders>
              <w:left w:val="nil"/>
              <w:bottom w:val="nil"/>
              <w:right w:val="nil"/>
            </w:tcBorders>
            <w:noWrap/>
          </w:tcPr>
          <w:p w14:paraId="74EBAA1B"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7.9</w:t>
            </w:r>
          </w:p>
        </w:tc>
        <w:tc>
          <w:tcPr>
            <w:tcW w:w="643" w:type="pct"/>
            <w:tcBorders>
              <w:left w:val="nil"/>
              <w:bottom w:val="nil"/>
              <w:right w:val="nil"/>
            </w:tcBorders>
          </w:tcPr>
          <w:p w14:paraId="0FE9CCBE"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1,476,077</w:t>
            </w:r>
          </w:p>
        </w:tc>
        <w:tc>
          <w:tcPr>
            <w:tcW w:w="322" w:type="pct"/>
            <w:tcBorders>
              <w:left w:val="nil"/>
              <w:bottom w:val="nil"/>
              <w:right w:val="nil"/>
            </w:tcBorders>
            <w:noWrap/>
          </w:tcPr>
          <w:p w14:paraId="17603D1D" w14:textId="77777777" w:rsidR="00EE0150" w:rsidRPr="00F02BAE"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4.9</w:t>
            </w:r>
          </w:p>
        </w:tc>
      </w:tr>
      <w:tr w:rsidR="00EE0150" w:rsidRPr="006A493D" w14:paraId="1C1BF71F" w14:textId="77777777" w:rsidTr="005271E0">
        <w:trPr>
          <w:trHeight w:val="300"/>
        </w:trPr>
        <w:tc>
          <w:tcPr>
            <w:tcW w:w="1176" w:type="pct"/>
            <w:tcBorders>
              <w:top w:val="nil"/>
              <w:left w:val="nil"/>
              <w:bottom w:val="single" w:sz="4" w:space="0" w:color="auto"/>
              <w:right w:val="nil"/>
            </w:tcBorders>
            <w:noWrap/>
            <w:hideMark/>
          </w:tcPr>
          <w:p w14:paraId="63A519FE" w14:textId="77777777" w:rsidR="00EE0150" w:rsidRPr="006A493D" w:rsidRDefault="00EE0150" w:rsidP="005271E0">
            <w:pPr>
              <w:spacing w:after="0" w:line="240" w:lineRule="auto"/>
              <w:rPr>
                <w:rFonts w:eastAsiaTheme="minorEastAsia" w:cstheme="minorHAnsi"/>
                <w:sz w:val="16"/>
                <w:szCs w:val="16"/>
              </w:rPr>
            </w:pPr>
          </w:p>
        </w:tc>
        <w:tc>
          <w:tcPr>
            <w:tcW w:w="1962" w:type="pct"/>
            <w:tcBorders>
              <w:top w:val="nil"/>
              <w:left w:val="nil"/>
              <w:bottom w:val="single" w:sz="4" w:space="0" w:color="auto"/>
              <w:right w:val="nil"/>
            </w:tcBorders>
            <w:noWrap/>
            <w:hideMark/>
          </w:tcPr>
          <w:p w14:paraId="4FE3074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5.Full-time students</w:t>
            </w:r>
          </w:p>
        </w:tc>
        <w:tc>
          <w:tcPr>
            <w:tcW w:w="574" w:type="pct"/>
            <w:tcBorders>
              <w:top w:val="nil"/>
              <w:left w:val="nil"/>
              <w:bottom w:val="single" w:sz="4" w:space="0" w:color="auto"/>
              <w:right w:val="nil"/>
            </w:tcBorders>
            <w:noWrap/>
          </w:tcPr>
          <w:p w14:paraId="539B1F1C"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1,022,116</w:t>
            </w:r>
          </w:p>
        </w:tc>
        <w:tc>
          <w:tcPr>
            <w:tcW w:w="322" w:type="pct"/>
            <w:tcBorders>
              <w:top w:val="nil"/>
              <w:left w:val="nil"/>
              <w:bottom w:val="single" w:sz="4" w:space="0" w:color="auto"/>
              <w:right w:val="nil"/>
            </w:tcBorders>
            <w:noWrap/>
          </w:tcPr>
          <w:p w14:paraId="010559BB"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11.5</w:t>
            </w:r>
          </w:p>
        </w:tc>
        <w:tc>
          <w:tcPr>
            <w:tcW w:w="643" w:type="pct"/>
            <w:tcBorders>
              <w:top w:val="nil"/>
              <w:left w:val="nil"/>
              <w:bottom w:val="single" w:sz="4" w:space="0" w:color="auto"/>
              <w:right w:val="nil"/>
            </w:tcBorders>
          </w:tcPr>
          <w:p w14:paraId="45500545"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2,481,672</w:t>
            </w:r>
          </w:p>
        </w:tc>
        <w:tc>
          <w:tcPr>
            <w:tcW w:w="322" w:type="pct"/>
            <w:tcBorders>
              <w:top w:val="nil"/>
              <w:left w:val="nil"/>
              <w:bottom w:val="single" w:sz="4" w:space="0" w:color="auto"/>
              <w:right w:val="nil"/>
            </w:tcBorders>
            <w:noWrap/>
          </w:tcPr>
          <w:p w14:paraId="29E6F399"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8.3</w:t>
            </w:r>
          </w:p>
        </w:tc>
      </w:tr>
      <w:tr w:rsidR="00EE0150" w:rsidRPr="006A493D" w14:paraId="2FEA2BCA" w14:textId="77777777" w:rsidTr="005271E0">
        <w:trPr>
          <w:trHeight w:val="300"/>
        </w:trPr>
        <w:tc>
          <w:tcPr>
            <w:tcW w:w="1176" w:type="pct"/>
            <w:tcBorders>
              <w:top w:val="single" w:sz="4" w:space="0" w:color="auto"/>
              <w:left w:val="nil"/>
              <w:right w:val="nil"/>
            </w:tcBorders>
            <w:noWrap/>
            <w:hideMark/>
          </w:tcPr>
          <w:p w14:paraId="77E41F20"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Income Support</w:t>
            </w:r>
          </w:p>
        </w:tc>
        <w:tc>
          <w:tcPr>
            <w:tcW w:w="1962" w:type="pct"/>
            <w:tcBorders>
              <w:top w:val="single" w:sz="4" w:space="0" w:color="auto"/>
              <w:left w:val="nil"/>
              <w:right w:val="nil"/>
            </w:tcBorders>
            <w:noWrap/>
            <w:hideMark/>
          </w:tcPr>
          <w:p w14:paraId="058AF7AE"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xml:space="preserve">Population in receipt of </w:t>
            </w:r>
            <w:r>
              <w:rPr>
                <w:rFonts w:eastAsiaTheme="minorEastAsia" w:cstheme="minorHAnsi"/>
                <w:sz w:val="16"/>
                <w:szCs w:val="16"/>
              </w:rPr>
              <w:t>Income Support</w:t>
            </w:r>
            <w:r w:rsidRPr="006A493D">
              <w:rPr>
                <w:rFonts w:eastAsiaTheme="minorEastAsia" w:cstheme="minorHAnsi"/>
                <w:sz w:val="16"/>
                <w:szCs w:val="16"/>
              </w:rPr>
              <w:t xml:space="preserve"> (2012)</w:t>
            </w:r>
          </w:p>
        </w:tc>
        <w:tc>
          <w:tcPr>
            <w:tcW w:w="574" w:type="pct"/>
            <w:tcBorders>
              <w:top w:val="single" w:sz="4" w:space="0" w:color="auto"/>
              <w:left w:val="nil"/>
              <w:right w:val="nil"/>
            </w:tcBorders>
            <w:noWrap/>
          </w:tcPr>
          <w:p w14:paraId="3F4C74CD"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2,295,071</w:t>
            </w:r>
          </w:p>
        </w:tc>
        <w:tc>
          <w:tcPr>
            <w:tcW w:w="322" w:type="pct"/>
            <w:tcBorders>
              <w:top w:val="single" w:sz="4" w:space="0" w:color="auto"/>
              <w:left w:val="nil"/>
              <w:right w:val="nil"/>
            </w:tcBorders>
            <w:noWrap/>
          </w:tcPr>
          <w:p w14:paraId="7329A4DA"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19.1</w:t>
            </w:r>
          </w:p>
        </w:tc>
        <w:tc>
          <w:tcPr>
            <w:tcW w:w="643" w:type="pct"/>
            <w:tcBorders>
              <w:top w:val="single" w:sz="4" w:space="0" w:color="auto"/>
              <w:left w:val="nil"/>
              <w:right w:val="nil"/>
            </w:tcBorders>
          </w:tcPr>
          <w:p w14:paraId="1FA62ADF"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5,438,530</w:t>
            </w:r>
          </w:p>
        </w:tc>
        <w:tc>
          <w:tcPr>
            <w:tcW w:w="322" w:type="pct"/>
            <w:tcBorders>
              <w:top w:val="single" w:sz="4" w:space="0" w:color="auto"/>
              <w:left w:val="nil"/>
              <w:right w:val="nil"/>
            </w:tcBorders>
            <w:noWrap/>
          </w:tcPr>
          <w:p w14:paraId="44C7613D"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13.2</w:t>
            </w:r>
          </w:p>
        </w:tc>
      </w:tr>
      <w:tr w:rsidR="00EE0150" w:rsidRPr="006A493D" w14:paraId="0E3A354C" w14:textId="77777777" w:rsidTr="005271E0">
        <w:trPr>
          <w:trHeight w:val="300"/>
        </w:trPr>
        <w:tc>
          <w:tcPr>
            <w:tcW w:w="1176" w:type="pct"/>
            <w:tcBorders>
              <w:left w:val="nil"/>
              <w:bottom w:val="single" w:sz="4" w:space="0" w:color="auto"/>
              <w:right w:val="nil"/>
            </w:tcBorders>
            <w:noWrap/>
          </w:tcPr>
          <w:p w14:paraId="459EBAED" w14:textId="77777777" w:rsidR="00EE0150" w:rsidRPr="006A493D" w:rsidRDefault="00EE0150" w:rsidP="005271E0">
            <w:pPr>
              <w:spacing w:after="0" w:line="240" w:lineRule="auto"/>
              <w:rPr>
                <w:rFonts w:eastAsiaTheme="minorEastAsia" w:cstheme="minorHAnsi"/>
                <w:sz w:val="16"/>
                <w:szCs w:val="16"/>
              </w:rPr>
            </w:pPr>
          </w:p>
        </w:tc>
        <w:tc>
          <w:tcPr>
            <w:tcW w:w="1962" w:type="pct"/>
            <w:tcBorders>
              <w:left w:val="nil"/>
              <w:bottom w:val="single" w:sz="4" w:space="0" w:color="auto"/>
              <w:right w:val="nil"/>
            </w:tcBorders>
            <w:noWrap/>
          </w:tcPr>
          <w:p w14:paraId="7575E811"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Other</w:t>
            </w:r>
          </w:p>
        </w:tc>
        <w:tc>
          <w:tcPr>
            <w:tcW w:w="574" w:type="pct"/>
            <w:tcBorders>
              <w:left w:val="nil"/>
              <w:bottom w:val="single" w:sz="4" w:space="0" w:color="auto"/>
              <w:right w:val="nil"/>
            </w:tcBorders>
            <w:noWrap/>
          </w:tcPr>
          <w:p w14:paraId="4754C970"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9,707,272</w:t>
            </w:r>
          </w:p>
        </w:tc>
        <w:tc>
          <w:tcPr>
            <w:tcW w:w="322" w:type="pct"/>
            <w:tcBorders>
              <w:left w:val="nil"/>
              <w:bottom w:val="single" w:sz="4" w:space="0" w:color="auto"/>
              <w:right w:val="nil"/>
            </w:tcBorders>
            <w:noWrap/>
          </w:tcPr>
          <w:p w14:paraId="1AC0B1DF"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80.9</w:t>
            </w:r>
          </w:p>
        </w:tc>
        <w:tc>
          <w:tcPr>
            <w:tcW w:w="643" w:type="pct"/>
            <w:tcBorders>
              <w:left w:val="nil"/>
              <w:bottom w:val="single" w:sz="4" w:space="0" w:color="auto"/>
              <w:right w:val="nil"/>
            </w:tcBorders>
          </w:tcPr>
          <w:p w14:paraId="6D7465DE"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35,656,660</w:t>
            </w:r>
          </w:p>
        </w:tc>
        <w:tc>
          <w:tcPr>
            <w:tcW w:w="322" w:type="pct"/>
            <w:tcBorders>
              <w:left w:val="nil"/>
              <w:bottom w:val="single" w:sz="4" w:space="0" w:color="auto"/>
              <w:right w:val="nil"/>
            </w:tcBorders>
            <w:noWrap/>
          </w:tcPr>
          <w:p w14:paraId="2574D5C9"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86.8</w:t>
            </w:r>
          </w:p>
        </w:tc>
      </w:tr>
      <w:tr w:rsidR="00EE0150" w:rsidRPr="006A493D" w14:paraId="1A92CDFB" w14:textId="77777777" w:rsidTr="005271E0">
        <w:trPr>
          <w:trHeight w:val="300"/>
        </w:trPr>
        <w:tc>
          <w:tcPr>
            <w:tcW w:w="1176" w:type="pct"/>
            <w:tcBorders>
              <w:top w:val="single" w:sz="4" w:space="0" w:color="auto"/>
              <w:left w:val="nil"/>
              <w:right w:val="nil"/>
            </w:tcBorders>
            <w:noWrap/>
            <w:hideMark/>
          </w:tcPr>
          <w:p w14:paraId="6A1B5DB4"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Health</w:t>
            </w:r>
          </w:p>
        </w:tc>
        <w:tc>
          <w:tcPr>
            <w:tcW w:w="1962" w:type="pct"/>
            <w:tcBorders>
              <w:top w:val="single" w:sz="4" w:space="0" w:color="auto"/>
              <w:left w:val="nil"/>
              <w:right w:val="nil"/>
            </w:tcBorders>
            <w:noWrap/>
            <w:hideMark/>
          </w:tcPr>
          <w:p w14:paraId="36E6ABF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Disabled</w:t>
            </w:r>
          </w:p>
        </w:tc>
        <w:tc>
          <w:tcPr>
            <w:tcW w:w="574" w:type="pct"/>
            <w:tcBorders>
              <w:top w:val="single" w:sz="4" w:space="0" w:color="auto"/>
              <w:left w:val="nil"/>
              <w:right w:val="nil"/>
            </w:tcBorders>
            <w:noWrap/>
          </w:tcPr>
          <w:p w14:paraId="4A5FF9F2"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1,108,137</w:t>
            </w:r>
          </w:p>
        </w:tc>
        <w:tc>
          <w:tcPr>
            <w:tcW w:w="322" w:type="pct"/>
            <w:tcBorders>
              <w:top w:val="single" w:sz="4" w:space="0" w:color="auto"/>
              <w:left w:val="nil"/>
              <w:right w:val="nil"/>
            </w:tcBorders>
            <w:noWrap/>
          </w:tcPr>
          <w:p w14:paraId="5F04A33C"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9.2</w:t>
            </w:r>
          </w:p>
        </w:tc>
        <w:tc>
          <w:tcPr>
            <w:tcW w:w="643" w:type="pct"/>
            <w:tcBorders>
              <w:top w:val="single" w:sz="4" w:space="0" w:color="auto"/>
              <w:left w:val="nil"/>
              <w:right w:val="nil"/>
            </w:tcBorders>
          </w:tcPr>
          <w:p w14:paraId="4FF72B55"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3,296,821</w:t>
            </w:r>
          </w:p>
        </w:tc>
        <w:tc>
          <w:tcPr>
            <w:tcW w:w="322" w:type="pct"/>
            <w:tcBorders>
              <w:top w:val="single" w:sz="4" w:space="0" w:color="auto"/>
              <w:left w:val="nil"/>
              <w:right w:val="nil"/>
            </w:tcBorders>
            <w:noWrap/>
          </w:tcPr>
          <w:p w14:paraId="5846435B"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8.0</w:t>
            </w:r>
          </w:p>
        </w:tc>
      </w:tr>
      <w:tr w:rsidR="00EE0150" w:rsidRPr="006A493D" w14:paraId="76892C58" w14:textId="77777777" w:rsidTr="005271E0">
        <w:trPr>
          <w:trHeight w:val="300"/>
        </w:trPr>
        <w:tc>
          <w:tcPr>
            <w:tcW w:w="1176" w:type="pct"/>
            <w:tcBorders>
              <w:left w:val="nil"/>
              <w:bottom w:val="single" w:sz="4" w:space="0" w:color="auto"/>
              <w:right w:val="nil"/>
            </w:tcBorders>
            <w:noWrap/>
          </w:tcPr>
          <w:p w14:paraId="0CF4DA72" w14:textId="77777777" w:rsidR="00EE0150" w:rsidRPr="006A493D" w:rsidRDefault="00EE0150" w:rsidP="005271E0">
            <w:pPr>
              <w:spacing w:after="0" w:line="240" w:lineRule="auto"/>
              <w:rPr>
                <w:rFonts w:eastAsiaTheme="minorEastAsia" w:cstheme="minorHAnsi"/>
                <w:sz w:val="16"/>
                <w:szCs w:val="16"/>
              </w:rPr>
            </w:pPr>
          </w:p>
        </w:tc>
        <w:tc>
          <w:tcPr>
            <w:tcW w:w="1962" w:type="pct"/>
            <w:tcBorders>
              <w:left w:val="nil"/>
              <w:bottom w:val="single" w:sz="4" w:space="0" w:color="auto"/>
              <w:right w:val="nil"/>
            </w:tcBorders>
            <w:noWrap/>
          </w:tcPr>
          <w:p w14:paraId="286D0D19"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Other</w:t>
            </w:r>
          </w:p>
        </w:tc>
        <w:tc>
          <w:tcPr>
            <w:tcW w:w="574" w:type="pct"/>
            <w:tcBorders>
              <w:left w:val="nil"/>
              <w:bottom w:val="single" w:sz="4" w:space="0" w:color="auto"/>
              <w:right w:val="nil"/>
            </w:tcBorders>
            <w:noWrap/>
          </w:tcPr>
          <w:p w14:paraId="7A9C4F12"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10,879,216</w:t>
            </w:r>
          </w:p>
        </w:tc>
        <w:tc>
          <w:tcPr>
            <w:tcW w:w="322" w:type="pct"/>
            <w:tcBorders>
              <w:left w:val="nil"/>
              <w:bottom w:val="single" w:sz="4" w:space="0" w:color="auto"/>
              <w:right w:val="nil"/>
            </w:tcBorders>
            <w:noWrap/>
          </w:tcPr>
          <w:p w14:paraId="59926152"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90.8</w:t>
            </w:r>
          </w:p>
        </w:tc>
        <w:tc>
          <w:tcPr>
            <w:tcW w:w="643" w:type="pct"/>
            <w:tcBorders>
              <w:left w:val="nil"/>
              <w:bottom w:val="single" w:sz="4" w:space="0" w:color="auto"/>
              <w:right w:val="nil"/>
            </w:tcBorders>
          </w:tcPr>
          <w:p w14:paraId="5FAC6353"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37,718,704</w:t>
            </w:r>
          </w:p>
        </w:tc>
        <w:tc>
          <w:tcPr>
            <w:tcW w:w="322" w:type="pct"/>
            <w:tcBorders>
              <w:left w:val="nil"/>
              <w:bottom w:val="single" w:sz="4" w:space="0" w:color="auto"/>
              <w:right w:val="nil"/>
            </w:tcBorders>
            <w:noWrap/>
          </w:tcPr>
          <w:p w14:paraId="736B4D80"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92.0</w:t>
            </w:r>
          </w:p>
        </w:tc>
      </w:tr>
      <w:tr w:rsidR="00EE0150" w:rsidRPr="006A493D" w14:paraId="4428DBE6" w14:textId="77777777" w:rsidTr="005271E0">
        <w:trPr>
          <w:trHeight w:val="300"/>
        </w:trPr>
        <w:tc>
          <w:tcPr>
            <w:tcW w:w="1176" w:type="pct"/>
            <w:tcBorders>
              <w:top w:val="nil"/>
              <w:left w:val="nil"/>
              <w:bottom w:val="nil"/>
              <w:right w:val="nil"/>
            </w:tcBorders>
            <w:noWrap/>
            <w:hideMark/>
          </w:tcPr>
          <w:p w14:paraId="07772E1F"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Housing tenure</w:t>
            </w:r>
          </w:p>
        </w:tc>
        <w:tc>
          <w:tcPr>
            <w:tcW w:w="1962" w:type="pct"/>
            <w:tcBorders>
              <w:top w:val="nil"/>
              <w:left w:val="nil"/>
              <w:bottom w:val="nil"/>
              <w:right w:val="nil"/>
            </w:tcBorders>
            <w:noWrap/>
          </w:tcPr>
          <w:p w14:paraId="0231225F"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Owner occupied</w:t>
            </w:r>
            <w:r>
              <w:rPr>
                <w:rFonts w:eastAsiaTheme="minorEastAsia" w:cstheme="minorHAnsi"/>
                <w:sz w:val="16"/>
                <w:szCs w:val="16"/>
              </w:rPr>
              <w:t xml:space="preserve"> (households)</w:t>
            </w:r>
          </w:p>
        </w:tc>
        <w:tc>
          <w:tcPr>
            <w:tcW w:w="574" w:type="pct"/>
            <w:tcBorders>
              <w:top w:val="nil"/>
              <w:left w:val="nil"/>
              <w:bottom w:val="nil"/>
              <w:right w:val="nil"/>
            </w:tcBorders>
            <w:noWrap/>
          </w:tcPr>
          <w:p w14:paraId="32005873"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2,723,965</w:t>
            </w:r>
          </w:p>
        </w:tc>
        <w:tc>
          <w:tcPr>
            <w:tcW w:w="322" w:type="pct"/>
            <w:tcBorders>
              <w:top w:val="nil"/>
              <w:left w:val="nil"/>
              <w:bottom w:val="nil"/>
              <w:right w:val="nil"/>
            </w:tcBorders>
            <w:noWrap/>
          </w:tcPr>
          <w:p w14:paraId="524E07A0"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55.2</w:t>
            </w:r>
          </w:p>
        </w:tc>
        <w:tc>
          <w:tcPr>
            <w:tcW w:w="643" w:type="pct"/>
            <w:tcBorders>
              <w:top w:val="nil"/>
              <w:left w:val="nil"/>
              <w:bottom w:val="nil"/>
              <w:right w:val="nil"/>
            </w:tcBorders>
          </w:tcPr>
          <w:p w14:paraId="1687596C"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11,248,792</w:t>
            </w:r>
          </w:p>
        </w:tc>
        <w:tc>
          <w:tcPr>
            <w:tcW w:w="322" w:type="pct"/>
            <w:tcBorders>
              <w:top w:val="nil"/>
              <w:left w:val="nil"/>
              <w:bottom w:val="nil"/>
              <w:right w:val="nil"/>
            </w:tcBorders>
            <w:noWrap/>
          </w:tcPr>
          <w:p w14:paraId="617E44F9"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65.7</w:t>
            </w:r>
          </w:p>
        </w:tc>
      </w:tr>
      <w:tr w:rsidR="00EE0150" w:rsidRPr="006A493D" w14:paraId="0491F758" w14:textId="77777777" w:rsidTr="005271E0">
        <w:trPr>
          <w:trHeight w:val="300"/>
        </w:trPr>
        <w:tc>
          <w:tcPr>
            <w:tcW w:w="1176" w:type="pct"/>
            <w:tcBorders>
              <w:top w:val="nil"/>
              <w:left w:val="nil"/>
              <w:right w:val="nil"/>
            </w:tcBorders>
            <w:noWrap/>
            <w:hideMark/>
          </w:tcPr>
          <w:p w14:paraId="6E88DF6B" w14:textId="77777777" w:rsidR="00EE0150" w:rsidRPr="006A493D" w:rsidRDefault="00EE0150" w:rsidP="005271E0">
            <w:pPr>
              <w:spacing w:after="0" w:line="240" w:lineRule="auto"/>
              <w:rPr>
                <w:rFonts w:eastAsiaTheme="minorEastAsia" w:cstheme="minorHAnsi"/>
                <w:sz w:val="16"/>
                <w:szCs w:val="16"/>
              </w:rPr>
            </w:pPr>
          </w:p>
        </w:tc>
        <w:tc>
          <w:tcPr>
            <w:tcW w:w="1962" w:type="pct"/>
            <w:tcBorders>
              <w:top w:val="nil"/>
              <w:left w:val="nil"/>
              <w:right w:val="nil"/>
            </w:tcBorders>
            <w:noWrap/>
          </w:tcPr>
          <w:p w14:paraId="13EFF60C"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Social rented</w:t>
            </w:r>
            <w:r>
              <w:rPr>
                <w:rFonts w:eastAsiaTheme="minorEastAsia" w:cstheme="minorHAnsi"/>
                <w:sz w:val="16"/>
                <w:szCs w:val="16"/>
              </w:rPr>
              <w:t xml:space="preserve"> (households)</w:t>
            </w:r>
          </w:p>
        </w:tc>
        <w:tc>
          <w:tcPr>
            <w:tcW w:w="574" w:type="pct"/>
            <w:tcBorders>
              <w:top w:val="nil"/>
              <w:left w:val="nil"/>
              <w:right w:val="nil"/>
            </w:tcBorders>
            <w:noWrap/>
          </w:tcPr>
          <w:p w14:paraId="77BEECAB"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1,128,019</w:t>
            </w:r>
          </w:p>
        </w:tc>
        <w:tc>
          <w:tcPr>
            <w:tcW w:w="322" w:type="pct"/>
            <w:tcBorders>
              <w:top w:val="nil"/>
              <w:left w:val="nil"/>
              <w:right w:val="nil"/>
            </w:tcBorders>
            <w:noWrap/>
          </w:tcPr>
          <w:p w14:paraId="728A52CE"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22.9</w:t>
            </w:r>
          </w:p>
        </w:tc>
        <w:tc>
          <w:tcPr>
            <w:tcW w:w="643" w:type="pct"/>
            <w:tcBorders>
              <w:top w:val="nil"/>
              <w:left w:val="nil"/>
              <w:right w:val="nil"/>
            </w:tcBorders>
          </w:tcPr>
          <w:p w14:paraId="3F979E40"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2,774,627</w:t>
            </w:r>
          </w:p>
        </w:tc>
        <w:tc>
          <w:tcPr>
            <w:tcW w:w="322" w:type="pct"/>
            <w:tcBorders>
              <w:top w:val="nil"/>
              <w:left w:val="nil"/>
              <w:right w:val="nil"/>
            </w:tcBorders>
            <w:noWrap/>
          </w:tcPr>
          <w:p w14:paraId="369EC901"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16.2</w:t>
            </w:r>
          </w:p>
        </w:tc>
      </w:tr>
      <w:tr w:rsidR="00EE0150" w:rsidRPr="006A493D" w14:paraId="7C83BFD7" w14:textId="77777777" w:rsidTr="005271E0">
        <w:trPr>
          <w:trHeight w:val="300"/>
        </w:trPr>
        <w:tc>
          <w:tcPr>
            <w:tcW w:w="1176" w:type="pct"/>
            <w:tcBorders>
              <w:top w:val="nil"/>
              <w:left w:val="nil"/>
              <w:right w:val="nil"/>
            </w:tcBorders>
            <w:noWrap/>
            <w:hideMark/>
          </w:tcPr>
          <w:p w14:paraId="6ECAA57C" w14:textId="77777777" w:rsidR="00EE0150" w:rsidRPr="006A493D" w:rsidRDefault="00EE0150" w:rsidP="005271E0">
            <w:pPr>
              <w:spacing w:after="0" w:line="240" w:lineRule="auto"/>
              <w:rPr>
                <w:rFonts w:eastAsiaTheme="minorEastAsia" w:cstheme="minorHAnsi"/>
                <w:sz w:val="16"/>
                <w:szCs w:val="16"/>
              </w:rPr>
            </w:pPr>
          </w:p>
        </w:tc>
        <w:tc>
          <w:tcPr>
            <w:tcW w:w="1962" w:type="pct"/>
            <w:tcBorders>
              <w:top w:val="nil"/>
              <w:left w:val="nil"/>
              <w:right w:val="nil"/>
            </w:tcBorders>
            <w:noWrap/>
            <w:hideMark/>
          </w:tcPr>
          <w:p w14:paraId="6F3B80ED"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Private rented</w:t>
            </w:r>
            <w:r>
              <w:rPr>
                <w:rFonts w:eastAsiaTheme="minorEastAsia" w:cstheme="minorHAnsi"/>
                <w:sz w:val="16"/>
                <w:szCs w:val="16"/>
              </w:rPr>
              <w:t xml:space="preserve"> (households)</w:t>
            </w:r>
          </w:p>
        </w:tc>
        <w:tc>
          <w:tcPr>
            <w:tcW w:w="574" w:type="pct"/>
            <w:tcBorders>
              <w:top w:val="nil"/>
              <w:left w:val="nil"/>
              <w:right w:val="nil"/>
            </w:tcBorders>
            <w:noWrap/>
          </w:tcPr>
          <w:p w14:paraId="58CE001A"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978,382</w:t>
            </w:r>
          </w:p>
        </w:tc>
        <w:tc>
          <w:tcPr>
            <w:tcW w:w="322" w:type="pct"/>
            <w:tcBorders>
              <w:top w:val="nil"/>
              <w:left w:val="nil"/>
              <w:right w:val="nil"/>
            </w:tcBorders>
            <w:noWrap/>
          </w:tcPr>
          <w:p w14:paraId="71E6D6F5"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19.8</w:t>
            </w:r>
          </w:p>
        </w:tc>
        <w:tc>
          <w:tcPr>
            <w:tcW w:w="643" w:type="pct"/>
            <w:tcBorders>
              <w:top w:val="nil"/>
              <w:left w:val="nil"/>
              <w:right w:val="nil"/>
            </w:tcBorders>
          </w:tcPr>
          <w:p w14:paraId="3FD17C53"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2,735,675</w:t>
            </w:r>
          </w:p>
        </w:tc>
        <w:tc>
          <w:tcPr>
            <w:tcW w:w="322" w:type="pct"/>
            <w:tcBorders>
              <w:top w:val="nil"/>
              <w:left w:val="nil"/>
              <w:right w:val="nil"/>
            </w:tcBorders>
            <w:noWrap/>
          </w:tcPr>
          <w:p w14:paraId="629B57CA"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16.0</w:t>
            </w:r>
          </w:p>
        </w:tc>
      </w:tr>
      <w:tr w:rsidR="00EE0150" w:rsidRPr="006A493D" w14:paraId="3AB3F739" w14:textId="77777777" w:rsidTr="005271E0">
        <w:trPr>
          <w:trHeight w:val="300"/>
        </w:trPr>
        <w:tc>
          <w:tcPr>
            <w:tcW w:w="1176" w:type="pct"/>
            <w:tcBorders>
              <w:left w:val="nil"/>
              <w:bottom w:val="single" w:sz="4" w:space="0" w:color="auto"/>
              <w:right w:val="nil"/>
            </w:tcBorders>
            <w:noWrap/>
          </w:tcPr>
          <w:p w14:paraId="656384AD" w14:textId="77777777" w:rsidR="00EE0150" w:rsidRPr="006A493D" w:rsidRDefault="00EE0150" w:rsidP="005271E0">
            <w:pPr>
              <w:spacing w:after="0" w:line="240" w:lineRule="auto"/>
              <w:rPr>
                <w:rFonts w:eastAsiaTheme="minorEastAsia" w:cstheme="minorHAnsi"/>
                <w:sz w:val="16"/>
                <w:szCs w:val="16"/>
              </w:rPr>
            </w:pPr>
          </w:p>
        </w:tc>
        <w:tc>
          <w:tcPr>
            <w:tcW w:w="1962" w:type="pct"/>
            <w:tcBorders>
              <w:left w:val="nil"/>
              <w:bottom w:val="single" w:sz="4" w:space="0" w:color="auto"/>
              <w:right w:val="nil"/>
            </w:tcBorders>
            <w:noWrap/>
          </w:tcPr>
          <w:p w14:paraId="35E5DE81"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Other (households)</w:t>
            </w:r>
          </w:p>
        </w:tc>
        <w:tc>
          <w:tcPr>
            <w:tcW w:w="574" w:type="pct"/>
            <w:tcBorders>
              <w:left w:val="nil"/>
              <w:bottom w:val="single" w:sz="4" w:space="0" w:color="auto"/>
              <w:right w:val="nil"/>
            </w:tcBorders>
            <w:noWrap/>
          </w:tcPr>
          <w:p w14:paraId="4E95C5CA"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103,891</w:t>
            </w:r>
          </w:p>
        </w:tc>
        <w:tc>
          <w:tcPr>
            <w:tcW w:w="322" w:type="pct"/>
            <w:tcBorders>
              <w:left w:val="nil"/>
              <w:bottom w:val="single" w:sz="4" w:space="0" w:color="auto"/>
              <w:right w:val="nil"/>
            </w:tcBorders>
            <w:noWrap/>
          </w:tcPr>
          <w:p w14:paraId="62D1C8CC"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2.1</w:t>
            </w:r>
          </w:p>
        </w:tc>
        <w:tc>
          <w:tcPr>
            <w:tcW w:w="643" w:type="pct"/>
            <w:tcBorders>
              <w:left w:val="nil"/>
              <w:bottom w:val="single" w:sz="4" w:space="0" w:color="auto"/>
              <w:right w:val="nil"/>
            </w:tcBorders>
          </w:tcPr>
          <w:p w14:paraId="251121F6"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364,643</w:t>
            </w:r>
          </w:p>
        </w:tc>
        <w:tc>
          <w:tcPr>
            <w:tcW w:w="322" w:type="pct"/>
            <w:tcBorders>
              <w:left w:val="nil"/>
              <w:bottom w:val="single" w:sz="4" w:space="0" w:color="auto"/>
              <w:right w:val="nil"/>
            </w:tcBorders>
            <w:noWrap/>
          </w:tcPr>
          <w:p w14:paraId="1D50AAC5"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2.1</w:t>
            </w:r>
          </w:p>
        </w:tc>
      </w:tr>
      <w:tr w:rsidR="00EE0150" w:rsidRPr="006A493D" w14:paraId="098CB73C" w14:textId="77777777" w:rsidTr="005271E0">
        <w:trPr>
          <w:trHeight w:val="300"/>
        </w:trPr>
        <w:tc>
          <w:tcPr>
            <w:tcW w:w="1176" w:type="pct"/>
            <w:tcBorders>
              <w:top w:val="single" w:sz="4" w:space="0" w:color="auto"/>
              <w:left w:val="nil"/>
              <w:right w:val="nil"/>
            </w:tcBorders>
            <w:noWrap/>
            <w:hideMark/>
          </w:tcPr>
          <w:p w14:paraId="25200D44"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Housing other</w:t>
            </w:r>
          </w:p>
        </w:tc>
        <w:tc>
          <w:tcPr>
            <w:tcW w:w="1962" w:type="pct"/>
            <w:tcBorders>
              <w:top w:val="single" w:sz="4" w:space="0" w:color="auto"/>
              <w:left w:val="nil"/>
              <w:right w:val="nil"/>
            </w:tcBorders>
            <w:noWrap/>
            <w:hideMark/>
          </w:tcPr>
          <w:p w14:paraId="59A9AF16"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xml:space="preserve">Overcrowded </w:t>
            </w:r>
            <w:r>
              <w:rPr>
                <w:rFonts w:eastAsiaTheme="minorEastAsia" w:cstheme="minorHAnsi"/>
                <w:sz w:val="16"/>
                <w:szCs w:val="16"/>
              </w:rPr>
              <w:t xml:space="preserve">- </w:t>
            </w:r>
            <w:r w:rsidRPr="006A493D">
              <w:rPr>
                <w:rFonts w:eastAsiaTheme="minorEastAsia" w:cstheme="minorHAnsi"/>
                <w:sz w:val="16"/>
                <w:szCs w:val="16"/>
              </w:rPr>
              <w:t>bedroom standard</w:t>
            </w:r>
            <w:r>
              <w:rPr>
                <w:rFonts w:eastAsiaTheme="minorEastAsia" w:cstheme="minorHAnsi"/>
                <w:sz w:val="16"/>
                <w:szCs w:val="16"/>
              </w:rPr>
              <w:t xml:space="preserve"> (</w:t>
            </w:r>
            <w:r w:rsidRPr="006A493D">
              <w:rPr>
                <w:rFonts w:eastAsiaTheme="minorEastAsia" w:cstheme="minorHAnsi"/>
                <w:sz w:val="16"/>
                <w:szCs w:val="16"/>
              </w:rPr>
              <w:t>households)</w:t>
            </w:r>
          </w:p>
        </w:tc>
        <w:tc>
          <w:tcPr>
            <w:tcW w:w="574" w:type="pct"/>
            <w:tcBorders>
              <w:top w:val="single" w:sz="4" w:space="0" w:color="auto"/>
              <w:left w:val="nil"/>
              <w:right w:val="nil"/>
            </w:tcBorders>
            <w:noWrap/>
          </w:tcPr>
          <w:p w14:paraId="5DAEC079"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339,259</w:t>
            </w:r>
          </w:p>
        </w:tc>
        <w:tc>
          <w:tcPr>
            <w:tcW w:w="322" w:type="pct"/>
            <w:tcBorders>
              <w:top w:val="single" w:sz="4" w:space="0" w:color="auto"/>
              <w:left w:val="nil"/>
              <w:right w:val="nil"/>
            </w:tcBorders>
            <w:noWrap/>
          </w:tcPr>
          <w:p w14:paraId="141AC7DD"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6.9</w:t>
            </w:r>
          </w:p>
        </w:tc>
        <w:tc>
          <w:tcPr>
            <w:tcW w:w="643" w:type="pct"/>
            <w:tcBorders>
              <w:top w:val="single" w:sz="4" w:space="0" w:color="auto"/>
              <w:left w:val="nil"/>
              <w:right w:val="nil"/>
            </w:tcBorders>
          </w:tcPr>
          <w:p w14:paraId="62721DF5"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684,937</w:t>
            </w:r>
          </w:p>
        </w:tc>
        <w:tc>
          <w:tcPr>
            <w:tcW w:w="322" w:type="pct"/>
            <w:tcBorders>
              <w:top w:val="single" w:sz="4" w:space="0" w:color="auto"/>
              <w:left w:val="nil"/>
              <w:right w:val="nil"/>
            </w:tcBorders>
            <w:noWrap/>
          </w:tcPr>
          <w:p w14:paraId="4EF43471"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4.0</w:t>
            </w:r>
          </w:p>
        </w:tc>
      </w:tr>
      <w:tr w:rsidR="00EE0150" w:rsidRPr="006A493D" w14:paraId="7EE8C6DD" w14:textId="77777777" w:rsidTr="005271E0">
        <w:trPr>
          <w:trHeight w:val="300"/>
        </w:trPr>
        <w:tc>
          <w:tcPr>
            <w:tcW w:w="1176" w:type="pct"/>
            <w:tcBorders>
              <w:left w:val="nil"/>
              <w:bottom w:val="single" w:sz="4" w:space="0" w:color="auto"/>
              <w:right w:val="nil"/>
            </w:tcBorders>
            <w:noWrap/>
          </w:tcPr>
          <w:p w14:paraId="765E26A6" w14:textId="77777777" w:rsidR="00EE0150" w:rsidRPr="006A493D" w:rsidRDefault="00EE0150" w:rsidP="005271E0">
            <w:pPr>
              <w:spacing w:after="0" w:line="240" w:lineRule="auto"/>
              <w:rPr>
                <w:rFonts w:eastAsiaTheme="minorEastAsia" w:cstheme="minorHAnsi"/>
                <w:sz w:val="16"/>
                <w:szCs w:val="16"/>
              </w:rPr>
            </w:pPr>
          </w:p>
        </w:tc>
        <w:tc>
          <w:tcPr>
            <w:tcW w:w="1962" w:type="pct"/>
            <w:tcBorders>
              <w:left w:val="nil"/>
              <w:bottom w:val="single" w:sz="4" w:space="0" w:color="auto"/>
              <w:right w:val="nil"/>
            </w:tcBorders>
            <w:noWrap/>
          </w:tcPr>
          <w:p w14:paraId="14FDB4CE"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Other (</w:t>
            </w:r>
            <w:r w:rsidRPr="006A493D">
              <w:rPr>
                <w:rFonts w:eastAsiaTheme="minorEastAsia" w:cstheme="minorHAnsi"/>
                <w:sz w:val="16"/>
                <w:szCs w:val="16"/>
              </w:rPr>
              <w:t>households</w:t>
            </w:r>
            <w:r>
              <w:rPr>
                <w:rFonts w:eastAsiaTheme="minorEastAsia" w:cstheme="minorHAnsi"/>
                <w:sz w:val="16"/>
                <w:szCs w:val="16"/>
              </w:rPr>
              <w:t>)</w:t>
            </w:r>
          </w:p>
        </w:tc>
        <w:tc>
          <w:tcPr>
            <w:tcW w:w="574" w:type="pct"/>
            <w:tcBorders>
              <w:left w:val="nil"/>
              <w:bottom w:val="single" w:sz="4" w:space="0" w:color="auto"/>
              <w:right w:val="nil"/>
            </w:tcBorders>
            <w:noWrap/>
          </w:tcPr>
          <w:p w14:paraId="640DF81C"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4,594,998</w:t>
            </w:r>
          </w:p>
        </w:tc>
        <w:tc>
          <w:tcPr>
            <w:tcW w:w="322" w:type="pct"/>
            <w:tcBorders>
              <w:left w:val="nil"/>
              <w:bottom w:val="single" w:sz="4" w:space="0" w:color="auto"/>
              <w:right w:val="nil"/>
            </w:tcBorders>
            <w:noWrap/>
          </w:tcPr>
          <w:p w14:paraId="06F429A2"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93.1</w:t>
            </w:r>
          </w:p>
        </w:tc>
        <w:tc>
          <w:tcPr>
            <w:tcW w:w="643" w:type="pct"/>
            <w:tcBorders>
              <w:left w:val="nil"/>
              <w:bottom w:val="single" w:sz="4" w:space="0" w:color="auto"/>
              <w:right w:val="nil"/>
            </w:tcBorders>
          </w:tcPr>
          <w:p w14:paraId="5FEDEF10"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16,438,800</w:t>
            </w:r>
          </w:p>
        </w:tc>
        <w:tc>
          <w:tcPr>
            <w:tcW w:w="322" w:type="pct"/>
            <w:tcBorders>
              <w:left w:val="nil"/>
              <w:bottom w:val="single" w:sz="4" w:space="0" w:color="auto"/>
              <w:right w:val="nil"/>
            </w:tcBorders>
            <w:noWrap/>
          </w:tcPr>
          <w:p w14:paraId="45F91007"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96.0</w:t>
            </w:r>
          </w:p>
        </w:tc>
      </w:tr>
      <w:tr w:rsidR="00EE0150" w:rsidRPr="006A493D" w14:paraId="08948258" w14:textId="77777777" w:rsidTr="005271E0">
        <w:trPr>
          <w:trHeight w:val="300"/>
        </w:trPr>
        <w:tc>
          <w:tcPr>
            <w:tcW w:w="1176" w:type="pct"/>
            <w:tcBorders>
              <w:top w:val="single" w:sz="4" w:space="0" w:color="auto"/>
              <w:left w:val="nil"/>
              <w:right w:val="nil"/>
            </w:tcBorders>
            <w:noWrap/>
          </w:tcPr>
          <w:p w14:paraId="432202D2"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Local government structure</w:t>
            </w:r>
          </w:p>
        </w:tc>
        <w:tc>
          <w:tcPr>
            <w:tcW w:w="1962" w:type="pct"/>
            <w:tcBorders>
              <w:top w:val="single" w:sz="4" w:space="0" w:color="auto"/>
              <w:left w:val="nil"/>
              <w:right w:val="nil"/>
            </w:tcBorders>
            <w:noWrap/>
          </w:tcPr>
          <w:p w14:paraId="0AD319EB"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Single tier local authority</w:t>
            </w:r>
          </w:p>
        </w:tc>
        <w:tc>
          <w:tcPr>
            <w:tcW w:w="574" w:type="pct"/>
            <w:tcBorders>
              <w:top w:val="single" w:sz="4" w:space="0" w:color="auto"/>
              <w:left w:val="nil"/>
              <w:right w:val="nil"/>
            </w:tcBorders>
            <w:noWrap/>
          </w:tcPr>
          <w:p w14:paraId="5F9607DD"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38</w:t>
            </w:r>
          </w:p>
        </w:tc>
        <w:tc>
          <w:tcPr>
            <w:tcW w:w="322" w:type="pct"/>
            <w:tcBorders>
              <w:top w:val="single" w:sz="4" w:space="0" w:color="auto"/>
              <w:left w:val="nil"/>
              <w:right w:val="nil"/>
            </w:tcBorders>
            <w:noWrap/>
          </w:tcPr>
          <w:p w14:paraId="19B88BAB"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77.6</w:t>
            </w:r>
          </w:p>
        </w:tc>
        <w:tc>
          <w:tcPr>
            <w:tcW w:w="643" w:type="pct"/>
            <w:tcBorders>
              <w:top w:val="single" w:sz="4" w:space="0" w:color="auto"/>
              <w:left w:val="nil"/>
              <w:right w:val="nil"/>
            </w:tcBorders>
          </w:tcPr>
          <w:p w14:paraId="57D2E58D"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85</w:t>
            </w:r>
          </w:p>
        </w:tc>
        <w:tc>
          <w:tcPr>
            <w:tcW w:w="322" w:type="pct"/>
            <w:tcBorders>
              <w:top w:val="single" w:sz="4" w:space="0" w:color="auto"/>
              <w:left w:val="nil"/>
              <w:right w:val="nil"/>
            </w:tcBorders>
            <w:noWrap/>
          </w:tcPr>
          <w:p w14:paraId="50BD4889"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30.9</w:t>
            </w:r>
          </w:p>
        </w:tc>
      </w:tr>
      <w:tr w:rsidR="00EE0150" w:rsidRPr="006A493D" w14:paraId="3DA615AA" w14:textId="77777777" w:rsidTr="005271E0">
        <w:trPr>
          <w:trHeight w:val="300"/>
        </w:trPr>
        <w:tc>
          <w:tcPr>
            <w:tcW w:w="1176" w:type="pct"/>
            <w:tcBorders>
              <w:left w:val="nil"/>
              <w:bottom w:val="single" w:sz="4" w:space="0" w:color="auto"/>
              <w:right w:val="nil"/>
            </w:tcBorders>
            <w:noWrap/>
          </w:tcPr>
          <w:p w14:paraId="445923E3" w14:textId="77777777" w:rsidR="00EE0150" w:rsidRDefault="00EE0150" w:rsidP="005271E0">
            <w:pPr>
              <w:spacing w:after="0" w:line="240" w:lineRule="auto"/>
              <w:rPr>
                <w:rFonts w:eastAsiaTheme="minorEastAsia" w:cstheme="minorHAnsi"/>
                <w:sz w:val="16"/>
                <w:szCs w:val="16"/>
              </w:rPr>
            </w:pPr>
          </w:p>
        </w:tc>
        <w:tc>
          <w:tcPr>
            <w:tcW w:w="1962" w:type="pct"/>
            <w:tcBorders>
              <w:left w:val="nil"/>
              <w:bottom w:val="single" w:sz="4" w:space="0" w:color="auto"/>
              <w:right w:val="nil"/>
            </w:tcBorders>
            <w:noWrap/>
          </w:tcPr>
          <w:p w14:paraId="2AC2A4F7"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Two-tier local authority</w:t>
            </w:r>
          </w:p>
        </w:tc>
        <w:tc>
          <w:tcPr>
            <w:tcW w:w="574" w:type="pct"/>
            <w:tcBorders>
              <w:left w:val="nil"/>
              <w:bottom w:val="single" w:sz="4" w:space="0" w:color="auto"/>
              <w:right w:val="nil"/>
            </w:tcBorders>
            <w:noWrap/>
          </w:tcPr>
          <w:p w14:paraId="083F67FB"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11</w:t>
            </w:r>
          </w:p>
        </w:tc>
        <w:tc>
          <w:tcPr>
            <w:tcW w:w="322" w:type="pct"/>
            <w:tcBorders>
              <w:left w:val="nil"/>
              <w:bottom w:val="single" w:sz="4" w:space="0" w:color="auto"/>
              <w:right w:val="nil"/>
            </w:tcBorders>
            <w:noWrap/>
          </w:tcPr>
          <w:p w14:paraId="0384D045"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22.5</w:t>
            </w:r>
          </w:p>
        </w:tc>
        <w:tc>
          <w:tcPr>
            <w:tcW w:w="643" w:type="pct"/>
            <w:tcBorders>
              <w:left w:val="nil"/>
              <w:bottom w:val="single" w:sz="4" w:space="0" w:color="auto"/>
              <w:right w:val="nil"/>
            </w:tcBorders>
          </w:tcPr>
          <w:p w14:paraId="19369081"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190</w:t>
            </w:r>
          </w:p>
        </w:tc>
        <w:tc>
          <w:tcPr>
            <w:tcW w:w="322" w:type="pct"/>
            <w:tcBorders>
              <w:left w:val="nil"/>
              <w:bottom w:val="single" w:sz="4" w:space="0" w:color="auto"/>
              <w:right w:val="nil"/>
            </w:tcBorders>
            <w:noWrap/>
          </w:tcPr>
          <w:p w14:paraId="5D52697F" w14:textId="77777777" w:rsidR="00EE0150"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69.1</w:t>
            </w:r>
          </w:p>
        </w:tc>
      </w:tr>
      <w:tr w:rsidR="00EE0150" w:rsidRPr="006A493D" w14:paraId="23B64AD8" w14:textId="77777777" w:rsidTr="005271E0">
        <w:trPr>
          <w:trHeight w:val="300"/>
        </w:trPr>
        <w:tc>
          <w:tcPr>
            <w:tcW w:w="1176" w:type="pct"/>
            <w:tcBorders>
              <w:top w:val="single" w:sz="4" w:space="0" w:color="auto"/>
              <w:left w:val="nil"/>
              <w:bottom w:val="single" w:sz="4" w:space="0" w:color="auto"/>
              <w:right w:val="nil"/>
            </w:tcBorders>
            <w:noWrap/>
            <w:hideMark/>
          </w:tcPr>
          <w:p w14:paraId="2799DD25"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Antisocial behaviour</w:t>
            </w:r>
          </w:p>
        </w:tc>
        <w:tc>
          <w:tcPr>
            <w:tcW w:w="1962" w:type="pct"/>
            <w:tcBorders>
              <w:top w:val="single" w:sz="4" w:space="0" w:color="auto"/>
              <w:left w:val="nil"/>
              <w:bottom w:val="single" w:sz="4" w:space="0" w:color="auto"/>
              <w:right w:val="nil"/>
            </w:tcBorders>
            <w:noWrap/>
            <w:hideMark/>
          </w:tcPr>
          <w:p w14:paraId="54C5ABBB"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xml:space="preserve">ASB calls per </w:t>
            </w:r>
            <w:r>
              <w:rPr>
                <w:rFonts w:eastAsiaTheme="minorEastAsia" w:cstheme="minorHAnsi"/>
                <w:sz w:val="16"/>
                <w:szCs w:val="16"/>
              </w:rPr>
              <w:t>10,000 population (2011)</w:t>
            </w:r>
          </w:p>
        </w:tc>
        <w:tc>
          <w:tcPr>
            <w:tcW w:w="574" w:type="pct"/>
            <w:tcBorders>
              <w:top w:val="single" w:sz="4" w:space="0" w:color="auto"/>
              <w:left w:val="nil"/>
              <w:bottom w:val="single" w:sz="4" w:space="0" w:color="auto"/>
              <w:right w:val="nil"/>
            </w:tcBorders>
            <w:noWrap/>
          </w:tcPr>
          <w:p w14:paraId="3E5A163A"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618</w:t>
            </w:r>
          </w:p>
        </w:tc>
        <w:tc>
          <w:tcPr>
            <w:tcW w:w="322" w:type="pct"/>
            <w:tcBorders>
              <w:top w:val="single" w:sz="4" w:space="0" w:color="auto"/>
              <w:left w:val="nil"/>
              <w:bottom w:val="single" w:sz="4" w:space="0" w:color="auto"/>
              <w:right w:val="nil"/>
            </w:tcBorders>
            <w:noWrap/>
          </w:tcPr>
          <w:p w14:paraId="21137B20"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w:t>
            </w:r>
          </w:p>
        </w:tc>
        <w:tc>
          <w:tcPr>
            <w:tcW w:w="643" w:type="pct"/>
            <w:tcBorders>
              <w:top w:val="single" w:sz="4" w:space="0" w:color="auto"/>
              <w:left w:val="nil"/>
              <w:bottom w:val="single" w:sz="4" w:space="0" w:color="auto"/>
              <w:right w:val="nil"/>
            </w:tcBorders>
          </w:tcPr>
          <w:p w14:paraId="03673C1E"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450</w:t>
            </w:r>
          </w:p>
        </w:tc>
        <w:tc>
          <w:tcPr>
            <w:tcW w:w="322" w:type="pct"/>
            <w:tcBorders>
              <w:top w:val="single" w:sz="4" w:space="0" w:color="auto"/>
              <w:left w:val="nil"/>
              <w:bottom w:val="single" w:sz="4" w:space="0" w:color="auto"/>
              <w:right w:val="nil"/>
            </w:tcBorders>
            <w:noWrap/>
          </w:tcPr>
          <w:p w14:paraId="2A79F4EF" w14:textId="77777777" w:rsidR="00EE0150" w:rsidRPr="006A493D" w:rsidRDefault="00EE0150" w:rsidP="005271E0">
            <w:pPr>
              <w:spacing w:after="0" w:line="240" w:lineRule="auto"/>
              <w:jc w:val="right"/>
              <w:rPr>
                <w:rFonts w:eastAsiaTheme="minorEastAsia" w:cstheme="minorHAnsi"/>
                <w:sz w:val="16"/>
                <w:szCs w:val="16"/>
              </w:rPr>
            </w:pPr>
            <w:r>
              <w:rPr>
                <w:rFonts w:eastAsiaTheme="minorEastAsia" w:cstheme="minorHAnsi"/>
                <w:sz w:val="16"/>
                <w:szCs w:val="16"/>
              </w:rPr>
              <w:t>-</w:t>
            </w:r>
          </w:p>
        </w:tc>
      </w:tr>
    </w:tbl>
    <w:p w14:paraId="23620807" w14:textId="77777777" w:rsidR="00EE0150" w:rsidRDefault="00EE0150" w:rsidP="00EE0150">
      <w:pPr>
        <w:rPr>
          <w:rFonts w:cstheme="minorHAnsi"/>
        </w:rPr>
      </w:pPr>
    </w:p>
    <w:p w14:paraId="02DAB9EE" w14:textId="77777777" w:rsidR="00EE0150" w:rsidRDefault="00EE0150" w:rsidP="00EE0150">
      <w:pPr>
        <w:rPr>
          <w:i/>
          <w:iCs/>
          <w:color w:val="0E2841" w:themeColor="text2"/>
          <w:sz w:val="18"/>
          <w:szCs w:val="18"/>
        </w:rPr>
      </w:pPr>
      <w:r>
        <w:br w:type="page"/>
      </w:r>
    </w:p>
    <w:p w14:paraId="1C1B9A95" w14:textId="77777777" w:rsidR="00EE0150" w:rsidRDefault="00EE0150" w:rsidP="00EE0150">
      <w:pPr>
        <w:pStyle w:val="Caption"/>
      </w:pPr>
      <w:r w:rsidRPr="4427C4BE">
        <w:t>Table 2   Logit and spatial autoregressive logit models of SL policy adoption by local authorities in England considering 1</w:t>
      </w:r>
      <w:r w:rsidRPr="4427C4BE">
        <w:rPr>
          <w:vertAlign w:val="superscript"/>
        </w:rPr>
        <w:t>st</w:t>
      </w:r>
      <w:r w:rsidRPr="4427C4BE">
        <w:t xml:space="preserve"> and 2</w:t>
      </w:r>
      <w:r w:rsidRPr="4427C4BE">
        <w:rPr>
          <w:vertAlign w:val="superscript"/>
        </w:rPr>
        <w:t>nd</w:t>
      </w:r>
      <w:r w:rsidRPr="4427C4BE">
        <w:t xml:space="preserve"> order neighbours. Isles of Scilly and City of London excluded. </w:t>
      </w:r>
      <w:r>
        <w:t xml:space="preserve">Out of 324 local authorities, 49 adopted SL. </w:t>
      </w:r>
      <w:r w:rsidRPr="4427C4BE">
        <w:t>A) Socio-economic factors; B) Census 2011 Local Authority classification supergroups. 95% significance levels for the coefficients: &lt;.001***, &lt;.01*, &lt;.05*. ASB stands for antisocial behaviour calls per 10,000 population</w:t>
      </w:r>
      <w:r>
        <w:t xml:space="preserve"> and AUROC for </w:t>
      </w:r>
      <w:r w:rsidRPr="00913051">
        <w:t xml:space="preserve">Area under the Receiver Operator Characteristics </w:t>
      </w:r>
      <w:r>
        <w:t>curve</w:t>
      </w:r>
      <w:r w:rsidRPr="00913051">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885"/>
        <w:gridCol w:w="1468"/>
        <w:gridCol w:w="1621"/>
        <w:gridCol w:w="333"/>
        <w:gridCol w:w="1468"/>
        <w:gridCol w:w="1621"/>
      </w:tblGrid>
      <w:tr w:rsidR="00EE0150" w:rsidRPr="00582308" w14:paraId="65BE37B8" w14:textId="77777777" w:rsidTr="005271E0">
        <w:tc>
          <w:tcPr>
            <w:tcW w:w="1049" w:type="pct"/>
            <w:tcBorders>
              <w:top w:val="single" w:sz="4" w:space="0" w:color="auto"/>
            </w:tcBorders>
          </w:tcPr>
          <w:p w14:paraId="6A0605AB" w14:textId="77777777" w:rsidR="00EE0150" w:rsidRPr="00571CD5" w:rsidRDefault="00EE0150" w:rsidP="005271E0">
            <w:pPr>
              <w:rPr>
                <w:rFonts w:cstheme="minorHAnsi"/>
                <w:b/>
                <w:bCs/>
                <w:sz w:val="16"/>
                <w:szCs w:val="16"/>
              </w:rPr>
            </w:pPr>
            <w:r w:rsidRPr="00571CD5">
              <w:rPr>
                <w:rFonts w:cstheme="minorHAnsi"/>
                <w:b/>
                <w:bCs/>
                <w:sz w:val="16"/>
                <w:szCs w:val="16"/>
              </w:rPr>
              <w:t>A.</w:t>
            </w:r>
            <w:r>
              <w:rPr>
                <w:rFonts w:cstheme="minorHAnsi"/>
                <w:b/>
                <w:bCs/>
                <w:sz w:val="16"/>
                <w:szCs w:val="16"/>
              </w:rPr>
              <w:t xml:space="preserve"> </w:t>
            </w:r>
            <w:r w:rsidRPr="00571CD5">
              <w:rPr>
                <w:rFonts w:cstheme="minorHAnsi"/>
                <w:b/>
                <w:bCs/>
                <w:sz w:val="16"/>
                <w:szCs w:val="16"/>
              </w:rPr>
              <w:t>Exposures</w:t>
            </w:r>
          </w:p>
        </w:tc>
        <w:tc>
          <w:tcPr>
            <w:tcW w:w="473" w:type="pct"/>
            <w:tcBorders>
              <w:top w:val="single" w:sz="4" w:space="0" w:color="auto"/>
            </w:tcBorders>
          </w:tcPr>
          <w:p w14:paraId="0414632A" w14:textId="77777777" w:rsidR="00EE0150" w:rsidRPr="00582308" w:rsidRDefault="00EE0150" w:rsidP="005271E0">
            <w:pPr>
              <w:jc w:val="center"/>
              <w:rPr>
                <w:rFonts w:cstheme="minorHAnsi"/>
                <w:b/>
                <w:bCs/>
                <w:sz w:val="16"/>
                <w:szCs w:val="16"/>
              </w:rPr>
            </w:pPr>
          </w:p>
        </w:tc>
        <w:tc>
          <w:tcPr>
            <w:tcW w:w="1650" w:type="pct"/>
            <w:gridSpan w:val="2"/>
            <w:tcBorders>
              <w:top w:val="single" w:sz="4" w:space="0" w:color="auto"/>
              <w:bottom w:val="single" w:sz="4" w:space="0" w:color="auto"/>
            </w:tcBorders>
          </w:tcPr>
          <w:p w14:paraId="1D2D0745" w14:textId="77777777" w:rsidR="00EE0150" w:rsidRDefault="00EE0150" w:rsidP="005271E0">
            <w:pPr>
              <w:jc w:val="center"/>
              <w:rPr>
                <w:rFonts w:cstheme="minorHAnsi"/>
                <w:b/>
                <w:bCs/>
                <w:sz w:val="16"/>
                <w:szCs w:val="16"/>
              </w:rPr>
            </w:pPr>
            <w:r>
              <w:rPr>
                <w:rFonts w:cstheme="minorHAnsi"/>
                <w:b/>
                <w:bCs/>
                <w:sz w:val="16"/>
                <w:szCs w:val="16"/>
              </w:rPr>
              <w:t>1</w:t>
            </w:r>
            <w:r w:rsidRPr="00024126">
              <w:rPr>
                <w:rFonts w:cstheme="minorHAnsi"/>
                <w:b/>
                <w:bCs/>
                <w:sz w:val="16"/>
                <w:szCs w:val="16"/>
                <w:vertAlign w:val="superscript"/>
              </w:rPr>
              <w:t>st</w:t>
            </w:r>
            <w:r>
              <w:rPr>
                <w:rFonts w:cstheme="minorHAnsi"/>
                <w:b/>
                <w:bCs/>
                <w:sz w:val="16"/>
                <w:szCs w:val="16"/>
              </w:rPr>
              <w:t xml:space="preserve"> order neighbours</w:t>
            </w:r>
          </w:p>
        </w:tc>
        <w:tc>
          <w:tcPr>
            <w:tcW w:w="178" w:type="pct"/>
            <w:tcBorders>
              <w:top w:val="single" w:sz="4" w:space="0" w:color="auto"/>
            </w:tcBorders>
          </w:tcPr>
          <w:p w14:paraId="637CA0B4" w14:textId="77777777" w:rsidR="00EE0150" w:rsidRDefault="00EE0150" w:rsidP="005271E0">
            <w:pPr>
              <w:jc w:val="center"/>
              <w:rPr>
                <w:rFonts w:cstheme="minorHAnsi"/>
                <w:b/>
                <w:bCs/>
                <w:sz w:val="16"/>
                <w:szCs w:val="16"/>
              </w:rPr>
            </w:pPr>
          </w:p>
        </w:tc>
        <w:tc>
          <w:tcPr>
            <w:tcW w:w="1650" w:type="pct"/>
            <w:gridSpan w:val="2"/>
            <w:tcBorders>
              <w:top w:val="single" w:sz="4" w:space="0" w:color="auto"/>
              <w:bottom w:val="single" w:sz="4" w:space="0" w:color="auto"/>
            </w:tcBorders>
          </w:tcPr>
          <w:p w14:paraId="3F2E13E6" w14:textId="77777777" w:rsidR="00EE0150" w:rsidRPr="00582308" w:rsidRDefault="00EE0150" w:rsidP="005271E0">
            <w:pPr>
              <w:jc w:val="center"/>
              <w:rPr>
                <w:rFonts w:cstheme="minorHAnsi"/>
                <w:b/>
                <w:bCs/>
                <w:sz w:val="16"/>
                <w:szCs w:val="16"/>
              </w:rPr>
            </w:pPr>
            <w:r>
              <w:rPr>
                <w:rFonts w:cstheme="minorHAnsi"/>
                <w:b/>
                <w:bCs/>
                <w:sz w:val="16"/>
                <w:szCs w:val="16"/>
              </w:rPr>
              <w:t>1</w:t>
            </w:r>
            <w:r w:rsidRPr="00024126">
              <w:rPr>
                <w:rFonts w:cstheme="minorHAnsi"/>
                <w:b/>
                <w:bCs/>
                <w:sz w:val="16"/>
                <w:szCs w:val="16"/>
                <w:vertAlign w:val="superscript"/>
              </w:rPr>
              <w:t>st</w:t>
            </w:r>
            <w:r>
              <w:rPr>
                <w:rFonts w:cstheme="minorHAnsi"/>
                <w:b/>
                <w:bCs/>
                <w:sz w:val="16"/>
                <w:szCs w:val="16"/>
              </w:rPr>
              <w:t xml:space="preserve"> + 2</w:t>
            </w:r>
            <w:r w:rsidRPr="00024126">
              <w:rPr>
                <w:rFonts w:cstheme="minorHAnsi"/>
                <w:b/>
                <w:bCs/>
                <w:sz w:val="16"/>
                <w:szCs w:val="16"/>
                <w:vertAlign w:val="superscript"/>
              </w:rPr>
              <w:t>nd</w:t>
            </w:r>
            <w:r>
              <w:rPr>
                <w:rFonts w:cstheme="minorHAnsi"/>
                <w:b/>
                <w:bCs/>
                <w:sz w:val="16"/>
                <w:szCs w:val="16"/>
              </w:rPr>
              <w:t xml:space="preserve"> order neighbours</w:t>
            </w:r>
          </w:p>
        </w:tc>
      </w:tr>
      <w:tr w:rsidR="00EE0150" w:rsidRPr="00582308" w14:paraId="651A5FC3" w14:textId="77777777" w:rsidTr="005271E0">
        <w:tc>
          <w:tcPr>
            <w:tcW w:w="1049" w:type="pct"/>
            <w:tcBorders>
              <w:bottom w:val="single" w:sz="4" w:space="0" w:color="auto"/>
            </w:tcBorders>
          </w:tcPr>
          <w:p w14:paraId="4D6C6D87" w14:textId="77777777" w:rsidR="00EE0150" w:rsidRPr="00582308" w:rsidRDefault="00EE0150" w:rsidP="005271E0">
            <w:pPr>
              <w:rPr>
                <w:rFonts w:cstheme="minorHAnsi"/>
                <w:b/>
                <w:bCs/>
                <w:sz w:val="16"/>
                <w:szCs w:val="16"/>
              </w:rPr>
            </w:pPr>
          </w:p>
        </w:tc>
        <w:tc>
          <w:tcPr>
            <w:tcW w:w="473" w:type="pct"/>
            <w:tcBorders>
              <w:bottom w:val="single" w:sz="4" w:space="0" w:color="auto"/>
            </w:tcBorders>
          </w:tcPr>
          <w:p w14:paraId="53B2AC28" w14:textId="77777777" w:rsidR="00EE0150" w:rsidRDefault="00EE0150" w:rsidP="005271E0">
            <w:pPr>
              <w:jc w:val="right"/>
              <w:rPr>
                <w:rFonts w:cstheme="minorHAnsi"/>
                <w:b/>
                <w:bCs/>
                <w:sz w:val="16"/>
                <w:szCs w:val="16"/>
              </w:rPr>
            </w:pPr>
            <w:r>
              <w:rPr>
                <w:rFonts w:cstheme="minorHAnsi"/>
                <w:b/>
                <w:bCs/>
                <w:sz w:val="16"/>
                <w:szCs w:val="16"/>
              </w:rPr>
              <w:t>Logit</w:t>
            </w:r>
          </w:p>
        </w:tc>
        <w:tc>
          <w:tcPr>
            <w:tcW w:w="784" w:type="pct"/>
            <w:tcBorders>
              <w:top w:val="single" w:sz="4" w:space="0" w:color="auto"/>
              <w:bottom w:val="single" w:sz="4" w:space="0" w:color="auto"/>
            </w:tcBorders>
          </w:tcPr>
          <w:p w14:paraId="08836BC0" w14:textId="77777777" w:rsidR="00EE0150" w:rsidRDefault="00EE0150" w:rsidP="005271E0">
            <w:pPr>
              <w:jc w:val="right"/>
              <w:rPr>
                <w:rFonts w:cstheme="minorHAnsi"/>
                <w:b/>
                <w:bCs/>
                <w:sz w:val="16"/>
                <w:szCs w:val="16"/>
              </w:rPr>
            </w:pPr>
            <w:r>
              <w:rPr>
                <w:rFonts w:cstheme="minorHAnsi"/>
                <w:b/>
                <w:bCs/>
                <w:sz w:val="16"/>
                <w:szCs w:val="16"/>
              </w:rPr>
              <w:t>Spatial lag</w:t>
            </w:r>
          </w:p>
        </w:tc>
        <w:tc>
          <w:tcPr>
            <w:tcW w:w="866" w:type="pct"/>
            <w:tcBorders>
              <w:top w:val="single" w:sz="4" w:space="0" w:color="auto"/>
              <w:bottom w:val="single" w:sz="4" w:space="0" w:color="auto"/>
            </w:tcBorders>
          </w:tcPr>
          <w:p w14:paraId="34C969D6" w14:textId="77777777" w:rsidR="00EE0150" w:rsidRDefault="00EE0150" w:rsidP="005271E0">
            <w:pPr>
              <w:jc w:val="right"/>
              <w:rPr>
                <w:rFonts w:cstheme="minorHAnsi"/>
                <w:b/>
                <w:bCs/>
                <w:sz w:val="16"/>
                <w:szCs w:val="16"/>
              </w:rPr>
            </w:pPr>
            <w:r>
              <w:rPr>
                <w:rFonts w:cstheme="minorHAnsi"/>
                <w:b/>
                <w:bCs/>
                <w:sz w:val="16"/>
                <w:szCs w:val="16"/>
              </w:rPr>
              <w:t>Spatial autoregressive logit</w:t>
            </w:r>
          </w:p>
        </w:tc>
        <w:tc>
          <w:tcPr>
            <w:tcW w:w="178" w:type="pct"/>
            <w:tcBorders>
              <w:bottom w:val="single" w:sz="4" w:space="0" w:color="auto"/>
            </w:tcBorders>
          </w:tcPr>
          <w:p w14:paraId="2DEDFC5A" w14:textId="77777777" w:rsidR="00EE0150" w:rsidRDefault="00EE0150" w:rsidP="005271E0">
            <w:pPr>
              <w:jc w:val="right"/>
              <w:rPr>
                <w:rFonts w:cstheme="minorHAnsi"/>
                <w:b/>
                <w:bCs/>
                <w:sz w:val="16"/>
                <w:szCs w:val="16"/>
              </w:rPr>
            </w:pPr>
          </w:p>
        </w:tc>
        <w:tc>
          <w:tcPr>
            <w:tcW w:w="784" w:type="pct"/>
            <w:tcBorders>
              <w:top w:val="single" w:sz="4" w:space="0" w:color="auto"/>
              <w:bottom w:val="single" w:sz="4" w:space="0" w:color="auto"/>
            </w:tcBorders>
          </w:tcPr>
          <w:p w14:paraId="1DF6D8B9" w14:textId="77777777" w:rsidR="00EE0150" w:rsidRDefault="00EE0150" w:rsidP="005271E0">
            <w:pPr>
              <w:jc w:val="right"/>
              <w:rPr>
                <w:rFonts w:cstheme="minorHAnsi"/>
                <w:b/>
                <w:bCs/>
                <w:sz w:val="16"/>
                <w:szCs w:val="16"/>
              </w:rPr>
            </w:pPr>
            <w:r>
              <w:rPr>
                <w:rFonts w:cstheme="minorHAnsi"/>
                <w:b/>
                <w:bCs/>
                <w:sz w:val="16"/>
                <w:szCs w:val="16"/>
              </w:rPr>
              <w:t>Spatial lag</w:t>
            </w:r>
          </w:p>
        </w:tc>
        <w:tc>
          <w:tcPr>
            <w:tcW w:w="866" w:type="pct"/>
            <w:tcBorders>
              <w:top w:val="single" w:sz="4" w:space="0" w:color="auto"/>
              <w:bottom w:val="single" w:sz="4" w:space="0" w:color="auto"/>
            </w:tcBorders>
          </w:tcPr>
          <w:p w14:paraId="21E4E463" w14:textId="77777777" w:rsidR="00EE0150" w:rsidRDefault="00EE0150" w:rsidP="005271E0">
            <w:pPr>
              <w:jc w:val="right"/>
              <w:rPr>
                <w:rFonts w:cstheme="minorHAnsi"/>
                <w:b/>
                <w:bCs/>
                <w:sz w:val="16"/>
                <w:szCs w:val="16"/>
              </w:rPr>
            </w:pPr>
            <w:r>
              <w:rPr>
                <w:rFonts w:cstheme="minorHAnsi"/>
                <w:b/>
                <w:bCs/>
                <w:sz w:val="16"/>
                <w:szCs w:val="16"/>
              </w:rPr>
              <w:t>Spatial autoregressive logit</w:t>
            </w:r>
          </w:p>
        </w:tc>
      </w:tr>
      <w:tr w:rsidR="00EE0150" w:rsidRPr="00582308" w14:paraId="67A08B97" w14:textId="77777777" w:rsidTr="005271E0">
        <w:tc>
          <w:tcPr>
            <w:tcW w:w="1049" w:type="pct"/>
            <w:tcBorders>
              <w:top w:val="single" w:sz="4" w:space="0" w:color="auto"/>
            </w:tcBorders>
          </w:tcPr>
          <w:p w14:paraId="3FD8A5B7" w14:textId="77777777" w:rsidR="00EE0150" w:rsidRPr="00582308" w:rsidRDefault="00EE0150" w:rsidP="005271E0">
            <w:pPr>
              <w:rPr>
                <w:rFonts w:cstheme="minorHAnsi"/>
                <w:sz w:val="16"/>
                <w:szCs w:val="16"/>
              </w:rPr>
            </w:pPr>
            <w:r>
              <w:rPr>
                <w:rFonts w:cstheme="minorHAnsi"/>
                <w:sz w:val="16"/>
                <w:szCs w:val="16"/>
              </w:rPr>
              <w:t>Income Support</w:t>
            </w:r>
          </w:p>
        </w:tc>
        <w:tc>
          <w:tcPr>
            <w:tcW w:w="473" w:type="pct"/>
            <w:tcBorders>
              <w:top w:val="single" w:sz="4" w:space="0" w:color="auto"/>
            </w:tcBorders>
          </w:tcPr>
          <w:p w14:paraId="755A2A34" w14:textId="77777777" w:rsidR="00EE0150" w:rsidRPr="00582308" w:rsidRDefault="00EE0150" w:rsidP="005271E0">
            <w:pPr>
              <w:jc w:val="right"/>
              <w:rPr>
                <w:rFonts w:cstheme="minorHAnsi"/>
                <w:sz w:val="16"/>
                <w:szCs w:val="16"/>
              </w:rPr>
            </w:pPr>
            <w:r>
              <w:rPr>
                <w:rFonts w:cstheme="minorHAnsi"/>
                <w:sz w:val="16"/>
                <w:szCs w:val="16"/>
              </w:rPr>
              <w:t>20**</w:t>
            </w:r>
          </w:p>
        </w:tc>
        <w:tc>
          <w:tcPr>
            <w:tcW w:w="784" w:type="pct"/>
            <w:tcBorders>
              <w:top w:val="single" w:sz="4" w:space="0" w:color="auto"/>
            </w:tcBorders>
          </w:tcPr>
          <w:p w14:paraId="1F120D18" w14:textId="77777777" w:rsidR="00EE0150" w:rsidRDefault="00EE0150" w:rsidP="005271E0">
            <w:pPr>
              <w:jc w:val="right"/>
              <w:rPr>
                <w:rFonts w:cstheme="minorHAnsi"/>
                <w:sz w:val="16"/>
                <w:szCs w:val="16"/>
              </w:rPr>
            </w:pPr>
          </w:p>
        </w:tc>
        <w:tc>
          <w:tcPr>
            <w:tcW w:w="866" w:type="pct"/>
            <w:tcBorders>
              <w:top w:val="single" w:sz="4" w:space="0" w:color="auto"/>
            </w:tcBorders>
          </w:tcPr>
          <w:p w14:paraId="128D2378" w14:textId="77777777" w:rsidR="00EE0150" w:rsidRDefault="00EE0150" w:rsidP="005271E0">
            <w:pPr>
              <w:jc w:val="right"/>
              <w:rPr>
                <w:rFonts w:cstheme="minorHAnsi"/>
                <w:sz w:val="16"/>
                <w:szCs w:val="16"/>
              </w:rPr>
            </w:pPr>
            <w:r>
              <w:rPr>
                <w:rFonts w:cstheme="minorHAnsi"/>
                <w:sz w:val="16"/>
                <w:szCs w:val="16"/>
              </w:rPr>
              <w:t>19.7**</w:t>
            </w:r>
          </w:p>
        </w:tc>
        <w:tc>
          <w:tcPr>
            <w:tcW w:w="178" w:type="pct"/>
            <w:tcBorders>
              <w:top w:val="single" w:sz="4" w:space="0" w:color="auto"/>
            </w:tcBorders>
          </w:tcPr>
          <w:p w14:paraId="4B966C96" w14:textId="77777777" w:rsidR="00EE0150" w:rsidRPr="00582308" w:rsidRDefault="00EE0150" w:rsidP="005271E0">
            <w:pPr>
              <w:jc w:val="right"/>
              <w:rPr>
                <w:rFonts w:cstheme="minorHAnsi"/>
                <w:sz w:val="16"/>
                <w:szCs w:val="16"/>
              </w:rPr>
            </w:pPr>
          </w:p>
        </w:tc>
        <w:tc>
          <w:tcPr>
            <w:tcW w:w="784" w:type="pct"/>
            <w:tcBorders>
              <w:top w:val="single" w:sz="4" w:space="0" w:color="auto"/>
            </w:tcBorders>
          </w:tcPr>
          <w:p w14:paraId="64D0A6F5" w14:textId="77777777" w:rsidR="00EE0150" w:rsidRPr="00582308" w:rsidRDefault="00EE0150" w:rsidP="005271E0">
            <w:pPr>
              <w:jc w:val="right"/>
              <w:rPr>
                <w:rFonts w:cstheme="minorHAnsi"/>
                <w:sz w:val="16"/>
                <w:szCs w:val="16"/>
              </w:rPr>
            </w:pPr>
          </w:p>
        </w:tc>
        <w:tc>
          <w:tcPr>
            <w:tcW w:w="866" w:type="pct"/>
            <w:tcBorders>
              <w:top w:val="single" w:sz="4" w:space="0" w:color="auto"/>
            </w:tcBorders>
          </w:tcPr>
          <w:p w14:paraId="33A1F77F" w14:textId="77777777" w:rsidR="00EE0150" w:rsidRPr="00582308" w:rsidRDefault="00EE0150" w:rsidP="005271E0">
            <w:pPr>
              <w:jc w:val="right"/>
              <w:rPr>
                <w:rFonts w:cstheme="minorHAnsi"/>
                <w:sz w:val="16"/>
                <w:szCs w:val="16"/>
              </w:rPr>
            </w:pPr>
            <w:r>
              <w:rPr>
                <w:rFonts w:cstheme="minorHAnsi"/>
                <w:sz w:val="16"/>
                <w:szCs w:val="16"/>
              </w:rPr>
              <w:t>17.08*</w:t>
            </w:r>
          </w:p>
        </w:tc>
      </w:tr>
      <w:tr w:rsidR="00EE0150" w:rsidRPr="00582308" w14:paraId="66867CC1" w14:textId="77777777" w:rsidTr="005271E0">
        <w:tc>
          <w:tcPr>
            <w:tcW w:w="1049" w:type="pct"/>
          </w:tcPr>
          <w:p w14:paraId="15181280" w14:textId="77777777" w:rsidR="00EE0150" w:rsidRPr="00582308" w:rsidRDefault="00EE0150" w:rsidP="005271E0">
            <w:pPr>
              <w:rPr>
                <w:rFonts w:cstheme="minorHAnsi"/>
                <w:sz w:val="16"/>
                <w:szCs w:val="16"/>
              </w:rPr>
            </w:pPr>
            <w:r>
              <w:rPr>
                <w:rFonts w:cstheme="minorHAnsi"/>
                <w:sz w:val="16"/>
                <w:szCs w:val="16"/>
              </w:rPr>
              <w:t>ASB</w:t>
            </w:r>
          </w:p>
        </w:tc>
        <w:tc>
          <w:tcPr>
            <w:tcW w:w="473" w:type="pct"/>
          </w:tcPr>
          <w:p w14:paraId="578A6887" w14:textId="77777777" w:rsidR="00EE0150" w:rsidRPr="00582308" w:rsidRDefault="00EE0150" w:rsidP="005271E0">
            <w:pPr>
              <w:jc w:val="right"/>
              <w:rPr>
                <w:rFonts w:cstheme="minorHAnsi"/>
                <w:sz w:val="16"/>
                <w:szCs w:val="16"/>
              </w:rPr>
            </w:pPr>
            <w:r>
              <w:rPr>
                <w:rFonts w:cstheme="minorHAnsi"/>
                <w:sz w:val="16"/>
                <w:szCs w:val="16"/>
              </w:rPr>
              <w:t>.0030*</w:t>
            </w:r>
          </w:p>
        </w:tc>
        <w:tc>
          <w:tcPr>
            <w:tcW w:w="784" w:type="pct"/>
          </w:tcPr>
          <w:p w14:paraId="73D8ED70" w14:textId="77777777" w:rsidR="00EE0150" w:rsidRDefault="00EE0150" w:rsidP="005271E0">
            <w:pPr>
              <w:jc w:val="right"/>
              <w:rPr>
                <w:rFonts w:cstheme="minorHAnsi"/>
                <w:sz w:val="16"/>
                <w:szCs w:val="16"/>
              </w:rPr>
            </w:pPr>
          </w:p>
        </w:tc>
        <w:tc>
          <w:tcPr>
            <w:tcW w:w="866" w:type="pct"/>
          </w:tcPr>
          <w:p w14:paraId="6419DF31" w14:textId="77777777" w:rsidR="00EE0150" w:rsidRDefault="00EE0150" w:rsidP="005271E0">
            <w:pPr>
              <w:jc w:val="right"/>
              <w:rPr>
                <w:rFonts w:cstheme="minorHAnsi"/>
                <w:sz w:val="16"/>
                <w:szCs w:val="16"/>
              </w:rPr>
            </w:pPr>
            <w:r>
              <w:rPr>
                <w:rFonts w:cstheme="minorHAnsi"/>
                <w:sz w:val="16"/>
                <w:szCs w:val="16"/>
              </w:rPr>
              <w:t>.0029*</w:t>
            </w:r>
          </w:p>
        </w:tc>
        <w:tc>
          <w:tcPr>
            <w:tcW w:w="178" w:type="pct"/>
          </w:tcPr>
          <w:p w14:paraId="4F943E3B" w14:textId="77777777" w:rsidR="00EE0150" w:rsidRPr="00582308" w:rsidRDefault="00EE0150" w:rsidP="005271E0">
            <w:pPr>
              <w:jc w:val="right"/>
              <w:rPr>
                <w:rFonts w:cstheme="minorHAnsi"/>
                <w:sz w:val="16"/>
                <w:szCs w:val="16"/>
              </w:rPr>
            </w:pPr>
          </w:p>
        </w:tc>
        <w:tc>
          <w:tcPr>
            <w:tcW w:w="784" w:type="pct"/>
          </w:tcPr>
          <w:p w14:paraId="052438B3" w14:textId="77777777" w:rsidR="00EE0150" w:rsidRPr="00582308" w:rsidRDefault="00EE0150" w:rsidP="005271E0">
            <w:pPr>
              <w:jc w:val="right"/>
              <w:rPr>
                <w:rFonts w:cstheme="minorHAnsi"/>
                <w:sz w:val="16"/>
                <w:szCs w:val="16"/>
              </w:rPr>
            </w:pPr>
          </w:p>
        </w:tc>
        <w:tc>
          <w:tcPr>
            <w:tcW w:w="866" w:type="pct"/>
          </w:tcPr>
          <w:p w14:paraId="599FE7A5" w14:textId="77777777" w:rsidR="00EE0150" w:rsidRPr="00582308" w:rsidRDefault="00EE0150" w:rsidP="005271E0">
            <w:pPr>
              <w:jc w:val="right"/>
              <w:rPr>
                <w:rFonts w:cstheme="minorHAnsi"/>
                <w:sz w:val="16"/>
                <w:szCs w:val="16"/>
              </w:rPr>
            </w:pPr>
            <w:r>
              <w:rPr>
                <w:rFonts w:cstheme="minorHAnsi"/>
                <w:sz w:val="16"/>
                <w:szCs w:val="16"/>
              </w:rPr>
              <w:t>.0029*</w:t>
            </w:r>
          </w:p>
        </w:tc>
      </w:tr>
      <w:tr w:rsidR="00EE0150" w:rsidRPr="00582308" w14:paraId="27422B3D" w14:textId="77777777" w:rsidTr="005271E0">
        <w:tc>
          <w:tcPr>
            <w:tcW w:w="1049" w:type="pct"/>
          </w:tcPr>
          <w:p w14:paraId="506CF3D2" w14:textId="77777777" w:rsidR="00EE0150" w:rsidRPr="00582308" w:rsidRDefault="00EE0150" w:rsidP="005271E0">
            <w:pPr>
              <w:rPr>
                <w:rFonts w:cstheme="minorHAnsi"/>
                <w:sz w:val="16"/>
                <w:szCs w:val="16"/>
              </w:rPr>
            </w:pPr>
            <w:r>
              <w:rPr>
                <w:rFonts w:cstheme="minorHAnsi"/>
                <w:sz w:val="16"/>
                <w:szCs w:val="16"/>
              </w:rPr>
              <w:t>Single tier</w:t>
            </w:r>
          </w:p>
        </w:tc>
        <w:tc>
          <w:tcPr>
            <w:tcW w:w="473" w:type="pct"/>
          </w:tcPr>
          <w:p w14:paraId="7ED294DB" w14:textId="77777777" w:rsidR="00EE0150" w:rsidRPr="00582308" w:rsidRDefault="00EE0150" w:rsidP="005271E0">
            <w:pPr>
              <w:jc w:val="right"/>
              <w:rPr>
                <w:rFonts w:cstheme="minorHAnsi"/>
                <w:sz w:val="16"/>
                <w:szCs w:val="16"/>
              </w:rPr>
            </w:pPr>
            <w:r>
              <w:rPr>
                <w:rFonts w:cstheme="minorHAnsi"/>
                <w:sz w:val="16"/>
                <w:szCs w:val="16"/>
              </w:rPr>
              <w:t>.71</w:t>
            </w:r>
          </w:p>
        </w:tc>
        <w:tc>
          <w:tcPr>
            <w:tcW w:w="784" w:type="pct"/>
          </w:tcPr>
          <w:p w14:paraId="6FA58007" w14:textId="77777777" w:rsidR="00EE0150" w:rsidRDefault="00EE0150" w:rsidP="005271E0">
            <w:pPr>
              <w:jc w:val="right"/>
              <w:rPr>
                <w:rFonts w:cstheme="minorHAnsi"/>
                <w:sz w:val="16"/>
                <w:szCs w:val="16"/>
              </w:rPr>
            </w:pPr>
          </w:p>
        </w:tc>
        <w:tc>
          <w:tcPr>
            <w:tcW w:w="866" w:type="pct"/>
          </w:tcPr>
          <w:p w14:paraId="3B2D9117" w14:textId="77777777" w:rsidR="00EE0150" w:rsidRDefault="00EE0150" w:rsidP="005271E0">
            <w:pPr>
              <w:jc w:val="right"/>
              <w:rPr>
                <w:rFonts w:cstheme="minorHAnsi"/>
                <w:sz w:val="16"/>
                <w:szCs w:val="16"/>
              </w:rPr>
            </w:pPr>
            <w:r>
              <w:rPr>
                <w:rFonts w:cstheme="minorHAnsi"/>
                <w:sz w:val="16"/>
                <w:szCs w:val="16"/>
              </w:rPr>
              <w:t>.68</w:t>
            </w:r>
          </w:p>
        </w:tc>
        <w:tc>
          <w:tcPr>
            <w:tcW w:w="178" w:type="pct"/>
          </w:tcPr>
          <w:p w14:paraId="5E2405A2" w14:textId="77777777" w:rsidR="00EE0150" w:rsidRPr="00582308" w:rsidRDefault="00EE0150" w:rsidP="005271E0">
            <w:pPr>
              <w:jc w:val="right"/>
              <w:rPr>
                <w:rFonts w:cstheme="minorHAnsi"/>
                <w:sz w:val="16"/>
                <w:szCs w:val="16"/>
              </w:rPr>
            </w:pPr>
          </w:p>
        </w:tc>
        <w:tc>
          <w:tcPr>
            <w:tcW w:w="784" w:type="pct"/>
          </w:tcPr>
          <w:p w14:paraId="26F8EF5F" w14:textId="77777777" w:rsidR="00EE0150" w:rsidRPr="00582308" w:rsidRDefault="00EE0150" w:rsidP="005271E0">
            <w:pPr>
              <w:jc w:val="right"/>
              <w:rPr>
                <w:rFonts w:cstheme="minorHAnsi"/>
                <w:sz w:val="16"/>
                <w:szCs w:val="16"/>
              </w:rPr>
            </w:pPr>
          </w:p>
        </w:tc>
        <w:tc>
          <w:tcPr>
            <w:tcW w:w="866" w:type="pct"/>
          </w:tcPr>
          <w:p w14:paraId="3703C8FC" w14:textId="77777777" w:rsidR="00EE0150" w:rsidRPr="00582308" w:rsidRDefault="00EE0150" w:rsidP="005271E0">
            <w:pPr>
              <w:jc w:val="right"/>
              <w:rPr>
                <w:rFonts w:cstheme="minorHAnsi"/>
                <w:sz w:val="16"/>
                <w:szCs w:val="16"/>
              </w:rPr>
            </w:pPr>
            <w:r>
              <w:rPr>
                <w:rFonts w:cstheme="minorHAnsi"/>
                <w:sz w:val="16"/>
                <w:szCs w:val="16"/>
              </w:rPr>
              <w:t>.71</w:t>
            </w:r>
          </w:p>
        </w:tc>
      </w:tr>
      <w:tr w:rsidR="00EE0150" w:rsidRPr="00582308" w14:paraId="523A3357" w14:textId="77777777" w:rsidTr="005271E0">
        <w:tc>
          <w:tcPr>
            <w:tcW w:w="1049" w:type="pct"/>
          </w:tcPr>
          <w:p w14:paraId="308185C6" w14:textId="77777777" w:rsidR="00EE0150" w:rsidRPr="00582308" w:rsidRDefault="00EE0150" w:rsidP="005271E0">
            <w:pPr>
              <w:rPr>
                <w:rFonts w:cstheme="minorHAnsi"/>
                <w:sz w:val="16"/>
                <w:szCs w:val="16"/>
              </w:rPr>
            </w:pPr>
            <w:r>
              <w:rPr>
                <w:rFonts w:cstheme="minorHAnsi"/>
                <w:sz w:val="16"/>
                <w:szCs w:val="16"/>
              </w:rPr>
              <w:t>Aged 0-15 years</w:t>
            </w:r>
          </w:p>
        </w:tc>
        <w:tc>
          <w:tcPr>
            <w:tcW w:w="473" w:type="pct"/>
          </w:tcPr>
          <w:p w14:paraId="73F5C2C3" w14:textId="77777777" w:rsidR="00EE0150" w:rsidRPr="00582308" w:rsidRDefault="00EE0150" w:rsidP="005271E0">
            <w:pPr>
              <w:jc w:val="right"/>
              <w:rPr>
                <w:rFonts w:cstheme="minorHAnsi"/>
                <w:sz w:val="16"/>
                <w:szCs w:val="16"/>
              </w:rPr>
            </w:pPr>
            <w:r>
              <w:rPr>
                <w:rFonts w:cstheme="minorHAnsi"/>
                <w:sz w:val="16"/>
                <w:szCs w:val="16"/>
              </w:rPr>
              <w:t>.19</w:t>
            </w:r>
          </w:p>
        </w:tc>
        <w:tc>
          <w:tcPr>
            <w:tcW w:w="784" w:type="pct"/>
          </w:tcPr>
          <w:p w14:paraId="363D97C5" w14:textId="77777777" w:rsidR="00EE0150" w:rsidRDefault="00EE0150" w:rsidP="005271E0">
            <w:pPr>
              <w:jc w:val="right"/>
              <w:rPr>
                <w:rFonts w:cstheme="minorHAnsi"/>
                <w:sz w:val="16"/>
                <w:szCs w:val="16"/>
              </w:rPr>
            </w:pPr>
          </w:p>
        </w:tc>
        <w:tc>
          <w:tcPr>
            <w:tcW w:w="866" w:type="pct"/>
          </w:tcPr>
          <w:p w14:paraId="73F42DD1" w14:textId="77777777" w:rsidR="00EE0150" w:rsidRDefault="00EE0150" w:rsidP="005271E0">
            <w:pPr>
              <w:jc w:val="right"/>
              <w:rPr>
                <w:rFonts w:cstheme="minorHAnsi"/>
                <w:sz w:val="16"/>
                <w:szCs w:val="16"/>
              </w:rPr>
            </w:pPr>
            <w:r>
              <w:rPr>
                <w:rFonts w:cstheme="minorHAnsi"/>
                <w:sz w:val="16"/>
                <w:szCs w:val="16"/>
              </w:rPr>
              <w:t>.21</w:t>
            </w:r>
          </w:p>
        </w:tc>
        <w:tc>
          <w:tcPr>
            <w:tcW w:w="178" w:type="pct"/>
          </w:tcPr>
          <w:p w14:paraId="798E8F2D" w14:textId="77777777" w:rsidR="00EE0150" w:rsidRPr="00582308" w:rsidRDefault="00EE0150" w:rsidP="005271E0">
            <w:pPr>
              <w:jc w:val="right"/>
              <w:rPr>
                <w:rFonts w:cstheme="minorHAnsi"/>
                <w:sz w:val="16"/>
                <w:szCs w:val="16"/>
              </w:rPr>
            </w:pPr>
          </w:p>
        </w:tc>
        <w:tc>
          <w:tcPr>
            <w:tcW w:w="784" w:type="pct"/>
          </w:tcPr>
          <w:p w14:paraId="6D17B30C" w14:textId="77777777" w:rsidR="00EE0150" w:rsidRPr="00582308" w:rsidRDefault="00EE0150" w:rsidP="005271E0">
            <w:pPr>
              <w:jc w:val="right"/>
              <w:rPr>
                <w:rFonts w:cstheme="minorHAnsi"/>
                <w:sz w:val="16"/>
                <w:szCs w:val="16"/>
              </w:rPr>
            </w:pPr>
          </w:p>
        </w:tc>
        <w:tc>
          <w:tcPr>
            <w:tcW w:w="866" w:type="pct"/>
          </w:tcPr>
          <w:p w14:paraId="413CBD62" w14:textId="77777777" w:rsidR="00EE0150" w:rsidRPr="00582308" w:rsidRDefault="00EE0150" w:rsidP="005271E0">
            <w:pPr>
              <w:jc w:val="right"/>
              <w:rPr>
                <w:rFonts w:cstheme="minorHAnsi"/>
                <w:sz w:val="16"/>
                <w:szCs w:val="16"/>
              </w:rPr>
            </w:pPr>
            <w:r>
              <w:rPr>
                <w:rFonts w:cstheme="minorHAnsi"/>
                <w:sz w:val="16"/>
                <w:szCs w:val="16"/>
              </w:rPr>
              <w:t>.27*</w:t>
            </w:r>
          </w:p>
        </w:tc>
      </w:tr>
      <w:tr w:rsidR="00EE0150" w:rsidRPr="00582308" w14:paraId="1F23EB46" w14:textId="77777777" w:rsidTr="005271E0">
        <w:tc>
          <w:tcPr>
            <w:tcW w:w="1049" w:type="pct"/>
            <w:tcBorders>
              <w:bottom w:val="single" w:sz="4" w:space="0" w:color="auto"/>
            </w:tcBorders>
          </w:tcPr>
          <w:p w14:paraId="1DD0692C" w14:textId="77777777" w:rsidR="00EE0150" w:rsidRPr="00582308" w:rsidRDefault="00EE0150" w:rsidP="005271E0">
            <w:pPr>
              <w:rPr>
                <w:rFonts w:cstheme="minorHAnsi"/>
                <w:sz w:val="16"/>
                <w:szCs w:val="16"/>
              </w:rPr>
            </w:pPr>
            <w:r>
              <w:rPr>
                <w:rFonts w:cstheme="minorHAnsi"/>
                <w:sz w:val="16"/>
                <w:szCs w:val="16"/>
              </w:rPr>
              <w:t>Disability</w:t>
            </w:r>
          </w:p>
        </w:tc>
        <w:tc>
          <w:tcPr>
            <w:tcW w:w="473" w:type="pct"/>
            <w:tcBorders>
              <w:bottom w:val="single" w:sz="4" w:space="0" w:color="auto"/>
            </w:tcBorders>
          </w:tcPr>
          <w:p w14:paraId="5F5F8B48" w14:textId="77777777" w:rsidR="00EE0150" w:rsidRPr="00582308" w:rsidRDefault="00EE0150" w:rsidP="005271E0">
            <w:pPr>
              <w:jc w:val="right"/>
              <w:rPr>
                <w:rFonts w:cstheme="minorHAnsi"/>
                <w:sz w:val="16"/>
                <w:szCs w:val="16"/>
              </w:rPr>
            </w:pPr>
            <w:r>
              <w:rPr>
                <w:rFonts w:cstheme="minorHAnsi"/>
                <w:sz w:val="16"/>
                <w:szCs w:val="16"/>
              </w:rPr>
              <w:t>.04</w:t>
            </w:r>
          </w:p>
        </w:tc>
        <w:tc>
          <w:tcPr>
            <w:tcW w:w="784" w:type="pct"/>
            <w:tcBorders>
              <w:bottom w:val="single" w:sz="4" w:space="0" w:color="auto"/>
            </w:tcBorders>
          </w:tcPr>
          <w:p w14:paraId="6F6F423D" w14:textId="77777777" w:rsidR="00EE0150" w:rsidRDefault="00EE0150" w:rsidP="005271E0">
            <w:pPr>
              <w:jc w:val="right"/>
              <w:rPr>
                <w:rFonts w:cstheme="minorHAnsi"/>
                <w:sz w:val="16"/>
                <w:szCs w:val="16"/>
              </w:rPr>
            </w:pPr>
          </w:p>
        </w:tc>
        <w:tc>
          <w:tcPr>
            <w:tcW w:w="866" w:type="pct"/>
            <w:tcBorders>
              <w:bottom w:val="single" w:sz="4" w:space="0" w:color="auto"/>
            </w:tcBorders>
          </w:tcPr>
          <w:p w14:paraId="1A4D0C62" w14:textId="77777777" w:rsidR="00EE0150" w:rsidRDefault="00EE0150" w:rsidP="005271E0">
            <w:pPr>
              <w:jc w:val="right"/>
              <w:rPr>
                <w:rFonts w:cstheme="minorHAnsi"/>
                <w:sz w:val="16"/>
                <w:szCs w:val="16"/>
              </w:rPr>
            </w:pPr>
            <w:r>
              <w:rPr>
                <w:rFonts w:cstheme="minorHAnsi"/>
                <w:sz w:val="16"/>
                <w:szCs w:val="16"/>
              </w:rPr>
              <w:t>.03</w:t>
            </w:r>
          </w:p>
        </w:tc>
        <w:tc>
          <w:tcPr>
            <w:tcW w:w="178" w:type="pct"/>
            <w:tcBorders>
              <w:bottom w:val="single" w:sz="4" w:space="0" w:color="auto"/>
            </w:tcBorders>
          </w:tcPr>
          <w:p w14:paraId="18E0C693" w14:textId="77777777" w:rsidR="00EE0150" w:rsidRPr="00582308" w:rsidRDefault="00EE0150" w:rsidP="005271E0">
            <w:pPr>
              <w:jc w:val="right"/>
              <w:rPr>
                <w:rFonts w:cstheme="minorHAnsi"/>
                <w:sz w:val="16"/>
                <w:szCs w:val="16"/>
              </w:rPr>
            </w:pPr>
          </w:p>
        </w:tc>
        <w:tc>
          <w:tcPr>
            <w:tcW w:w="784" w:type="pct"/>
            <w:tcBorders>
              <w:bottom w:val="single" w:sz="4" w:space="0" w:color="auto"/>
            </w:tcBorders>
          </w:tcPr>
          <w:p w14:paraId="022EA702" w14:textId="77777777" w:rsidR="00EE0150" w:rsidRPr="00582308" w:rsidRDefault="00EE0150" w:rsidP="005271E0">
            <w:pPr>
              <w:jc w:val="right"/>
              <w:rPr>
                <w:rFonts w:cstheme="minorHAnsi"/>
                <w:sz w:val="16"/>
                <w:szCs w:val="16"/>
              </w:rPr>
            </w:pPr>
          </w:p>
        </w:tc>
        <w:tc>
          <w:tcPr>
            <w:tcW w:w="866" w:type="pct"/>
            <w:tcBorders>
              <w:bottom w:val="single" w:sz="4" w:space="0" w:color="auto"/>
            </w:tcBorders>
          </w:tcPr>
          <w:p w14:paraId="52C9B4A4" w14:textId="77777777" w:rsidR="00EE0150" w:rsidRPr="00582308" w:rsidRDefault="00EE0150" w:rsidP="005271E0">
            <w:pPr>
              <w:jc w:val="right"/>
              <w:rPr>
                <w:rFonts w:cstheme="minorHAnsi"/>
                <w:sz w:val="16"/>
                <w:szCs w:val="16"/>
              </w:rPr>
            </w:pPr>
            <w:r>
              <w:rPr>
                <w:rFonts w:cstheme="minorHAnsi"/>
                <w:sz w:val="16"/>
                <w:szCs w:val="16"/>
              </w:rPr>
              <w:t>.03</w:t>
            </w:r>
          </w:p>
        </w:tc>
      </w:tr>
      <w:tr w:rsidR="00EE0150" w:rsidRPr="00AF1395" w14:paraId="5874D05C" w14:textId="77777777" w:rsidTr="005271E0">
        <w:tc>
          <w:tcPr>
            <w:tcW w:w="1049" w:type="pct"/>
            <w:tcBorders>
              <w:top w:val="single" w:sz="4" w:space="0" w:color="auto"/>
              <w:bottom w:val="single" w:sz="4" w:space="0" w:color="auto"/>
            </w:tcBorders>
          </w:tcPr>
          <w:p w14:paraId="400591EE" w14:textId="77777777" w:rsidR="00EE0150" w:rsidRPr="00AF1395" w:rsidRDefault="00EE0150" w:rsidP="005271E0">
            <w:pPr>
              <w:rPr>
                <w:rFonts w:cstheme="minorHAnsi"/>
                <w:sz w:val="16"/>
                <w:szCs w:val="16"/>
              </w:rPr>
            </w:pPr>
            <w:r w:rsidRPr="00AF1395">
              <w:rPr>
                <w:rFonts w:cstheme="minorHAnsi"/>
                <w:sz w:val="16"/>
                <w:szCs w:val="16"/>
              </w:rPr>
              <w:t>Spatial lag</w:t>
            </w:r>
          </w:p>
        </w:tc>
        <w:tc>
          <w:tcPr>
            <w:tcW w:w="473" w:type="pct"/>
            <w:tcBorders>
              <w:top w:val="single" w:sz="4" w:space="0" w:color="auto"/>
              <w:bottom w:val="single" w:sz="4" w:space="0" w:color="auto"/>
            </w:tcBorders>
          </w:tcPr>
          <w:p w14:paraId="30BC2576" w14:textId="77777777" w:rsidR="00EE0150" w:rsidRPr="00AF1395" w:rsidRDefault="00EE0150" w:rsidP="005271E0">
            <w:pPr>
              <w:jc w:val="right"/>
              <w:rPr>
                <w:rFonts w:cstheme="minorHAnsi"/>
                <w:sz w:val="16"/>
                <w:szCs w:val="16"/>
              </w:rPr>
            </w:pPr>
          </w:p>
        </w:tc>
        <w:tc>
          <w:tcPr>
            <w:tcW w:w="784" w:type="pct"/>
            <w:tcBorders>
              <w:top w:val="single" w:sz="4" w:space="0" w:color="auto"/>
              <w:bottom w:val="single" w:sz="4" w:space="0" w:color="auto"/>
            </w:tcBorders>
          </w:tcPr>
          <w:p w14:paraId="3CF5FD14" w14:textId="77777777" w:rsidR="00EE0150" w:rsidRPr="00AF1395" w:rsidRDefault="00EE0150" w:rsidP="005271E0">
            <w:pPr>
              <w:jc w:val="right"/>
              <w:rPr>
                <w:rFonts w:cstheme="minorHAnsi"/>
                <w:sz w:val="16"/>
                <w:szCs w:val="16"/>
              </w:rPr>
            </w:pPr>
            <w:r>
              <w:rPr>
                <w:rFonts w:cstheme="minorHAnsi"/>
                <w:sz w:val="16"/>
                <w:szCs w:val="16"/>
              </w:rPr>
              <w:t>4.42***</w:t>
            </w:r>
          </w:p>
        </w:tc>
        <w:tc>
          <w:tcPr>
            <w:tcW w:w="866" w:type="pct"/>
            <w:tcBorders>
              <w:top w:val="single" w:sz="4" w:space="0" w:color="auto"/>
              <w:bottom w:val="single" w:sz="4" w:space="0" w:color="auto"/>
            </w:tcBorders>
          </w:tcPr>
          <w:p w14:paraId="43FAC09B" w14:textId="77777777" w:rsidR="00EE0150" w:rsidRPr="00AF1395" w:rsidRDefault="00EE0150" w:rsidP="005271E0">
            <w:pPr>
              <w:jc w:val="right"/>
              <w:rPr>
                <w:rFonts w:cstheme="minorHAnsi"/>
                <w:sz w:val="16"/>
                <w:szCs w:val="16"/>
              </w:rPr>
            </w:pPr>
            <w:r w:rsidRPr="00AF1395">
              <w:rPr>
                <w:rFonts w:cstheme="minorHAnsi"/>
                <w:sz w:val="16"/>
                <w:szCs w:val="16"/>
              </w:rPr>
              <w:t>.</w:t>
            </w:r>
            <w:r>
              <w:rPr>
                <w:rFonts w:cstheme="minorHAnsi"/>
                <w:sz w:val="16"/>
                <w:szCs w:val="16"/>
              </w:rPr>
              <w:t>20</w:t>
            </w:r>
          </w:p>
        </w:tc>
        <w:tc>
          <w:tcPr>
            <w:tcW w:w="178" w:type="pct"/>
            <w:tcBorders>
              <w:top w:val="single" w:sz="4" w:space="0" w:color="auto"/>
              <w:bottom w:val="single" w:sz="4" w:space="0" w:color="auto"/>
            </w:tcBorders>
          </w:tcPr>
          <w:p w14:paraId="05BBDA12" w14:textId="77777777" w:rsidR="00EE0150" w:rsidRPr="00AF1395" w:rsidRDefault="00EE0150" w:rsidP="005271E0">
            <w:pPr>
              <w:jc w:val="right"/>
              <w:rPr>
                <w:rFonts w:cstheme="minorHAnsi"/>
                <w:sz w:val="16"/>
                <w:szCs w:val="16"/>
              </w:rPr>
            </w:pPr>
          </w:p>
        </w:tc>
        <w:tc>
          <w:tcPr>
            <w:tcW w:w="784" w:type="pct"/>
            <w:tcBorders>
              <w:top w:val="single" w:sz="4" w:space="0" w:color="auto"/>
              <w:bottom w:val="single" w:sz="4" w:space="0" w:color="auto"/>
            </w:tcBorders>
          </w:tcPr>
          <w:p w14:paraId="12A99D43" w14:textId="77777777" w:rsidR="00EE0150" w:rsidRPr="00AF1395" w:rsidRDefault="00EE0150" w:rsidP="005271E0">
            <w:pPr>
              <w:jc w:val="right"/>
              <w:rPr>
                <w:rFonts w:cstheme="minorHAnsi"/>
                <w:sz w:val="16"/>
                <w:szCs w:val="16"/>
              </w:rPr>
            </w:pPr>
            <w:r>
              <w:rPr>
                <w:rFonts w:cstheme="minorHAnsi"/>
                <w:sz w:val="16"/>
                <w:szCs w:val="16"/>
              </w:rPr>
              <w:t>3.15*</w:t>
            </w:r>
          </w:p>
        </w:tc>
        <w:tc>
          <w:tcPr>
            <w:tcW w:w="866" w:type="pct"/>
            <w:tcBorders>
              <w:top w:val="single" w:sz="4" w:space="0" w:color="auto"/>
              <w:bottom w:val="single" w:sz="4" w:space="0" w:color="auto"/>
            </w:tcBorders>
          </w:tcPr>
          <w:p w14:paraId="1002DA13" w14:textId="77777777" w:rsidR="00EE0150" w:rsidRPr="00AF1395" w:rsidRDefault="00EE0150" w:rsidP="005271E0">
            <w:pPr>
              <w:jc w:val="right"/>
              <w:rPr>
                <w:rFonts w:cstheme="minorHAnsi"/>
                <w:sz w:val="16"/>
                <w:szCs w:val="16"/>
              </w:rPr>
            </w:pPr>
            <w:r w:rsidRPr="00AF1395">
              <w:rPr>
                <w:rFonts w:cstheme="minorHAnsi"/>
                <w:sz w:val="16"/>
                <w:szCs w:val="16"/>
              </w:rPr>
              <w:t>.</w:t>
            </w:r>
            <w:r>
              <w:rPr>
                <w:rFonts w:cstheme="minorHAnsi"/>
                <w:sz w:val="16"/>
                <w:szCs w:val="16"/>
              </w:rPr>
              <w:t>43</w:t>
            </w:r>
          </w:p>
        </w:tc>
      </w:tr>
      <w:tr w:rsidR="00EE0150" w:rsidRPr="00AF1395" w14:paraId="55E8C6E8" w14:textId="77777777" w:rsidTr="005271E0">
        <w:tc>
          <w:tcPr>
            <w:tcW w:w="1049" w:type="pct"/>
            <w:tcBorders>
              <w:top w:val="single" w:sz="4" w:space="0" w:color="auto"/>
              <w:bottom w:val="single" w:sz="4" w:space="0" w:color="auto"/>
            </w:tcBorders>
          </w:tcPr>
          <w:p w14:paraId="146A41E0" w14:textId="77777777" w:rsidR="00EE0150" w:rsidRPr="00AF1395" w:rsidRDefault="00EE0150" w:rsidP="005271E0">
            <w:pPr>
              <w:rPr>
                <w:rFonts w:cstheme="minorHAnsi"/>
                <w:sz w:val="16"/>
                <w:szCs w:val="16"/>
              </w:rPr>
            </w:pPr>
            <w:r>
              <w:rPr>
                <w:rFonts w:cstheme="minorHAnsi"/>
                <w:sz w:val="16"/>
                <w:szCs w:val="16"/>
              </w:rPr>
              <w:t>AUROC</w:t>
            </w:r>
          </w:p>
        </w:tc>
        <w:tc>
          <w:tcPr>
            <w:tcW w:w="473" w:type="pct"/>
            <w:tcBorders>
              <w:top w:val="single" w:sz="4" w:space="0" w:color="auto"/>
              <w:bottom w:val="single" w:sz="4" w:space="0" w:color="auto"/>
            </w:tcBorders>
          </w:tcPr>
          <w:p w14:paraId="4B6DE9CB" w14:textId="77777777" w:rsidR="00EE0150" w:rsidRPr="00AF1395" w:rsidRDefault="00EE0150" w:rsidP="005271E0">
            <w:pPr>
              <w:jc w:val="right"/>
              <w:rPr>
                <w:rFonts w:cstheme="minorHAnsi"/>
                <w:sz w:val="16"/>
                <w:szCs w:val="16"/>
              </w:rPr>
            </w:pPr>
            <w:r>
              <w:rPr>
                <w:rFonts w:cstheme="minorHAnsi"/>
                <w:sz w:val="16"/>
                <w:szCs w:val="16"/>
              </w:rPr>
              <w:t>.88</w:t>
            </w:r>
          </w:p>
        </w:tc>
        <w:tc>
          <w:tcPr>
            <w:tcW w:w="784" w:type="pct"/>
            <w:tcBorders>
              <w:top w:val="single" w:sz="4" w:space="0" w:color="auto"/>
              <w:bottom w:val="single" w:sz="4" w:space="0" w:color="auto"/>
            </w:tcBorders>
          </w:tcPr>
          <w:p w14:paraId="52AEEC28" w14:textId="77777777" w:rsidR="00EE0150" w:rsidRDefault="00EE0150" w:rsidP="005271E0">
            <w:pPr>
              <w:jc w:val="right"/>
              <w:rPr>
                <w:rFonts w:cstheme="minorHAnsi"/>
                <w:sz w:val="16"/>
                <w:szCs w:val="16"/>
              </w:rPr>
            </w:pPr>
            <w:r>
              <w:rPr>
                <w:rFonts w:cstheme="minorHAnsi"/>
                <w:sz w:val="16"/>
                <w:szCs w:val="16"/>
              </w:rPr>
              <w:t>.66</w:t>
            </w:r>
          </w:p>
        </w:tc>
        <w:tc>
          <w:tcPr>
            <w:tcW w:w="866" w:type="pct"/>
            <w:tcBorders>
              <w:top w:val="single" w:sz="4" w:space="0" w:color="auto"/>
              <w:bottom w:val="single" w:sz="4" w:space="0" w:color="auto"/>
            </w:tcBorders>
          </w:tcPr>
          <w:p w14:paraId="1BA6AB73" w14:textId="77777777" w:rsidR="00EE0150" w:rsidRPr="00AF1395" w:rsidRDefault="00EE0150" w:rsidP="005271E0">
            <w:pPr>
              <w:jc w:val="right"/>
              <w:rPr>
                <w:rFonts w:cstheme="minorHAnsi"/>
                <w:sz w:val="16"/>
                <w:szCs w:val="16"/>
              </w:rPr>
            </w:pPr>
            <w:r>
              <w:rPr>
                <w:rFonts w:cstheme="minorHAnsi"/>
                <w:sz w:val="16"/>
                <w:szCs w:val="16"/>
              </w:rPr>
              <w:t>.88</w:t>
            </w:r>
          </w:p>
        </w:tc>
        <w:tc>
          <w:tcPr>
            <w:tcW w:w="178" w:type="pct"/>
            <w:tcBorders>
              <w:top w:val="single" w:sz="4" w:space="0" w:color="auto"/>
              <w:bottom w:val="single" w:sz="4" w:space="0" w:color="auto"/>
            </w:tcBorders>
          </w:tcPr>
          <w:p w14:paraId="640C2A59" w14:textId="77777777" w:rsidR="00EE0150" w:rsidRPr="00AF1395" w:rsidRDefault="00EE0150" w:rsidP="005271E0">
            <w:pPr>
              <w:jc w:val="right"/>
              <w:rPr>
                <w:rFonts w:cstheme="minorHAnsi"/>
                <w:sz w:val="16"/>
                <w:szCs w:val="16"/>
              </w:rPr>
            </w:pPr>
          </w:p>
        </w:tc>
        <w:tc>
          <w:tcPr>
            <w:tcW w:w="784" w:type="pct"/>
            <w:tcBorders>
              <w:top w:val="single" w:sz="4" w:space="0" w:color="auto"/>
              <w:bottom w:val="single" w:sz="4" w:space="0" w:color="auto"/>
            </w:tcBorders>
          </w:tcPr>
          <w:p w14:paraId="41C194CA" w14:textId="77777777" w:rsidR="00EE0150" w:rsidRDefault="00EE0150" w:rsidP="005271E0">
            <w:pPr>
              <w:jc w:val="right"/>
              <w:rPr>
                <w:rFonts w:cstheme="minorHAnsi"/>
                <w:sz w:val="16"/>
                <w:szCs w:val="16"/>
              </w:rPr>
            </w:pPr>
            <w:r>
              <w:rPr>
                <w:rFonts w:cstheme="minorHAnsi"/>
                <w:sz w:val="16"/>
                <w:szCs w:val="16"/>
              </w:rPr>
              <w:t>.61</w:t>
            </w:r>
          </w:p>
        </w:tc>
        <w:tc>
          <w:tcPr>
            <w:tcW w:w="866" w:type="pct"/>
            <w:tcBorders>
              <w:top w:val="single" w:sz="4" w:space="0" w:color="auto"/>
              <w:bottom w:val="single" w:sz="4" w:space="0" w:color="auto"/>
            </w:tcBorders>
          </w:tcPr>
          <w:p w14:paraId="3A75D7E9" w14:textId="77777777" w:rsidR="00EE0150" w:rsidRPr="00AF1395" w:rsidRDefault="00EE0150" w:rsidP="005271E0">
            <w:pPr>
              <w:jc w:val="right"/>
              <w:rPr>
                <w:rFonts w:cstheme="minorHAnsi"/>
                <w:sz w:val="16"/>
                <w:szCs w:val="16"/>
              </w:rPr>
            </w:pPr>
            <w:r>
              <w:rPr>
                <w:rFonts w:cstheme="minorHAnsi"/>
                <w:sz w:val="16"/>
                <w:szCs w:val="16"/>
              </w:rPr>
              <w:t>.85</w:t>
            </w:r>
          </w:p>
        </w:tc>
      </w:tr>
      <w:tr w:rsidR="00EE0150" w:rsidRPr="00582308" w14:paraId="712583B8" w14:textId="77777777" w:rsidTr="005271E0">
        <w:tc>
          <w:tcPr>
            <w:tcW w:w="1049" w:type="pct"/>
          </w:tcPr>
          <w:p w14:paraId="5E239423" w14:textId="77777777" w:rsidR="00EE0150" w:rsidRDefault="00EE0150" w:rsidP="005271E0">
            <w:pPr>
              <w:ind w:left="170" w:hanging="170"/>
              <w:rPr>
                <w:rFonts w:cstheme="minorHAnsi"/>
                <w:b/>
                <w:bCs/>
                <w:sz w:val="16"/>
                <w:szCs w:val="16"/>
              </w:rPr>
            </w:pPr>
          </w:p>
        </w:tc>
        <w:tc>
          <w:tcPr>
            <w:tcW w:w="473" w:type="pct"/>
          </w:tcPr>
          <w:p w14:paraId="15F6E519" w14:textId="77777777" w:rsidR="00EE0150" w:rsidRDefault="00EE0150" w:rsidP="005271E0">
            <w:pPr>
              <w:jc w:val="right"/>
              <w:rPr>
                <w:rFonts w:cstheme="minorHAnsi"/>
                <w:sz w:val="16"/>
                <w:szCs w:val="16"/>
              </w:rPr>
            </w:pPr>
          </w:p>
        </w:tc>
        <w:tc>
          <w:tcPr>
            <w:tcW w:w="784" w:type="pct"/>
          </w:tcPr>
          <w:p w14:paraId="3BBFB684" w14:textId="77777777" w:rsidR="00EE0150" w:rsidRDefault="00EE0150" w:rsidP="005271E0">
            <w:pPr>
              <w:jc w:val="right"/>
              <w:rPr>
                <w:rFonts w:cstheme="minorHAnsi"/>
                <w:sz w:val="16"/>
                <w:szCs w:val="16"/>
              </w:rPr>
            </w:pPr>
          </w:p>
        </w:tc>
        <w:tc>
          <w:tcPr>
            <w:tcW w:w="866" w:type="pct"/>
          </w:tcPr>
          <w:p w14:paraId="44C9B5E7" w14:textId="77777777" w:rsidR="00EE0150" w:rsidRDefault="00EE0150" w:rsidP="005271E0">
            <w:pPr>
              <w:jc w:val="right"/>
              <w:rPr>
                <w:rFonts w:cstheme="minorHAnsi"/>
                <w:sz w:val="16"/>
                <w:szCs w:val="16"/>
              </w:rPr>
            </w:pPr>
          </w:p>
        </w:tc>
        <w:tc>
          <w:tcPr>
            <w:tcW w:w="178" w:type="pct"/>
          </w:tcPr>
          <w:p w14:paraId="0954317E" w14:textId="77777777" w:rsidR="00EE0150" w:rsidRPr="00582308" w:rsidRDefault="00EE0150" w:rsidP="005271E0">
            <w:pPr>
              <w:jc w:val="right"/>
              <w:rPr>
                <w:rFonts w:cstheme="minorHAnsi"/>
                <w:sz w:val="16"/>
                <w:szCs w:val="16"/>
              </w:rPr>
            </w:pPr>
          </w:p>
        </w:tc>
        <w:tc>
          <w:tcPr>
            <w:tcW w:w="784" w:type="pct"/>
          </w:tcPr>
          <w:p w14:paraId="7DFB68B1" w14:textId="77777777" w:rsidR="00EE0150" w:rsidRPr="00582308" w:rsidRDefault="00EE0150" w:rsidP="005271E0">
            <w:pPr>
              <w:jc w:val="right"/>
              <w:rPr>
                <w:rFonts w:cstheme="minorHAnsi"/>
                <w:sz w:val="16"/>
                <w:szCs w:val="16"/>
              </w:rPr>
            </w:pPr>
          </w:p>
        </w:tc>
        <w:tc>
          <w:tcPr>
            <w:tcW w:w="866" w:type="pct"/>
          </w:tcPr>
          <w:p w14:paraId="30EC37CD" w14:textId="77777777" w:rsidR="00EE0150" w:rsidRDefault="00EE0150" w:rsidP="005271E0">
            <w:pPr>
              <w:jc w:val="right"/>
              <w:rPr>
                <w:rFonts w:cstheme="minorHAnsi"/>
                <w:sz w:val="16"/>
                <w:szCs w:val="16"/>
              </w:rPr>
            </w:pPr>
          </w:p>
        </w:tc>
      </w:tr>
      <w:tr w:rsidR="00EE0150" w:rsidRPr="00582308" w14:paraId="4FFD7804" w14:textId="77777777" w:rsidTr="005271E0">
        <w:tc>
          <w:tcPr>
            <w:tcW w:w="1049" w:type="pct"/>
            <w:tcBorders>
              <w:bottom w:val="single" w:sz="4" w:space="0" w:color="auto"/>
            </w:tcBorders>
          </w:tcPr>
          <w:p w14:paraId="473B184A" w14:textId="77777777" w:rsidR="00EE0150" w:rsidRPr="00242FC5" w:rsidRDefault="00EE0150" w:rsidP="005271E0">
            <w:pPr>
              <w:ind w:left="170" w:hanging="170"/>
              <w:rPr>
                <w:rFonts w:cstheme="minorHAnsi"/>
                <w:sz w:val="16"/>
                <w:szCs w:val="16"/>
              </w:rPr>
            </w:pPr>
            <w:r>
              <w:rPr>
                <w:rFonts w:cstheme="minorHAnsi"/>
                <w:b/>
                <w:bCs/>
                <w:sz w:val="16"/>
                <w:szCs w:val="16"/>
              </w:rPr>
              <w:t xml:space="preserve">B. </w:t>
            </w:r>
            <w:r w:rsidRPr="00582308">
              <w:rPr>
                <w:rFonts w:cstheme="minorHAnsi"/>
                <w:b/>
                <w:bCs/>
                <w:sz w:val="16"/>
                <w:szCs w:val="16"/>
              </w:rPr>
              <w:t>Exposures</w:t>
            </w:r>
          </w:p>
        </w:tc>
        <w:tc>
          <w:tcPr>
            <w:tcW w:w="473" w:type="pct"/>
            <w:tcBorders>
              <w:bottom w:val="single" w:sz="4" w:space="0" w:color="auto"/>
            </w:tcBorders>
          </w:tcPr>
          <w:p w14:paraId="411F9ED5" w14:textId="77777777" w:rsidR="00EE0150" w:rsidRDefault="00EE0150" w:rsidP="005271E0">
            <w:pPr>
              <w:jc w:val="right"/>
              <w:rPr>
                <w:rFonts w:cstheme="minorHAnsi"/>
                <w:sz w:val="16"/>
                <w:szCs w:val="16"/>
              </w:rPr>
            </w:pPr>
          </w:p>
        </w:tc>
        <w:tc>
          <w:tcPr>
            <w:tcW w:w="784" w:type="pct"/>
            <w:tcBorders>
              <w:bottom w:val="single" w:sz="4" w:space="0" w:color="auto"/>
            </w:tcBorders>
          </w:tcPr>
          <w:p w14:paraId="751D23F2" w14:textId="77777777" w:rsidR="00EE0150" w:rsidRDefault="00EE0150" w:rsidP="005271E0">
            <w:pPr>
              <w:jc w:val="right"/>
              <w:rPr>
                <w:rFonts w:cstheme="minorHAnsi"/>
                <w:sz w:val="16"/>
                <w:szCs w:val="16"/>
              </w:rPr>
            </w:pPr>
          </w:p>
        </w:tc>
        <w:tc>
          <w:tcPr>
            <w:tcW w:w="866" w:type="pct"/>
            <w:tcBorders>
              <w:bottom w:val="single" w:sz="4" w:space="0" w:color="auto"/>
            </w:tcBorders>
          </w:tcPr>
          <w:p w14:paraId="79F9018F" w14:textId="77777777" w:rsidR="00EE0150" w:rsidRDefault="00EE0150" w:rsidP="005271E0">
            <w:pPr>
              <w:jc w:val="right"/>
              <w:rPr>
                <w:rFonts w:cstheme="minorHAnsi"/>
                <w:sz w:val="16"/>
                <w:szCs w:val="16"/>
              </w:rPr>
            </w:pPr>
          </w:p>
        </w:tc>
        <w:tc>
          <w:tcPr>
            <w:tcW w:w="178" w:type="pct"/>
            <w:tcBorders>
              <w:bottom w:val="single" w:sz="4" w:space="0" w:color="auto"/>
            </w:tcBorders>
          </w:tcPr>
          <w:p w14:paraId="60BDB486" w14:textId="77777777" w:rsidR="00EE0150" w:rsidRPr="00582308" w:rsidRDefault="00EE0150" w:rsidP="005271E0">
            <w:pPr>
              <w:jc w:val="right"/>
              <w:rPr>
                <w:rFonts w:cstheme="minorHAnsi"/>
                <w:sz w:val="16"/>
                <w:szCs w:val="16"/>
              </w:rPr>
            </w:pPr>
          </w:p>
        </w:tc>
        <w:tc>
          <w:tcPr>
            <w:tcW w:w="784" w:type="pct"/>
            <w:tcBorders>
              <w:bottom w:val="single" w:sz="4" w:space="0" w:color="auto"/>
            </w:tcBorders>
          </w:tcPr>
          <w:p w14:paraId="68C34FF8" w14:textId="77777777" w:rsidR="00EE0150" w:rsidRPr="00582308" w:rsidRDefault="00EE0150" w:rsidP="005271E0">
            <w:pPr>
              <w:jc w:val="right"/>
              <w:rPr>
                <w:rFonts w:cstheme="minorHAnsi"/>
                <w:sz w:val="16"/>
                <w:szCs w:val="16"/>
              </w:rPr>
            </w:pPr>
          </w:p>
        </w:tc>
        <w:tc>
          <w:tcPr>
            <w:tcW w:w="866" w:type="pct"/>
            <w:tcBorders>
              <w:bottom w:val="single" w:sz="4" w:space="0" w:color="auto"/>
            </w:tcBorders>
          </w:tcPr>
          <w:p w14:paraId="27DFCE63" w14:textId="77777777" w:rsidR="00EE0150" w:rsidRDefault="00EE0150" w:rsidP="005271E0">
            <w:pPr>
              <w:jc w:val="right"/>
              <w:rPr>
                <w:rFonts w:cstheme="minorHAnsi"/>
                <w:sz w:val="16"/>
                <w:szCs w:val="16"/>
              </w:rPr>
            </w:pPr>
          </w:p>
        </w:tc>
      </w:tr>
      <w:tr w:rsidR="00EE0150" w:rsidRPr="00582308" w14:paraId="193A902E" w14:textId="77777777" w:rsidTr="005271E0">
        <w:tc>
          <w:tcPr>
            <w:tcW w:w="1049" w:type="pct"/>
            <w:tcBorders>
              <w:top w:val="single" w:sz="4" w:space="0" w:color="auto"/>
            </w:tcBorders>
          </w:tcPr>
          <w:p w14:paraId="49F2194E" w14:textId="77777777" w:rsidR="00EE0150" w:rsidRPr="00582308" w:rsidRDefault="00EE0150" w:rsidP="005271E0">
            <w:pPr>
              <w:ind w:left="170" w:hanging="170"/>
              <w:rPr>
                <w:rFonts w:cstheme="minorHAnsi"/>
                <w:sz w:val="16"/>
                <w:szCs w:val="16"/>
              </w:rPr>
            </w:pPr>
            <w:r w:rsidRPr="00242FC5">
              <w:rPr>
                <w:rFonts w:cstheme="minorHAnsi"/>
                <w:sz w:val="16"/>
                <w:szCs w:val="16"/>
              </w:rPr>
              <w:t>Affluent England</w:t>
            </w:r>
          </w:p>
        </w:tc>
        <w:tc>
          <w:tcPr>
            <w:tcW w:w="473" w:type="pct"/>
            <w:tcBorders>
              <w:top w:val="single" w:sz="4" w:space="0" w:color="auto"/>
            </w:tcBorders>
          </w:tcPr>
          <w:p w14:paraId="67C195BB" w14:textId="77777777" w:rsidR="00EE0150" w:rsidRPr="00582308" w:rsidRDefault="00EE0150" w:rsidP="005271E0">
            <w:pPr>
              <w:jc w:val="right"/>
              <w:rPr>
                <w:rFonts w:cstheme="minorHAnsi"/>
                <w:sz w:val="16"/>
                <w:szCs w:val="16"/>
              </w:rPr>
            </w:pPr>
            <w:r>
              <w:rPr>
                <w:rFonts w:cstheme="minorHAnsi"/>
                <w:sz w:val="16"/>
                <w:szCs w:val="16"/>
              </w:rPr>
              <w:t>Ref</w:t>
            </w:r>
          </w:p>
        </w:tc>
        <w:tc>
          <w:tcPr>
            <w:tcW w:w="784" w:type="pct"/>
            <w:tcBorders>
              <w:top w:val="single" w:sz="4" w:space="0" w:color="auto"/>
            </w:tcBorders>
          </w:tcPr>
          <w:p w14:paraId="089A2351" w14:textId="77777777" w:rsidR="00EE0150" w:rsidRDefault="00EE0150" w:rsidP="005271E0">
            <w:pPr>
              <w:jc w:val="right"/>
              <w:rPr>
                <w:rFonts w:cstheme="minorHAnsi"/>
                <w:sz w:val="16"/>
                <w:szCs w:val="16"/>
              </w:rPr>
            </w:pPr>
          </w:p>
        </w:tc>
        <w:tc>
          <w:tcPr>
            <w:tcW w:w="866" w:type="pct"/>
            <w:tcBorders>
              <w:top w:val="single" w:sz="4" w:space="0" w:color="auto"/>
            </w:tcBorders>
          </w:tcPr>
          <w:p w14:paraId="1C49A1FC" w14:textId="77777777" w:rsidR="00EE0150" w:rsidRDefault="00EE0150" w:rsidP="005271E0">
            <w:pPr>
              <w:jc w:val="right"/>
              <w:rPr>
                <w:rFonts w:cstheme="minorHAnsi"/>
                <w:sz w:val="16"/>
                <w:szCs w:val="16"/>
              </w:rPr>
            </w:pPr>
            <w:r>
              <w:rPr>
                <w:rFonts w:cstheme="minorHAnsi"/>
                <w:sz w:val="16"/>
                <w:szCs w:val="16"/>
              </w:rPr>
              <w:t>Ref</w:t>
            </w:r>
          </w:p>
        </w:tc>
        <w:tc>
          <w:tcPr>
            <w:tcW w:w="178" w:type="pct"/>
            <w:tcBorders>
              <w:top w:val="single" w:sz="4" w:space="0" w:color="auto"/>
            </w:tcBorders>
          </w:tcPr>
          <w:p w14:paraId="4FD805EE" w14:textId="77777777" w:rsidR="00EE0150" w:rsidRPr="00582308" w:rsidRDefault="00EE0150" w:rsidP="005271E0">
            <w:pPr>
              <w:jc w:val="right"/>
              <w:rPr>
                <w:rFonts w:cstheme="minorHAnsi"/>
                <w:sz w:val="16"/>
                <w:szCs w:val="16"/>
              </w:rPr>
            </w:pPr>
          </w:p>
        </w:tc>
        <w:tc>
          <w:tcPr>
            <w:tcW w:w="784" w:type="pct"/>
            <w:tcBorders>
              <w:top w:val="single" w:sz="4" w:space="0" w:color="auto"/>
            </w:tcBorders>
          </w:tcPr>
          <w:p w14:paraId="2D685CF2" w14:textId="77777777" w:rsidR="00EE0150" w:rsidRPr="00582308" w:rsidRDefault="00EE0150" w:rsidP="005271E0">
            <w:pPr>
              <w:jc w:val="right"/>
              <w:rPr>
                <w:rFonts w:cstheme="minorHAnsi"/>
                <w:sz w:val="16"/>
                <w:szCs w:val="16"/>
              </w:rPr>
            </w:pPr>
          </w:p>
        </w:tc>
        <w:tc>
          <w:tcPr>
            <w:tcW w:w="866" w:type="pct"/>
            <w:tcBorders>
              <w:top w:val="single" w:sz="4" w:space="0" w:color="auto"/>
            </w:tcBorders>
          </w:tcPr>
          <w:p w14:paraId="17C26F75" w14:textId="77777777" w:rsidR="00EE0150" w:rsidRPr="00582308" w:rsidRDefault="00EE0150" w:rsidP="005271E0">
            <w:pPr>
              <w:jc w:val="right"/>
              <w:rPr>
                <w:rFonts w:cstheme="minorHAnsi"/>
                <w:sz w:val="16"/>
                <w:szCs w:val="16"/>
              </w:rPr>
            </w:pPr>
            <w:r>
              <w:rPr>
                <w:rFonts w:cstheme="minorHAnsi"/>
                <w:sz w:val="16"/>
                <w:szCs w:val="16"/>
              </w:rPr>
              <w:t>Ref</w:t>
            </w:r>
          </w:p>
        </w:tc>
      </w:tr>
      <w:tr w:rsidR="00EE0150" w:rsidRPr="00582308" w14:paraId="1CFA17F4" w14:textId="77777777" w:rsidTr="005271E0">
        <w:tc>
          <w:tcPr>
            <w:tcW w:w="1049" w:type="pct"/>
          </w:tcPr>
          <w:p w14:paraId="76BA02C9" w14:textId="77777777" w:rsidR="00EE0150" w:rsidRPr="00582308" w:rsidRDefault="00EE0150" w:rsidP="005271E0">
            <w:pPr>
              <w:ind w:left="170" w:hanging="170"/>
              <w:rPr>
                <w:rFonts w:cstheme="minorHAnsi"/>
                <w:sz w:val="16"/>
                <w:szCs w:val="16"/>
              </w:rPr>
            </w:pPr>
            <w:r w:rsidRPr="00242FC5">
              <w:rPr>
                <w:rFonts w:cstheme="minorHAnsi"/>
                <w:sz w:val="16"/>
                <w:szCs w:val="16"/>
              </w:rPr>
              <w:t>Business, Education and Heritage Centres</w:t>
            </w:r>
          </w:p>
        </w:tc>
        <w:tc>
          <w:tcPr>
            <w:tcW w:w="473" w:type="pct"/>
          </w:tcPr>
          <w:p w14:paraId="5909BD33" w14:textId="77777777" w:rsidR="00EE0150" w:rsidRPr="00582308" w:rsidRDefault="00EE0150" w:rsidP="005271E0">
            <w:pPr>
              <w:jc w:val="right"/>
              <w:rPr>
                <w:rFonts w:cstheme="minorHAnsi"/>
                <w:sz w:val="16"/>
                <w:szCs w:val="16"/>
              </w:rPr>
            </w:pPr>
            <w:r>
              <w:rPr>
                <w:rFonts w:cstheme="minorHAnsi"/>
                <w:sz w:val="16"/>
                <w:szCs w:val="16"/>
              </w:rPr>
              <w:t>2.77*</w:t>
            </w:r>
          </w:p>
        </w:tc>
        <w:tc>
          <w:tcPr>
            <w:tcW w:w="784" w:type="pct"/>
          </w:tcPr>
          <w:p w14:paraId="65AC21D2" w14:textId="77777777" w:rsidR="00EE0150" w:rsidRDefault="00EE0150" w:rsidP="005271E0">
            <w:pPr>
              <w:jc w:val="right"/>
              <w:rPr>
                <w:rFonts w:cstheme="minorHAnsi"/>
                <w:sz w:val="16"/>
                <w:szCs w:val="16"/>
              </w:rPr>
            </w:pPr>
          </w:p>
        </w:tc>
        <w:tc>
          <w:tcPr>
            <w:tcW w:w="866" w:type="pct"/>
          </w:tcPr>
          <w:p w14:paraId="179A5C65" w14:textId="77777777" w:rsidR="00EE0150" w:rsidRDefault="00EE0150" w:rsidP="005271E0">
            <w:pPr>
              <w:jc w:val="right"/>
              <w:rPr>
                <w:rFonts w:cstheme="minorHAnsi"/>
                <w:sz w:val="16"/>
                <w:szCs w:val="16"/>
              </w:rPr>
            </w:pPr>
            <w:r>
              <w:rPr>
                <w:rFonts w:cstheme="minorHAnsi"/>
                <w:sz w:val="16"/>
                <w:szCs w:val="16"/>
              </w:rPr>
              <w:t>2.42</w:t>
            </w:r>
          </w:p>
        </w:tc>
        <w:tc>
          <w:tcPr>
            <w:tcW w:w="178" w:type="pct"/>
          </w:tcPr>
          <w:p w14:paraId="17D73FC6" w14:textId="77777777" w:rsidR="00EE0150" w:rsidRPr="00582308" w:rsidRDefault="00EE0150" w:rsidP="005271E0">
            <w:pPr>
              <w:jc w:val="right"/>
              <w:rPr>
                <w:rFonts w:cstheme="minorHAnsi"/>
                <w:sz w:val="16"/>
                <w:szCs w:val="16"/>
              </w:rPr>
            </w:pPr>
          </w:p>
        </w:tc>
        <w:tc>
          <w:tcPr>
            <w:tcW w:w="784" w:type="pct"/>
          </w:tcPr>
          <w:p w14:paraId="37B6416F" w14:textId="77777777" w:rsidR="00EE0150" w:rsidRPr="00582308" w:rsidRDefault="00EE0150" w:rsidP="005271E0">
            <w:pPr>
              <w:jc w:val="right"/>
              <w:rPr>
                <w:rFonts w:cstheme="minorHAnsi"/>
                <w:sz w:val="16"/>
                <w:szCs w:val="16"/>
              </w:rPr>
            </w:pPr>
          </w:p>
        </w:tc>
        <w:tc>
          <w:tcPr>
            <w:tcW w:w="866" w:type="pct"/>
          </w:tcPr>
          <w:p w14:paraId="65F90322" w14:textId="77777777" w:rsidR="00EE0150" w:rsidRPr="00582308" w:rsidRDefault="00EE0150" w:rsidP="005271E0">
            <w:pPr>
              <w:jc w:val="right"/>
              <w:rPr>
                <w:rFonts w:cstheme="minorHAnsi"/>
                <w:sz w:val="16"/>
                <w:szCs w:val="16"/>
              </w:rPr>
            </w:pPr>
            <w:r>
              <w:rPr>
                <w:rFonts w:cstheme="minorHAnsi"/>
                <w:sz w:val="16"/>
                <w:szCs w:val="16"/>
              </w:rPr>
              <w:t>2.23</w:t>
            </w:r>
          </w:p>
        </w:tc>
      </w:tr>
      <w:tr w:rsidR="00EE0150" w:rsidRPr="00582308" w14:paraId="7F91BA69" w14:textId="77777777" w:rsidTr="005271E0">
        <w:tc>
          <w:tcPr>
            <w:tcW w:w="1049" w:type="pct"/>
          </w:tcPr>
          <w:p w14:paraId="4175B4FF" w14:textId="77777777" w:rsidR="00EE0150" w:rsidRDefault="00EE0150" w:rsidP="005271E0">
            <w:pPr>
              <w:ind w:left="170" w:hanging="170"/>
              <w:rPr>
                <w:rFonts w:cstheme="minorHAnsi"/>
                <w:sz w:val="16"/>
                <w:szCs w:val="16"/>
              </w:rPr>
            </w:pPr>
            <w:r w:rsidRPr="00242FC5">
              <w:rPr>
                <w:rFonts w:cstheme="minorHAnsi"/>
                <w:sz w:val="16"/>
                <w:szCs w:val="16"/>
              </w:rPr>
              <w:t>Countryside Living</w:t>
            </w:r>
          </w:p>
        </w:tc>
        <w:tc>
          <w:tcPr>
            <w:tcW w:w="473" w:type="pct"/>
          </w:tcPr>
          <w:p w14:paraId="5BAD6DCE" w14:textId="77777777" w:rsidR="00EE0150" w:rsidRDefault="00EE0150" w:rsidP="005271E0">
            <w:pPr>
              <w:jc w:val="right"/>
              <w:rPr>
                <w:rFonts w:cstheme="minorHAnsi"/>
                <w:sz w:val="16"/>
                <w:szCs w:val="16"/>
              </w:rPr>
            </w:pPr>
            <w:r>
              <w:rPr>
                <w:rFonts w:cstheme="minorHAnsi"/>
                <w:sz w:val="16"/>
                <w:szCs w:val="16"/>
              </w:rPr>
              <w:t>1.24</w:t>
            </w:r>
          </w:p>
        </w:tc>
        <w:tc>
          <w:tcPr>
            <w:tcW w:w="784" w:type="pct"/>
          </w:tcPr>
          <w:p w14:paraId="275A6981" w14:textId="77777777" w:rsidR="00EE0150" w:rsidRDefault="00EE0150" w:rsidP="005271E0">
            <w:pPr>
              <w:jc w:val="right"/>
              <w:rPr>
                <w:rFonts w:cstheme="minorHAnsi"/>
                <w:sz w:val="16"/>
                <w:szCs w:val="16"/>
              </w:rPr>
            </w:pPr>
          </w:p>
        </w:tc>
        <w:tc>
          <w:tcPr>
            <w:tcW w:w="866" w:type="pct"/>
          </w:tcPr>
          <w:p w14:paraId="528E4265" w14:textId="77777777" w:rsidR="00EE0150" w:rsidRDefault="00EE0150" w:rsidP="005271E0">
            <w:pPr>
              <w:jc w:val="right"/>
              <w:rPr>
                <w:rFonts w:cstheme="minorHAnsi"/>
                <w:sz w:val="16"/>
                <w:szCs w:val="16"/>
              </w:rPr>
            </w:pPr>
            <w:r>
              <w:rPr>
                <w:rFonts w:cstheme="minorHAnsi"/>
                <w:sz w:val="16"/>
                <w:szCs w:val="16"/>
              </w:rPr>
              <w:t>.97</w:t>
            </w:r>
          </w:p>
        </w:tc>
        <w:tc>
          <w:tcPr>
            <w:tcW w:w="178" w:type="pct"/>
          </w:tcPr>
          <w:p w14:paraId="3695EFF0" w14:textId="77777777" w:rsidR="00EE0150" w:rsidRPr="00582308" w:rsidRDefault="00EE0150" w:rsidP="005271E0">
            <w:pPr>
              <w:jc w:val="right"/>
              <w:rPr>
                <w:rFonts w:cstheme="minorHAnsi"/>
                <w:sz w:val="16"/>
                <w:szCs w:val="16"/>
              </w:rPr>
            </w:pPr>
          </w:p>
        </w:tc>
        <w:tc>
          <w:tcPr>
            <w:tcW w:w="784" w:type="pct"/>
          </w:tcPr>
          <w:p w14:paraId="31229C76" w14:textId="77777777" w:rsidR="00EE0150" w:rsidRPr="00582308" w:rsidRDefault="00EE0150" w:rsidP="005271E0">
            <w:pPr>
              <w:jc w:val="right"/>
              <w:rPr>
                <w:rFonts w:cstheme="minorHAnsi"/>
                <w:sz w:val="16"/>
                <w:szCs w:val="16"/>
              </w:rPr>
            </w:pPr>
          </w:p>
        </w:tc>
        <w:tc>
          <w:tcPr>
            <w:tcW w:w="866" w:type="pct"/>
          </w:tcPr>
          <w:p w14:paraId="17D91F48" w14:textId="77777777" w:rsidR="00EE0150" w:rsidRDefault="00EE0150" w:rsidP="005271E0">
            <w:pPr>
              <w:jc w:val="right"/>
              <w:rPr>
                <w:rFonts w:cstheme="minorHAnsi"/>
                <w:sz w:val="16"/>
                <w:szCs w:val="16"/>
              </w:rPr>
            </w:pPr>
            <w:r>
              <w:rPr>
                <w:rFonts w:cstheme="minorHAnsi"/>
                <w:sz w:val="16"/>
                <w:szCs w:val="16"/>
              </w:rPr>
              <w:t>.77</w:t>
            </w:r>
          </w:p>
        </w:tc>
      </w:tr>
      <w:tr w:rsidR="00EE0150" w:rsidRPr="00582308" w14:paraId="51D22972" w14:textId="77777777" w:rsidTr="005271E0">
        <w:tc>
          <w:tcPr>
            <w:tcW w:w="1049" w:type="pct"/>
          </w:tcPr>
          <w:p w14:paraId="14A94343" w14:textId="77777777" w:rsidR="00EE0150" w:rsidRDefault="00EE0150" w:rsidP="005271E0">
            <w:pPr>
              <w:ind w:left="170" w:hanging="170"/>
              <w:rPr>
                <w:rFonts w:cstheme="minorHAnsi"/>
                <w:sz w:val="16"/>
                <w:szCs w:val="16"/>
              </w:rPr>
            </w:pPr>
            <w:r w:rsidRPr="00242FC5">
              <w:rPr>
                <w:rFonts w:cstheme="minorHAnsi"/>
                <w:sz w:val="16"/>
                <w:szCs w:val="16"/>
              </w:rPr>
              <w:t>Ethnically Diverse Metropolitan Living</w:t>
            </w:r>
          </w:p>
        </w:tc>
        <w:tc>
          <w:tcPr>
            <w:tcW w:w="473" w:type="pct"/>
          </w:tcPr>
          <w:p w14:paraId="3C861138" w14:textId="77777777" w:rsidR="00EE0150" w:rsidRDefault="00EE0150" w:rsidP="005271E0">
            <w:pPr>
              <w:jc w:val="right"/>
              <w:rPr>
                <w:rFonts w:cstheme="minorHAnsi"/>
                <w:sz w:val="16"/>
                <w:szCs w:val="16"/>
              </w:rPr>
            </w:pPr>
            <w:r>
              <w:rPr>
                <w:rFonts w:cstheme="minorHAnsi"/>
                <w:sz w:val="16"/>
                <w:szCs w:val="16"/>
              </w:rPr>
              <w:t>3.81**</w:t>
            </w:r>
          </w:p>
        </w:tc>
        <w:tc>
          <w:tcPr>
            <w:tcW w:w="784" w:type="pct"/>
          </w:tcPr>
          <w:p w14:paraId="7E4F6DCD" w14:textId="77777777" w:rsidR="00EE0150" w:rsidRDefault="00EE0150" w:rsidP="005271E0">
            <w:pPr>
              <w:jc w:val="right"/>
              <w:rPr>
                <w:rFonts w:cstheme="minorHAnsi"/>
                <w:sz w:val="16"/>
                <w:szCs w:val="16"/>
              </w:rPr>
            </w:pPr>
          </w:p>
        </w:tc>
        <w:tc>
          <w:tcPr>
            <w:tcW w:w="866" w:type="pct"/>
          </w:tcPr>
          <w:p w14:paraId="48345738" w14:textId="77777777" w:rsidR="00EE0150" w:rsidRDefault="00EE0150" w:rsidP="005271E0">
            <w:pPr>
              <w:jc w:val="right"/>
              <w:rPr>
                <w:rFonts w:cstheme="minorHAnsi"/>
                <w:sz w:val="16"/>
                <w:szCs w:val="16"/>
              </w:rPr>
            </w:pPr>
            <w:r>
              <w:rPr>
                <w:rFonts w:cstheme="minorHAnsi"/>
                <w:sz w:val="16"/>
                <w:szCs w:val="16"/>
              </w:rPr>
              <w:t>3.40*</w:t>
            </w:r>
          </w:p>
        </w:tc>
        <w:tc>
          <w:tcPr>
            <w:tcW w:w="178" w:type="pct"/>
          </w:tcPr>
          <w:p w14:paraId="1B02E207" w14:textId="77777777" w:rsidR="00EE0150" w:rsidRPr="00582308" w:rsidRDefault="00EE0150" w:rsidP="005271E0">
            <w:pPr>
              <w:jc w:val="right"/>
              <w:rPr>
                <w:rFonts w:cstheme="minorHAnsi"/>
                <w:sz w:val="16"/>
                <w:szCs w:val="16"/>
              </w:rPr>
            </w:pPr>
          </w:p>
        </w:tc>
        <w:tc>
          <w:tcPr>
            <w:tcW w:w="784" w:type="pct"/>
          </w:tcPr>
          <w:p w14:paraId="58A5E27C" w14:textId="77777777" w:rsidR="00EE0150" w:rsidRPr="00582308" w:rsidRDefault="00EE0150" w:rsidP="005271E0">
            <w:pPr>
              <w:jc w:val="right"/>
              <w:rPr>
                <w:rFonts w:cstheme="minorHAnsi"/>
                <w:sz w:val="16"/>
                <w:szCs w:val="16"/>
              </w:rPr>
            </w:pPr>
          </w:p>
        </w:tc>
        <w:tc>
          <w:tcPr>
            <w:tcW w:w="866" w:type="pct"/>
          </w:tcPr>
          <w:p w14:paraId="6EEE94DF" w14:textId="77777777" w:rsidR="00EE0150" w:rsidRDefault="00EE0150" w:rsidP="005271E0">
            <w:pPr>
              <w:jc w:val="right"/>
              <w:rPr>
                <w:rFonts w:cstheme="minorHAnsi"/>
                <w:sz w:val="16"/>
                <w:szCs w:val="16"/>
              </w:rPr>
            </w:pPr>
            <w:r>
              <w:rPr>
                <w:rFonts w:cstheme="minorHAnsi"/>
                <w:sz w:val="16"/>
                <w:szCs w:val="16"/>
              </w:rPr>
              <w:t>3.27**</w:t>
            </w:r>
          </w:p>
        </w:tc>
      </w:tr>
      <w:tr w:rsidR="00EE0150" w:rsidRPr="00582308" w14:paraId="2F9527B6" w14:textId="77777777" w:rsidTr="005271E0">
        <w:tc>
          <w:tcPr>
            <w:tcW w:w="1049" w:type="pct"/>
          </w:tcPr>
          <w:p w14:paraId="068CCCC4" w14:textId="77777777" w:rsidR="00EE0150" w:rsidRDefault="00EE0150" w:rsidP="005271E0">
            <w:pPr>
              <w:ind w:left="170" w:hanging="170"/>
              <w:rPr>
                <w:rFonts w:cstheme="minorHAnsi"/>
                <w:sz w:val="16"/>
                <w:szCs w:val="16"/>
              </w:rPr>
            </w:pPr>
            <w:r w:rsidRPr="00242FC5">
              <w:rPr>
                <w:rFonts w:cstheme="minorHAnsi"/>
                <w:sz w:val="16"/>
                <w:szCs w:val="16"/>
              </w:rPr>
              <w:t>London Cosmopolitan</w:t>
            </w:r>
          </w:p>
        </w:tc>
        <w:tc>
          <w:tcPr>
            <w:tcW w:w="473" w:type="pct"/>
          </w:tcPr>
          <w:p w14:paraId="62982037" w14:textId="77777777" w:rsidR="00EE0150" w:rsidRDefault="00EE0150" w:rsidP="005271E0">
            <w:pPr>
              <w:jc w:val="right"/>
              <w:rPr>
                <w:rFonts w:cstheme="minorHAnsi"/>
                <w:sz w:val="16"/>
                <w:szCs w:val="16"/>
              </w:rPr>
            </w:pPr>
            <w:r>
              <w:rPr>
                <w:rFonts w:cstheme="minorHAnsi"/>
                <w:sz w:val="16"/>
                <w:szCs w:val="16"/>
              </w:rPr>
              <w:t>3.35**</w:t>
            </w:r>
          </w:p>
        </w:tc>
        <w:tc>
          <w:tcPr>
            <w:tcW w:w="784" w:type="pct"/>
          </w:tcPr>
          <w:p w14:paraId="0118D3D9" w14:textId="77777777" w:rsidR="00EE0150" w:rsidRDefault="00EE0150" w:rsidP="005271E0">
            <w:pPr>
              <w:jc w:val="right"/>
              <w:rPr>
                <w:rFonts w:cstheme="minorHAnsi"/>
                <w:sz w:val="16"/>
                <w:szCs w:val="16"/>
              </w:rPr>
            </w:pPr>
          </w:p>
        </w:tc>
        <w:tc>
          <w:tcPr>
            <w:tcW w:w="866" w:type="pct"/>
          </w:tcPr>
          <w:p w14:paraId="3083D498" w14:textId="77777777" w:rsidR="00EE0150" w:rsidRDefault="00EE0150" w:rsidP="005271E0">
            <w:pPr>
              <w:jc w:val="right"/>
              <w:rPr>
                <w:rFonts w:cstheme="minorHAnsi"/>
                <w:sz w:val="16"/>
                <w:szCs w:val="16"/>
              </w:rPr>
            </w:pPr>
            <w:r>
              <w:rPr>
                <w:rFonts w:cstheme="minorHAnsi"/>
                <w:sz w:val="16"/>
                <w:szCs w:val="16"/>
              </w:rPr>
              <w:t>2.78</w:t>
            </w:r>
          </w:p>
        </w:tc>
        <w:tc>
          <w:tcPr>
            <w:tcW w:w="178" w:type="pct"/>
          </w:tcPr>
          <w:p w14:paraId="4C7F9DDE" w14:textId="77777777" w:rsidR="00EE0150" w:rsidRPr="00582308" w:rsidRDefault="00EE0150" w:rsidP="005271E0">
            <w:pPr>
              <w:jc w:val="right"/>
              <w:rPr>
                <w:rFonts w:cstheme="minorHAnsi"/>
                <w:sz w:val="16"/>
                <w:szCs w:val="16"/>
              </w:rPr>
            </w:pPr>
          </w:p>
        </w:tc>
        <w:tc>
          <w:tcPr>
            <w:tcW w:w="784" w:type="pct"/>
          </w:tcPr>
          <w:p w14:paraId="56D81A09" w14:textId="77777777" w:rsidR="00EE0150" w:rsidRPr="00582308" w:rsidRDefault="00EE0150" w:rsidP="005271E0">
            <w:pPr>
              <w:jc w:val="right"/>
              <w:rPr>
                <w:rFonts w:cstheme="minorHAnsi"/>
                <w:sz w:val="16"/>
                <w:szCs w:val="16"/>
              </w:rPr>
            </w:pPr>
          </w:p>
        </w:tc>
        <w:tc>
          <w:tcPr>
            <w:tcW w:w="866" w:type="pct"/>
          </w:tcPr>
          <w:p w14:paraId="3B6BBF42" w14:textId="77777777" w:rsidR="00EE0150" w:rsidRDefault="00EE0150" w:rsidP="005271E0">
            <w:pPr>
              <w:jc w:val="right"/>
              <w:rPr>
                <w:rFonts w:cstheme="minorHAnsi"/>
                <w:sz w:val="16"/>
                <w:szCs w:val="16"/>
              </w:rPr>
            </w:pPr>
            <w:r>
              <w:rPr>
                <w:rFonts w:cstheme="minorHAnsi"/>
                <w:sz w:val="16"/>
                <w:szCs w:val="16"/>
              </w:rPr>
              <w:t>2.43</w:t>
            </w:r>
          </w:p>
        </w:tc>
      </w:tr>
      <w:tr w:rsidR="00EE0150" w:rsidRPr="00582308" w14:paraId="041D290D" w14:textId="77777777" w:rsidTr="005271E0">
        <w:tc>
          <w:tcPr>
            <w:tcW w:w="1049" w:type="pct"/>
          </w:tcPr>
          <w:p w14:paraId="082137B4" w14:textId="77777777" w:rsidR="00EE0150" w:rsidRDefault="00EE0150" w:rsidP="005271E0">
            <w:pPr>
              <w:ind w:left="170" w:hanging="170"/>
              <w:rPr>
                <w:rFonts w:cstheme="minorHAnsi"/>
                <w:sz w:val="16"/>
                <w:szCs w:val="16"/>
              </w:rPr>
            </w:pPr>
            <w:r w:rsidRPr="00242FC5">
              <w:rPr>
                <w:rFonts w:cstheme="minorHAnsi"/>
                <w:sz w:val="16"/>
                <w:szCs w:val="16"/>
              </w:rPr>
              <w:t>Services and Industrial Legacy</w:t>
            </w:r>
          </w:p>
        </w:tc>
        <w:tc>
          <w:tcPr>
            <w:tcW w:w="473" w:type="pct"/>
          </w:tcPr>
          <w:p w14:paraId="7D62ABE9" w14:textId="77777777" w:rsidR="00EE0150" w:rsidRDefault="00EE0150" w:rsidP="005271E0">
            <w:pPr>
              <w:jc w:val="right"/>
              <w:rPr>
                <w:rFonts w:cstheme="minorHAnsi"/>
                <w:sz w:val="16"/>
                <w:szCs w:val="16"/>
              </w:rPr>
            </w:pPr>
            <w:r>
              <w:rPr>
                <w:rFonts w:cstheme="minorHAnsi"/>
                <w:sz w:val="16"/>
                <w:szCs w:val="16"/>
              </w:rPr>
              <w:t>3.04**</w:t>
            </w:r>
          </w:p>
        </w:tc>
        <w:tc>
          <w:tcPr>
            <w:tcW w:w="784" w:type="pct"/>
          </w:tcPr>
          <w:p w14:paraId="4D69FA56" w14:textId="77777777" w:rsidR="00EE0150" w:rsidRDefault="00EE0150" w:rsidP="005271E0">
            <w:pPr>
              <w:jc w:val="right"/>
              <w:rPr>
                <w:rFonts w:cstheme="minorHAnsi"/>
                <w:sz w:val="16"/>
                <w:szCs w:val="16"/>
              </w:rPr>
            </w:pPr>
          </w:p>
        </w:tc>
        <w:tc>
          <w:tcPr>
            <w:tcW w:w="866" w:type="pct"/>
          </w:tcPr>
          <w:p w14:paraId="75B59645" w14:textId="77777777" w:rsidR="00EE0150" w:rsidRDefault="00EE0150" w:rsidP="005271E0">
            <w:pPr>
              <w:jc w:val="right"/>
              <w:rPr>
                <w:rFonts w:cstheme="minorHAnsi"/>
                <w:sz w:val="16"/>
                <w:szCs w:val="16"/>
              </w:rPr>
            </w:pPr>
            <w:r>
              <w:rPr>
                <w:rFonts w:cstheme="minorHAnsi"/>
                <w:sz w:val="16"/>
                <w:szCs w:val="16"/>
              </w:rPr>
              <w:t>2.60</w:t>
            </w:r>
          </w:p>
        </w:tc>
        <w:tc>
          <w:tcPr>
            <w:tcW w:w="178" w:type="pct"/>
          </w:tcPr>
          <w:p w14:paraId="5252DDE2" w14:textId="77777777" w:rsidR="00EE0150" w:rsidRPr="00582308" w:rsidRDefault="00EE0150" w:rsidP="005271E0">
            <w:pPr>
              <w:jc w:val="right"/>
              <w:rPr>
                <w:rFonts w:cstheme="minorHAnsi"/>
                <w:sz w:val="16"/>
                <w:szCs w:val="16"/>
              </w:rPr>
            </w:pPr>
          </w:p>
        </w:tc>
        <w:tc>
          <w:tcPr>
            <w:tcW w:w="784" w:type="pct"/>
          </w:tcPr>
          <w:p w14:paraId="50171B04" w14:textId="77777777" w:rsidR="00EE0150" w:rsidRPr="00582308" w:rsidRDefault="00EE0150" w:rsidP="005271E0">
            <w:pPr>
              <w:jc w:val="right"/>
              <w:rPr>
                <w:rFonts w:cstheme="minorHAnsi"/>
                <w:sz w:val="16"/>
                <w:szCs w:val="16"/>
              </w:rPr>
            </w:pPr>
          </w:p>
        </w:tc>
        <w:tc>
          <w:tcPr>
            <w:tcW w:w="866" w:type="pct"/>
          </w:tcPr>
          <w:p w14:paraId="21744238" w14:textId="77777777" w:rsidR="00EE0150" w:rsidRDefault="00EE0150" w:rsidP="005271E0">
            <w:pPr>
              <w:jc w:val="right"/>
              <w:rPr>
                <w:rFonts w:cstheme="minorHAnsi"/>
                <w:sz w:val="16"/>
                <w:szCs w:val="16"/>
              </w:rPr>
            </w:pPr>
            <w:r>
              <w:rPr>
                <w:rFonts w:cstheme="minorHAnsi"/>
                <w:sz w:val="16"/>
                <w:szCs w:val="16"/>
              </w:rPr>
              <w:t>2.34</w:t>
            </w:r>
          </w:p>
        </w:tc>
      </w:tr>
      <w:tr w:rsidR="00EE0150" w:rsidRPr="00582308" w14:paraId="7AE38918" w14:textId="77777777" w:rsidTr="005271E0">
        <w:tc>
          <w:tcPr>
            <w:tcW w:w="1049" w:type="pct"/>
          </w:tcPr>
          <w:p w14:paraId="6DBC8EDE" w14:textId="77777777" w:rsidR="00EE0150" w:rsidRPr="00582308" w:rsidRDefault="00EE0150" w:rsidP="005271E0">
            <w:pPr>
              <w:ind w:left="170" w:hanging="170"/>
              <w:rPr>
                <w:rFonts w:cstheme="minorHAnsi"/>
                <w:sz w:val="16"/>
                <w:szCs w:val="16"/>
              </w:rPr>
            </w:pPr>
            <w:r w:rsidRPr="00242FC5">
              <w:rPr>
                <w:rFonts w:cstheme="minorHAnsi"/>
                <w:sz w:val="16"/>
                <w:szCs w:val="16"/>
              </w:rPr>
              <w:t>Town and Country Living</w:t>
            </w:r>
          </w:p>
        </w:tc>
        <w:tc>
          <w:tcPr>
            <w:tcW w:w="473" w:type="pct"/>
          </w:tcPr>
          <w:p w14:paraId="75C1CEDC" w14:textId="77777777" w:rsidR="00EE0150" w:rsidRPr="00582308" w:rsidRDefault="00EE0150" w:rsidP="005271E0">
            <w:pPr>
              <w:jc w:val="right"/>
              <w:rPr>
                <w:rFonts w:cstheme="minorHAnsi"/>
                <w:sz w:val="16"/>
                <w:szCs w:val="16"/>
              </w:rPr>
            </w:pPr>
            <w:r>
              <w:rPr>
                <w:rFonts w:cstheme="minorHAnsi"/>
                <w:sz w:val="16"/>
                <w:szCs w:val="16"/>
              </w:rPr>
              <w:t>.48</w:t>
            </w:r>
          </w:p>
        </w:tc>
        <w:tc>
          <w:tcPr>
            <w:tcW w:w="784" w:type="pct"/>
          </w:tcPr>
          <w:p w14:paraId="2729C3A3" w14:textId="77777777" w:rsidR="00EE0150" w:rsidRDefault="00EE0150" w:rsidP="005271E0">
            <w:pPr>
              <w:jc w:val="right"/>
              <w:rPr>
                <w:rFonts w:cstheme="minorHAnsi"/>
                <w:sz w:val="16"/>
                <w:szCs w:val="16"/>
              </w:rPr>
            </w:pPr>
          </w:p>
        </w:tc>
        <w:tc>
          <w:tcPr>
            <w:tcW w:w="866" w:type="pct"/>
          </w:tcPr>
          <w:p w14:paraId="0843057B" w14:textId="77777777" w:rsidR="00EE0150" w:rsidRDefault="00EE0150" w:rsidP="005271E0">
            <w:pPr>
              <w:jc w:val="right"/>
              <w:rPr>
                <w:rFonts w:cstheme="minorHAnsi"/>
                <w:sz w:val="16"/>
                <w:szCs w:val="16"/>
              </w:rPr>
            </w:pPr>
            <w:r>
              <w:rPr>
                <w:rFonts w:cstheme="minorHAnsi"/>
                <w:sz w:val="16"/>
                <w:szCs w:val="16"/>
              </w:rPr>
              <w:t>.32</w:t>
            </w:r>
          </w:p>
        </w:tc>
        <w:tc>
          <w:tcPr>
            <w:tcW w:w="178" w:type="pct"/>
          </w:tcPr>
          <w:p w14:paraId="0E35FB2E" w14:textId="77777777" w:rsidR="00EE0150" w:rsidRPr="00582308" w:rsidRDefault="00EE0150" w:rsidP="005271E0">
            <w:pPr>
              <w:jc w:val="right"/>
              <w:rPr>
                <w:rFonts w:cstheme="minorHAnsi"/>
                <w:sz w:val="16"/>
                <w:szCs w:val="16"/>
              </w:rPr>
            </w:pPr>
          </w:p>
        </w:tc>
        <w:tc>
          <w:tcPr>
            <w:tcW w:w="784" w:type="pct"/>
          </w:tcPr>
          <w:p w14:paraId="47F1CFBA" w14:textId="77777777" w:rsidR="00EE0150" w:rsidRPr="00582308" w:rsidRDefault="00EE0150" w:rsidP="005271E0">
            <w:pPr>
              <w:jc w:val="right"/>
              <w:rPr>
                <w:rFonts w:cstheme="minorHAnsi"/>
                <w:sz w:val="16"/>
                <w:szCs w:val="16"/>
              </w:rPr>
            </w:pPr>
          </w:p>
        </w:tc>
        <w:tc>
          <w:tcPr>
            <w:tcW w:w="866" w:type="pct"/>
          </w:tcPr>
          <w:p w14:paraId="22BAFF5E" w14:textId="77777777" w:rsidR="00EE0150" w:rsidRPr="00582308" w:rsidRDefault="00EE0150" w:rsidP="005271E0">
            <w:pPr>
              <w:jc w:val="right"/>
              <w:rPr>
                <w:rFonts w:cstheme="minorHAnsi"/>
                <w:sz w:val="16"/>
                <w:szCs w:val="16"/>
              </w:rPr>
            </w:pPr>
            <w:r>
              <w:rPr>
                <w:rFonts w:cstheme="minorHAnsi"/>
                <w:sz w:val="16"/>
                <w:szCs w:val="16"/>
              </w:rPr>
              <w:t>.28</w:t>
            </w:r>
          </w:p>
        </w:tc>
      </w:tr>
      <w:tr w:rsidR="00EE0150" w:rsidRPr="00582308" w14:paraId="5E67B088" w14:textId="77777777" w:rsidTr="005271E0">
        <w:tc>
          <w:tcPr>
            <w:tcW w:w="1049" w:type="pct"/>
          </w:tcPr>
          <w:p w14:paraId="060F56A8" w14:textId="77777777" w:rsidR="00EE0150" w:rsidRPr="00582308" w:rsidRDefault="00EE0150" w:rsidP="005271E0">
            <w:pPr>
              <w:ind w:left="170" w:hanging="170"/>
              <w:rPr>
                <w:rFonts w:cstheme="minorHAnsi"/>
                <w:sz w:val="16"/>
                <w:szCs w:val="16"/>
              </w:rPr>
            </w:pPr>
            <w:r w:rsidRPr="00242FC5">
              <w:rPr>
                <w:rFonts w:cstheme="minorHAnsi"/>
                <w:sz w:val="16"/>
                <w:szCs w:val="16"/>
              </w:rPr>
              <w:t>Urban Settlements</w:t>
            </w:r>
          </w:p>
        </w:tc>
        <w:tc>
          <w:tcPr>
            <w:tcW w:w="473" w:type="pct"/>
          </w:tcPr>
          <w:p w14:paraId="157C251B" w14:textId="77777777" w:rsidR="00EE0150" w:rsidRPr="00582308" w:rsidRDefault="00EE0150" w:rsidP="005271E0">
            <w:pPr>
              <w:jc w:val="right"/>
              <w:rPr>
                <w:rFonts w:cstheme="minorHAnsi"/>
                <w:sz w:val="16"/>
                <w:szCs w:val="16"/>
              </w:rPr>
            </w:pPr>
            <w:r>
              <w:rPr>
                <w:rFonts w:cstheme="minorHAnsi"/>
                <w:sz w:val="16"/>
                <w:szCs w:val="16"/>
              </w:rPr>
              <w:t>2.66*</w:t>
            </w:r>
          </w:p>
        </w:tc>
        <w:tc>
          <w:tcPr>
            <w:tcW w:w="784" w:type="pct"/>
          </w:tcPr>
          <w:p w14:paraId="56A82784" w14:textId="77777777" w:rsidR="00EE0150" w:rsidRDefault="00EE0150" w:rsidP="005271E0">
            <w:pPr>
              <w:jc w:val="right"/>
              <w:rPr>
                <w:rFonts w:cstheme="minorHAnsi"/>
                <w:sz w:val="16"/>
                <w:szCs w:val="16"/>
              </w:rPr>
            </w:pPr>
          </w:p>
        </w:tc>
        <w:tc>
          <w:tcPr>
            <w:tcW w:w="866" w:type="pct"/>
          </w:tcPr>
          <w:p w14:paraId="0C00E153" w14:textId="77777777" w:rsidR="00EE0150" w:rsidRDefault="00EE0150" w:rsidP="005271E0">
            <w:pPr>
              <w:jc w:val="right"/>
              <w:rPr>
                <w:rFonts w:cstheme="minorHAnsi"/>
                <w:sz w:val="16"/>
                <w:szCs w:val="16"/>
              </w:rPr>
            </w:pPr>
            <w:r>
              <w:rPr>
                <w:rFonts w:cstheme="minorHAnsi"/>
                <w:sz w:val="16"/>
                <w:szCs w:val="16"/>
              </w:rPr>
              <w:t>2.32</w:t>
            </w:r>
          </w:p>
        </w:tc>
        <w:tc>
          <w:tcPr>
            <w:tcW w:w="178" w:type="pct"/>
          </w:tcPr>
          <w:p w14:paraId="18D0F5FC" w14:textId="77777777" w:rsidR="00EE0150" w:rsidRPr="00582308" w:rsidRDefault="00EE0150" w:rsidP="005271E0">
            <w:pPr>
              <w:jc w:val="right"/>
              <w:rPr>
                <w:rFonts w:cstheme="minorHAnsi"/>
                <w:sz w:val="16"/>
                <w:szCs w:val="16"/>
              </w:rPr>
            </w:pPr>
          </w:p>
        </w:tc>
        <w:tc>
          <w:tcPr>
            <w:tcW w:w="784" w:type="pct"/>
          </w:tcPr>
          <w:p w14:paraId="23798D4E" w14:textId="77777777" w:rsidR="00EE0150" w:rsidRPr="00582308" w:rsidRDefault="00EE0150" w:rsidP="005271E0">
            <w:pPr>
              <w:jc w:val="right"/>
              <w:rPr>
                <w:rFonts w:cstheme="minorHAnsi"/>
                <w:sz w:val="16"/>
                <w:szCs w:val="16"/>
              </w:rPr>
            </w:pPr>
          </w:p>
        </w:tc>
        <w:tc>
          <w:tcPr>
            <w:tcW w:w="866" w:type="pct"/>
          </w:tcPr>
          <w:p w14:paraId="092EAB20" w14:textId="77777777" w:rsidR="00EE0150" w:rsidRPr="00582308" w:rsidRDefault="00EE0150" w:rsidP="005271E0">
            <w:pPr>
              <w:jc w:val="right"/>
              <w:rPr>
                <w:rFonts w:cstheme="minorHAnsi"/>
                <w:sz w:val="16"/>
                <w:szCs w:val="16"/>
              </w:rPr>
            </w:pPr>
            <w:r>
              <w:rPr>
                <w:rFonts w:cstheme="minorHAnsi"/>
                <w:sz w:val="16"/>
                <w:szCs w:val="16"/>
              </w:rPr>
              <w:t>2.20</w:t>
            </w:r>
          </w:p>
        </w:tc>
      </w:tr>
      <w:tr w:rsidR="00EE0150" w:rsidRPr="00AF1395" w14:paraId="445C6D57" w14:textId="77777777" w:rsidTr="005271E0">
        <w:tc>
          <w:tcPr>
            <w:tcW w:w="1049" w:type="pct"/>
            <w:tcBorders>
              <w:top w:val="single" w:sz="4" w:space="0" w:color="auto"/>
              <w:bottom w:val="single" w:sz="4" w:space="0" w:color="auto"/>
            </w:tcBorders>
          </w:tcPr>
          <w:p w14:paraId="4AEC3D4D" w14:textId="77777777" w:rsidR="00EE0150" w:rsidRPr="00AF1395" w:rsidRDefault="00EE0150" w:rsidP="005271E0">
            <w:pPr>
              <w:rPr>
                <w:rFonts w:cstheme="minorHAnsi"/>
                <w:sz w:val="16"/>
                <w:szCs w:val="16"/>
              </w:rPr>
            </w:pPr>
            <w:r w:rsidRPr="00AF1395">
              <w:rPr>
                <w:rFonts w:cstheme="minorHAnsi"/>
                <w:sz w:val="16"/>
                <w:szCs w:val="16"/>
              </w:rPr>
              <w:t>Spatial lag</w:t>
            </w:r>
          </w:p>
        </w:tc>
        <w:tc>
          <w:tcPr>
            <w:tcW w:w="473" w:type="pct"/>
            <w:tcBorders>
              <w:top w:val="single" w:sz="4" w:space="0" w:color="auto"/>
              <w:bottom w:val="single" w:sz="4" w:space="0" w:color="auto"/>
            </w:tcBorders>
          </w:tcPr>
          <w:p w14:paraId="63F8A264" w14:textId="77777777" w:rsidR="00EE0150" w:rsidRPr="00AF1395" w:rsidRDefault="00EE0150" w:rsidP="005271E0">
            <w:pPr>
              <w:jc w:val="right"/>
              <w:rPr>
                <w:rFonts w:cstheme="minorHAnsi"/>
                <w:sz w:val="16"/>
                <w:szCs w:val="16"/>
              </w:rPr>
            </w:pPr>
          </w:p>
        </w:tc>
        <w:tc>
          <w:tcPr>
            <w:tcW w:w="784" w:type="pct"/>
            <w:tcBorders>
              <w:top w:val="single" w:sz="4" w:space="0" w:color="auto"/>
              <w:bottom w:val="single" w:sz="4" w:space="0" w:color="auto"/>
            </w:tcBorders>
          </w:tcPr>
          <w:p w14:paraId="547AB3FD" w14:textId="77777777" w:rsidR="00EE0150" w:rsidRPr="00AF1395" w:rsidRDefault="00EE0150" w:rsidP="005271E0">
            <w:pPr>
              <w:jc w:val="right"/>
              <w:rPr>
                <w:rFonts w:cstheme="minorHAnsi"/>
                <w:sz w:val="16"/>
                <w:szCs w:val="16"/>
              </w:rPr>
            </w:pPr>
            <w:r>
              <w:rPr>
                <w:rFonts w:cstheme="minorHAnsi"/>
                <w:sz w:val="16"/>
                <w:szCs w:val="16"/>
              </w:rPr>
              <w:t>4.42***</w:t>
            </w:r>
          </w:p>
        </w:tc>
        <w:tc>
          <w:tcPr>
            <w:tcW w:w="866" w:type="pct"/>
            <w:tcBorders>
              <w:top w:val="single" w:sz="4" w:space="0" w:color="auto"/>
              <w:bottom w:val="single" w:sz="4" w:space="0" w:color="auto"/>
            </w:tcBorders>
          </w:tcPr>
          <w:p w14:paraId="0257CCB4" w14:textId="77777777" w:rsidR="00EE0150" w:rsidRPr="00AF1395" w:rsidRDefault="00EE0150" w:rsidP="005271E0">
            <w:pPr>
              <w:jc w:val="right"/>
              <w:rPr>
                <w:rFonts w:cstheme="minorHAnsi"/>
                <w:sz w:val="16"/>
                <w:szCs w:val="16"/>
              </w:rPr>
            </w:pPr>
            <w:r>
              <w:rPr>
                <w:rFonts w:cstheme="minorHAnsi"/>
                <w:sz w:val="16"/>
                <w:szCs w:val="16"/>
              </w:rPr>
              <w:t>.21</w:t>
            </w:r>
          </w:p>
        </w:tc>
        <w:tc>
          <w:tcPr>
            <w:tcW w:w="178" w:type="pct"/>
            <w:tcBorders>
              <w:top w:val="single" w:sz="4" w:space="0" w:color="auto"/>
              <w:bottom w:val="single" w:sz="4" w:space="0" w:color="auto"/>
            </w:tcBorders>
          </w:tcPr>
          <w:p w14:paraId="7D54B60E" w14:textId="77777777" w:rsidR="00EE0150" w:rsidRPr="00AF1395" w:rsidRDefault="00EE0150" w:rsidP="005271E0">
            <w:pPr>
              <w:jc w:val="right"/>
              <w:rPr>
                <w:rFonts w:cstheme="minorHAnsi"/>
                <w:sz w:val="16"/>
                <w:szCs w:val="16"/>
              </w:rPr>
            </w:pPr>
          </w:p>
        </w:tc>
        <w:tc>
          <w:tcPr>
            <w:tcW w:w="784" w:type="pct"/>
            <w:tcBorders>
              <w:top w:val="single" w:sz="4" w:space="0" w:color="auto"/>
              <w:bottom w:val="single" w:sz="4" w:space="0" w:color="auto"/>
            </w:tcBorders>
          </w:tcPr>
          <w:p w14:paraId="35D93EC9" w14:textId="77777777" w:rsidR="00EE0150" w:rsidRPr="00AF1395" w:rsidRDefault="00EE0150" w:rsidP="005271E0">
            <w:pPr>
              <w:jc w:val="right"/>
              <w:rPr>
                <w:rFonts w:cstheme="minorHAnsi"/>
                <w:sz w:val="16"/>
                <w:szCs w:val="16"/>
              </w:rPr>
            </w:pPr>
            <w:r>
              <w:rPr>
                <w:rFonts w:cstheme="minorHAnsi"/>
                <w:sz w:val="16"/>
                <w:szCs w:val="16"/>
              </w:rPr>
              <w:t>3.15*</w:t>
            </w:r>
          </w:p>
        </w:tc>
        <w:tc>
          <w:tcPr>
            <w:tcW w:w="866" w:type="pct"/>
            <w:tcBorders>
              <w:top w:val="single" w:sz="4" w:space="0" w:color="auto"/>
              <w:bottom w:val="single" w:sz="4" w:space="0" w:color="auto"/>
            </w:tcBorders>
          </w:tcPr>
          <w:p w14:paraId="6A4A6D9F" w14:textId="77777777" w:rsidR="00EE0150" w:rsidRPr="00AF1395" w:rsidRDefault="00EE0150" w:rsidP="005271E0">
            <w:pPr>
              <w:jc w:val="right"/>
              <w:rPr>
                <w:rFonts w:cstheme="minorHAnsi"/>
                <w:sz w:val="16"/>
                <w:szCs w:val="16"/>
              </w:rPr>
            </w:pPr>
            <w:r>
              <w:rPr>
                <w:rFonts w:cstheme="minorHAnsi"/>
                <w:sz w:val="16"/>
                <w:szCs w:val="16"/>
              </w:rPr>
              <w:t>.41</w:t>
            </w:r>
          </w:p>
        </w:tc>
      </w:tr>
      <w:tr w:rsidR="00EE0150" w:rsidRPr="00AF1395" w14:paraId="303DA90D" w14:textId="77777777" w:rsidTr="005271E0">
        <w:tc>
          <w:tcPr>
            <w:tcW w:w="1049" w:type="pct"/>
            <w:tcBorders>
              <w:top w:val="single" w:sz="4" w:space="0" w:color="auto"/>
              <w:bottom w:val="single" w:sz="4" w:space="0" w:color="auto"/>
            </w:tcBorders>
          </w:tcPr>
          <w:p w14:paraId="28DB70C2" w14:textId="77777777" w:rsidR="00EE0150" w:rsidRPr="00AF1395" w:rsidRDefault="00EE0150" w:rsidP="005271E0">
            <w:pPr>
              <w:rPr>
                <w:rFonts w:cstheme="minorHAnsi"/>
                <w:sz w:val="16"/>
                <w:szCs w:val="16"/>
              </w:rPr>
            </w:pPr>
            <w:r>
              <w:rPr>
                <w:rFonts w:cstheme="minorHAnsi"/>
                <w:sz w:val="16"/>
                <w:szCs w:val="16"/>
              </w:rPr>
              <w:t>AUROC</w:t>
            </w:r>
          </w:p>
        </w:tc>
        <w:tc>
          <w:tcPr>
            <w:tcW w:w="473" w:type="pct"/>
            <w:tcBorders>
              <w:top w:val="single" w:sz="4" w:space="0" w:color="auto"/>
              <w:bottom w:val="single" w:sz="4" w:space="0" w:color="auto"/>
            </w:tcBorders>
          </w:tcPr>
          <w:p w14:paraId="05818744" w14:textId="77777777" w:rsidR="00EE0150" w:rsidRPr="00AF1395" w:rsidRDefault="00EE0150" w:rsidP="005271E0">
            <w:pPr>
              <w:jc w:val="right"/>
              <w:rPr>
                <w:rFonts w:cstheme="minorHAnsi"/>
                <w:sz w:val="16"/>
                <w:szCs w:val="16"/>
              </w:rPr>
            </w:pPr>
            <w:r>
              <w:rPr>
                <w:rFonts w:cstheme="minorHAnsi"/>
                <w:sz w:val="16"/>
                <w:szCs w:val="16"/>
              </w:rPr>
              <w:t>.78</w:t>
            </w:r>
          </w:p>
        </w:tc>
        <w:tc>
          <w:tcPr>
            <w:tcW w:w="784" w:type="pct"/>
            <w:tcBorders>
              <w:top w:val="single" w:sz="4" w:space="0" w:color="auto"/>
              <w:bottom w:val="single" w:sz="4" w:space="0" w:color="auto"/>
            </w:tcBorders>
          </w:tcPr>
          <w:p w14:paraId="552EE570" w14:textId="77777777" w:rsidR="00EE0150" w:rsidRDefault="00EE0150" w:rsidP="005271E0">
            <w:pPr>
              <w:jc w:val="right"/>
              <w:rPr>
                <w:rFonts w:cstheme="minorHAnsi"/>
                <w:sz w:val="16"/>
                <w:szCs w:val="16"/>
              </w:rPr>
            </w:pPr>
            <w:r>
              <w:rPr>
                <w:rFonts w:cstheme="minorHAnsi"/>
                <w:sz w:val="16"/>
                <w:szCs w:val="16"/>
              </w:rPr>
              <w:t>.66</w:t>
            </w:r>
          </w:p>
        </w:tc>
        <w:tc>
          <w:tcPr>
            <w:tcW w:w="866" w:type="pct"/>
            <w:tcBorders>
              <w:top w:val="single" w:sz="4" w:space="0" w:color="auto"/>
              <w:bottom w:val="single" w:sz="4" w:space="0" w:color="auto"/>
            </w:tcBorders>
          </w:tcPr>
          <w:p w14:paraId="0324DA33" w14:textId="77777777" w:rsidR="00EE0150" w:rsidRDefault="00EE0150" w:rsidP="005271E0">
            <w:pPr>
              <w:jc w:val="right"/>
              <w:rPr>
                <w:rFonts w:cstheme="minorHAnsi"/>
                <w:sz w:val="16"/>
                <w:szCs w:val="16"/>
              </w:rPr>
            </w:pPr>
            <w:r>
              <w:rPr>
                <w:rFonts w:cstheme="minorHAnsi"/>
                <w:sz w:val="16"/>
                <w:szCs w:val="16"/>
              </w:rPr>
              <w:t>.79</w:t>
            </w:r>
          </w:p>
        </w:tc>
        <w:tc>
          <w:tcPr>
            <w:tcW w:w="178" w:type="pct"/>
            <w:tcBorders>
              <w:top w:val="single" w:sz="4" w:space="0" w:color="auto"/>
              <w:bottom w:val="single" w:sz="4" w:space="0" w:color="auto"/>
            </w:tcBorders>
          </w:tcPr>
          <w:p w14:paraId="37D38835" w14:textId="77777777" w:rsidR="00EE0150" w:rsidRPr="00AF1395" w:rsidRDefault="00EE0150" w:rsidP="005271E0">
            <w:pPr>
              <w:jc w:val="right"/>
              <w:rPr>
                <w:rFonts w:cstheme="minorHAnsi"/>
                <w:sz w:val="16"/>
                <w:szCs w:val="16"/>
              </w:rPr>
            </w:pPr>
          </w:p>
        </w:tc>
        <w:tc>
          <w:tcPr>
            <w:tcW w:w="784" w:type="pct"/>
            <w:tcBorders>
              <w:top w:val="single" w:sz="4" w:space="0" w:color="auto"/>
              <w:bottom w:val="single" w:sz="4" w:space="0" w:color="auto"/>
            </w:tcBorders>
          </w:tcPr>
          <w:p w14:paraId="491D1D24" w14:textId="77777777" w:rsidR="00EE0150" w:rsidRDefault="00EE0150" w:rsidP="005271E0">
            <w:pPr>
              <w:jc w:val="right"/>
              <w:rPr>
                <w:rFonts w:cstheme="minorHAnsi"/>
                <w:sz w:val="16"/>
                <w:szCs w:val="16"/>
              </w:rPr>
            </w:pPr>
            <w:r>
              <w:rPr>
                <w:rFonts w:cstheme="minorHAnsi"/>
                <w:sz w:val="16"/>
                <w:szCs w:val="16"/>
              </w:rPr>
              <w:t>.61</w:t>
            </w:r>
          </w:p>
        </w:tc>
        <w:tc>
          <w:tcPr>
            <w:tcW w:w="866" w:type="pct"/>
            <w:tcBorders>
              <w:top w:val="single" w:sz="4" w:space="0" w:color="auto"/>
              <w:bottom w:val="single" w:sz="4" w:space="0" w:color="auto"/>
            </w:tcBorders>
          </w:tcPr>
          <w:p w14:paraId="7CF3CE48" w14:textId="77777777" w:rsidR="00EE0150" w:rsidRDefault="00EE0150" w:rsidP="005271E0">
            <w:pPr>
              <w:jc w:val="right"/>
              <w:rPr>
                <w:rFonts w:cstheme="minorHAnsi"/>
                <w:sz w:val="16"/>
                <w:szCs w:val="16"/>
              </w:rPr>
            </w:pPr>
            <w:r>
              <w:rPr>
                <w:rFonts w:cstheme="minorHAnsi"/>
                <w:sz w:val="16"/>
                <w:szCs w:val="16"/>
              </w:rPr>
              <w:t>.76</w:t>
            </w:r>
          </w:p>
        </w:tc>
      </w:tr>
    </w:tbl>
    <w:p w14:paraId="488B2C2B" w14:textId="77777777" w:rsidR="00EE0150" w:rsidRDefault="00EE0150" w:rsidP="00EE0150">
      <w:pPr>
        <w:pStyle w:val="Caption"/>
      </w:pPr>
    </w:p>
    <w:p w14:paraId="6D7C7A31" w14:textId="77777777" w:rsidR="006E21AC" w:rsidRDefault="006E21AC">
      <w:pPr>
        <w:rPr>
          <w:b/>
          <w:bCs/>
        </w:rPr>
      </w:pPr>
      <w:r>
        <w:rPr>
          <w:b/>
          <w:bCs/>
        </w:rPr>
        <w:br w:type="page"/>
      </w:r>
    </w:p>
    <w:p w14:paraId="2AEF8A20" w14:textId="57AB9B95" w:rsidR="00EE0150" w:rsidRDefault="00EE0150" w:rsidP="00EE0150">
      <w:pPr>
        <w:spacing w:line="240" w:lineRule="auto"/>
      </w:pPr>
      <w:r w:rsidRPr="4427C4BE">
        <w:rPr>
          <w:b/>
          <w:bCs/>
        </w:rPr>
        <w:t xml:space="preserve">Author biographies </w:t>
      </w:r>
      <w:r>
        <w:t>[80-100 words per author]</w:t>
      </w:r>
    </w:p>
    <w:p w14:paraId="4292B628" w14:textId="77777777" w:rsidR="00EE0150" w:rsidRDefault="00EE0150" w:rsidP="00EE0150">
      <w:pPr>
        <w:pStyle w:val="ListParagraph"/>
        <w:numPr>
          <w:ilvl w:val="0"/>
          <w:numId w:val="2"/>
        </w:numPr>
        <w:spacing w:after="0"/>
        <w:rPr>
          <w:rFonts w:ascii="Aptos" w:eastAsia="Aptos" w:hAnsi="Aptos" w:cs="Aptos"/>
        </w:rPr>
      </w:pPr>
      <w:r w:rsidRPr="4427C4BE">
        <w:rPr>
          <w:rFonts w:ascii="Aptos" w:eastAsia="Aptos" w:hAnsi="Aptos" w:cs="Aptos"/>
        </w:rPr>
        <w:t>Jakob Petersen is a research fellow at London School of Hygiene and Tropical Medicine, specialising in the evaluation of complex interventions, natural experiments, social determinants of health, sustainability, and housing. He worked for different national public health agencies and a national survey before taking up a career as academic researcher. Jakob is currently researching the impacts of landlord licensing in the private rental sector as part of a National Institute for Health and Care Research</w:t>
      </w:r>
      <w:r>
        <w:rPr>
          <w:rFonts w:ascii="Aptos" w:eastAsia="Aptos" w:hAnsi="Aptos" w:cs="Aptos"/>
        </w:rPr>
        <w:t xml:space="preserve"> (NIHR) Public Health Research </w:t>
      </w:r>
      <w:r w:rsidRPr="4427C4BE">
        <w:rPr>
          <w:rFonts w:ascii="Aptos" w:eastAsia="Aptos" w:hAnsi="Aptos" w:cs="Aptos"/>
        </w:rPr>
        <w:t>study.</w:t>
      </w:r>
    </w:p>
    <w:p w14:paraId="1162EFC8" w14:textId="77777777" w:rsidR="00EE0150" w:rsidRDefault="00EE0150" w:rsidP="00EE0150">
      <w:pPr>
        <w:pStyle w:val="ListParagraph"/>
        <w:numPr>
          <w:ilvl w:val="0"/>
          <w:numId w:val="2"/>
        </w:numPr>
        <w:spacing w:after="0"/>
        <w:rPr>
          <w:rFonts w:ascii="Aptos" w:eastAsia="Aptos" w:hAnsi="Aptos" w:cs="Aptos"/>
        </w:rPr>
      </w:pPr>
      <w:r w:rsidRPr="4427C4BE">
        <w:rPr>
          <w:rFonts w:ascii="Aptos" w:eastAsia="Aptos" w:hAnsi="Aptos" w:cs="Aptos"/>
        </w:rPr>
        <w:t xml:space="preserve">Alexandros Alexiou is a geographer and assistant professor at </w:t>
      </w:r>
      <w:proofErr w:type="spellStart"/>
      <w:r w:rsidRPr="4427C4BE">
        <w:rPr>
          <w:rFonts w:ascii="Aptos" w:eastAsia="Aptos" w:hAnsi="Aptos" w:cs="Aptos"/>
        </w:rPr>
        <w:t>Panteion</w:t>
      </w:r>
      <w:proofErr w:type="spellEnd"/>
      <w:r w:rsidRPr="4427C4BE">
        <w:rPr>
          <w:rFonts w:ascii="Aptos" w:eastAsia="Aptos" w:hAnsi="Aptos" w:cs="Aptos"/>
        </w:rPr>
        <w:t xml:space="preserve"> University of Social and Political Sciences, Greece. His research focuses on socio-economic inequalities, population analysis, and geographic information science, with an emphasis on analyses at the small-area level. Previously, he has worked as research associate at ESRC Consumer Data Research Centre and the Institute of Population Health at University of Liverpool, where he was involved in </w:t>
      </w:r>
      <w:proofErr w:type="gramStart"/>
      <w:r w:rsidRPr="4427C4BE">
        <w:rPr>
          <w:rFonts w:ascii="Aptos" w:eastAsia="Aptos" w:hAnsi="Aptos" w:cs="Aptos"/>
        </w:rPr>
        <w:t>a number of</w:t>
      </w:r>
      <w:proofErr w:type="gramEnd"/>
      <w:r w:rsidRPr="4427C4BE">
        <w:rPr>
          <w:rFonts w:ascii="Aptos" w:eastAsia="Aptos" w:hAnsi="Aptos" w:cs="Aptos"/>
        </w:rPr>
        <w:t xml:space="preserve"> research projects including local government funding, the built environment, housing, and mental health.</w:t>
      </w:r>
    </w:p>
    <w:p w14:paraId="1B957791" w14:textId="77777777" w:rsidR="00EE0150" w:rsidRDefault="00EE0150" w:rsidP="00EE0150">
      <w:pPr>
        <w:pStyle w:val="ListParagraph"/>
        <w:numPr>
          <w:ilvl w:val="0"/>
          <w:numId w:val="2"/>
        </w:numPr>
        <w:spacing w:after="0"/>
        <w:rPr>
          <w:rFonts w:ascii="Aptos" w:eastAsia="Aptos" w:hAnsi="Aptos" w:cs="Aptos"/>
        </w:rPr>
      </w:pPr>
      <w:r w:rsidRPr="4427C4BE">
        <w:rPr>
          <w:rFonts w:ascii="Aptos" w:eastAsia="Aptos" w:hAnsi="Aptos" w:cs="Aptos"/>
        </w:rPr>
        <w:t xml:space="preserve">Katie Fahy is </w:t>
      </w:r>
      <w:r>
        <w:rPr>
          <w:rFonts w:ascii="Aptos" w:eastAsia="Aptos" w:hAnsi="Aptos" w:cs="Aptos"/>
        </w:rPr>
        <w:t xml:space="preserve">a </w:t>
      </w:r>
      <w:r w:rsidRPr="4427C4BE">
        <w:rPr>
          <w:rFonts w:ascii="Aptos" w:eastAsia="Aptos" w:hAnsi="Aptos" w:cs="Aptos"/>
        </w:rPr>
        <w:t>research associate at University of Liverpool, affiliated with the Health Inequalities Policy Research Group. Her research focuses on the equity impacts of changes in local government resource distribution, particularly in relation to population health and mental health outcomes. She employs advanced statistical and causal inference methods to explore how funding shifts affect health inequalities across communities. Katie is also involved in collaborative, interdisciplinary projects that bridge public health, policy, and social justice</w:t>
      </w:r>
      <w:r>
        <w:rPr>
          <w:rFonts w:ascii="Aptos" w:eastAsia="Aptos" w:hAnsi="Aptos" w:cs="Aptos"/>
        </w:rPr>
        <w:t xml:space="preserve"> underpinned by public involvement partnership</w:t>
      </w:r>
      <w:r w:rsidRPr="4427C4BE">
        <w:rPr>
          <w:rFonts w:ascii="Aptos" w:eastAsia="Aptos" w:hAnsi="Aptos" w:cs="Aptos"/>
        </w:rPr>
        <w:t>.</w:t>
      </w:r>
    </w:p>
    <w:p w14:paraId="5018BA16" w14:textId="77777777" w:rsidR="00EE0150" w:rsidRPr="006E0315" w:rsidRDefault="00EE0150" w:rsidP="00EE0150">
      <w:pPr>
        <w:pStyle w:val="ListParagraph"/>
        <w:numPr>
          <w:ilvl w:val="0"/>
          <w:numId w:val="2"/>
        </w:numPr>
        <w:spacing w:after="0"/>
        <w:rPr>
          <w:rFonts w:ascii="Aptos" w:eastAsia="Aptos" w:hAnsi="Aptos" w:cs="Aptos"/>
        </w:rPr>
      </w:pPr>
      <w:r w:rsidRPr="4427C4BE">
        <w:rPr>
          <w:rFonts w:ascii="Aptos" w:eastAsia="Aptos" w:hAnsi="Aptos" w:cs="Aptos"/>
        </w:rPr>
        <w:t xml:space="preserve">Debbie Humphry is research fellow at the London School of Hygiene and Tropical Medicine. Debbie has worked for a range of for academic, voluntary, and public sector organisations, with a focus on housing, neighbourhood, community action, and community planning. She is passionate about inclusionary research with a commitment to social justice. Recent projects include co-research with young people in disadvantaged places; work exploring the histories of community-led planning; evaluating a housing campaign; and investigating disability activism and austerity capitalism. </w:t>
      </w:r>
    </w:p>
    <w:p w14:paraId="5FA7B19C" w14:textId="77777777" w:rsidR="00EE0150" w:rsidRDefault="00EE0150" w:rsidP="00EE0150">
      <w:pPr>
        <w:pStyle w:val="ListParagraph"/>
        <w:numPr>
          <w:ilvl w:val="0"/>
          <w:numId w:val="2"/>
        </w:numPr>
        <w:spacing w:after="0"/>
        <w:rPr>
          <w:rFonts w:ascii="Aptos" w:eastAsia="Aptos" w:hAnsi="Aptos" w:cs="Aptos"/>
        </w:rPr>
      </w:pPr>
      <w:r w:rsidRPr="00946D23">
        <w:rPr>
          <w:rFonts w:ascii="Aptos" w:eastAsia="Aptos" w:hAnsi="Aptos" w:cs="Aptos"/>
        </w:rPr>
        <w:t xml:space="preserve">Katharina Janke is a lecturer in health economics at Lancaster University, </w:t>
      </w:r>
      <w:r>
        <w:rPr>
          <w:rFonts w:ascii="Aptos" w:eastAsia="Aptos" w:hAnsi="Aptos" w:cs="Aptos"/>
        </w:rPr>
        <w:t xml:space="preserve">teaching </w:t>
      </w:r>
      <w:r w:rsidRPr="00946D23">
        <w:rPr>
          <w:rFonts w:ascii="Aptos" w:eastAsia="Aptos" w:hAnsi="Aptos" w:cs="Aptos"/>
        </w:rPr>
        <w:t xml:space="preserve">health economics, economic evaluation and quantitative data analysis. One strand of her research sits at the intersection of economics and public health, where she has contributed to studies on the health effects of air pollution, crime, education and macroeconomic conditions as well as evaluations of public policies. Another strand of her research focuses on healthcare organisation such as the impact of NHS hospital chief executives on hospital performance. </w:t>
      </w:r>
    </w:p>
    <w:p w14:paraId="3F55A2C9" w14:textId="77777777" w:rsidR="00EE0150" w:rsidRDefault="00EE0150" w:rsidP="00EE0150">
      <w:pPr>
        <w:pStyle w:val="ListParagraph"/>
        <w:numPr>
          <w:ilvl w:val="0"/>
          <w:numId w:val="2"/>
        </w:numPr>
        <w:spacing w:after="0"/>
        <w:rPr>
          <w:rFonts w:ascii="Aptos" w:eastAsia="Aptos" w:hAnsi="Aptos" w:cs="Aptos"/>
        </w:rPr>
      </w:pPr>
      <w:r w:rsidRPr="4427C4BE">
        <w:rPr>
          <w:rFonts w:ascii="Aptos" w:eastAsia="Aptos" w:hAnsi="Aptos" w:cs="Aptos"/>
        </w:rPr>
        <w:t xml:space="preserve">Dalya Marks is </w:t>
      </w:r>
      <w:r>
        <w:rPr>
          <w:rFonts w:ascii="Aptos" w:eastAsia="Aptos" w:hAnsi="Aptos" w:cs="Aptos"/>
        </w:rPr>
        <w:t xml:space="preserve">an </w:t>
      </w:r>
      <w:r w:rsidRPr="4427C4BE">
        <w:rPr>
          <w:rFonts w:ascii="Aptos" w:eastAsia="Aptos" w:hAnsi="Aptos" w:cs="Aptos"/>
        </w:rPr>
        <w:t>associate professor in public health at London School of Hygiene and Tropical Medicine</w:t>
      </w:r>
      <w:r>
        <w:rPr>
          <w:rFonts w:ascii="Aptos" w:eastAsia="Aptos" w:hAnsi="Aptos" w:cs="Aptos"/>
        </w:rPr>
        <w:t xml:space="preserve"> and Public Health Strategist at </w:t>
      </w:r>
      <w:r w:rsidRPr="4427C4BE">
        <w:rPr>
          <w:rFonts w:ascii="Aptos" w:eastAsia="Aptos" w:hAnsi="Aptos" w:cs="Aptos"/>
        </w:rPr>
        <w:t>an inner-London local authority. Her research interests focus on the wider determinants of health, particularly around place and health.</w:t>
      </w:r>
      <w:r w:rsidRPr="4427C4BE">
        <w:rPr>
          <w:rFonts w:ascii="Arial" w:eastAsia="Arial" w:hAnsi="Arial" w:cs="Arial"/>
        </w:rPr>
        <w:t xml:space="preserve"> </w:t>
      </w:r>
      <w:r w:rsidRPr="4427C4BE">
        <w:rPr>
          <w:rFonts w:ascii="Aptos" w:eastAsia="Aptos" w:hAnsi="Aptos" w:cs="Aptos"/>
        </w:rPr>
        <w:t>Currently she is co-investigator on two National Institute for Health and Care Research (NIHR) funded projects. She is also academic lead of the Patient &amp; Public Involvement and Engagement partnership for the NIHR Applied Research Collaboration North Thames.</w:t>
      </w:r>
    </w:p>
    <w:p w14:paraId="5352CF30" w14:textId="77777777" w:rsidR="00EE0150" w:rsidRDefault="00EE0150" w:rsidP="00EE0150">
      <w:pPr>
        <w:pStyle w:val="ListParagraph"/>
        <w:numPr>
          <w:ilvl w:val="0"/>
          <w:numId w:val="2"/>
        </w:numPr>
        <w:spacing w:after="0"/>
        <w:rPr>
          <w:rFonts w:ascii="Aptos" w:eastAsia="Aptos" w:hAnsi="Aptos" w:cs="Aptos"/>
        </w:rPr>
      </w:pPr>
      <w:r w:rsidRPr="4427C4BE">
        <w:rPr>
          <w:rFonts w:ascii="Aptos" w:eastAsia="Aptos" w:hAnsi="Aptos" w:cs="Aptos"/>
        </w:rPr>
        <w:t>Rose McDonald has extensive experience as a volunteer, public involvement partner, and trustee centred on improving health, social care, housing options, and community coherence in many different contexts. Rose works with a range of organisations including local authorities, universities, charities, and community groups, especially, in London.</w:t>
      </w:r>
      <w:r>
        <w:rPr>
          <w:rFonts w:ascii="Aptos" w:eastAsia="Aptos" w:hAnsi="Aptos" w:cs="Aptos"/>
        </w:rPr>
        <w:t xml:space="preserve"> She is </w:t>
      </w:r>
      <w:r w:rsidRPr="005869E8">
        <w:rPr>
          <w:rFonts w:ascii="Aptos" w:eastAsia="Aptos" w:hAnsi="Aptos" w:cs="Aptos"/>
        </w:rPr>
        <w:t xml:space="preserve">on the steering group of the </w:t>
      </w:r>
      <w:r w:rsidRPr="4427C4BE">
        <w:rPr>
          <w:rFonts w:ascii="Aptos" w:eastAsia="Aptos" w:hAnsi="Aptos" w:cs="Aptos"/>
        </w:rPr>
        <w:t xml:space="preserve">National Institute for Health and Care Research (NIHR) </w:t>
      </w:r>
      <w:r>
        <w:rPr>
          <w:rFonts w:ascii="Aptos" w:eastAsia="Aptos" w:hAnsi="Aptos" w:cs="Aptos"/>
        </w:rPr>
        <w:t>Applied Research Collaboration (</w:t>
      </w:r>
      <w:r w:rsidRPr="005869E8">
        <w:rPr>
          <w:rFonts w:ascii="Aptos" w:eastAsia="Aptos" w:hAnsi="Aptos" w:cs="Aptos"/>
        </w:rPr>
        <w:t>ARC</w:t>
      </w:r>
      <w:r>
        <w:rPr>
          <w:rFonts w:ascii="Aptos" w:eastAsia="Aptos" w:hAnsi="Aptos" w:cs="Aptos"/>
        </w:rPr>
        <w:t>)</w:t>
      </w:r>
      <w:r w:rsidRPr="005869E8">
        <w:rPr>
          <w:rFonts w:ascii="Aptos" w:eastAsia="Aptos" w:hAnsi="Aptos" w:cs="Aptos"/>
        </w:rPr>
        <w:t xml:space="preserve"> North Thames</w:t>
      </w:r>
      <w:r>
        <w:rPr>
          <w:rFonts w:ascii="Aptos" w:eastAsia="Aptos" w:hAnsi="Aptos" w:cs="Aptos"/>
        </w:rPr>
        <w:t xml:space="preserve">. Rose is also an </w:t>
      </w:r>
      <w:r w:rsidRPr="001B1A78">
        <w:rPr>
          <w:rFonts w:ascii="Aptos" w:eastAsia="Aptos" w:hAnsi="Aptos" w:cs="Aptos"/>
        </w:rPr>
        <w:t>active member of Islington Council Co-Design Group.</w:t>
      </w:r>
    </w:p>
    <w:p w14:paraId="2AE339EF" w14:textId="77777777" w:rsidR="00EE0150" w:rsidRDefault="00EE0150" w:rsidP="00EE0150">
      <w:pPr>
        <w:pStyle w:val="ListParagraph"/>
        <w:numPr>
          <w:ilvl w:val="0"/>
          <w:numId w:val="2"/>
        </w:numPr>
        <w:spacing w:after="0"/>
        <w:rPr>
          <w:rFonts w:ascii="Aptos" w:eastAsia="Aptos" w:hAnsi="Aptos" w:cs="Aptos"/>
        </w:rPr>
      </w:pPr>
      <w:r w:rsidRPr="002F1D8A">
        <w:rPr>
          <w:rFonts w:ascii="Aptos" w:eastAsia="Aptos" w:hAnsi="Aptos" w:cs="Aptos"/>
        </w:rPr>
        <w:t xml:space="preserve">Maureen Seguin is Assistant Professor at Department for Public Health, Environment and Society, London School of Hygiene and Tropical Medicine. Her research focuses on the social, political, and historical determinants of mental health amongst forcibly displaced populations. Previously, she has led projects exploring the impact of housing access barriers on mental health amongst forcibly displaced Ukrainian women settled in England. She has received funding from the School for Public Health Research within the National Institute for Health and Care Research. </w:t>
      </w:r>
    </w:p>
    <w:p w14:paraId="6A3242F7" w14:textId="77777777" w:rsidR="00EE0150" w:rsidRDefault="00EE0150" w:rsidP="00EE0150">
      <w:pPr>
        <w:pStyle w:val="ListParagraph"/>
        <w:numPr>
          <w:ilvl w:val="0"/>
          <w:numId w:val="2"/>
        </w:numPr>
        <w:spacing w:after="0"/>
        <w:rPr>
          <w:rFonts w:ascii="Aptos" w:eastAsia="Aptos" w:hAnsi="Aptos" w:cs="Aptos"/>
        </w:rPr>
      </w:pPr>
      <w:r w:rsidRPr="4427C4BE">
        <w:rPr>
          <w:rFonts w:ascii="Aptos" w:eastAsia="Aptos" w:hAnsi="Aptos" w:cs="Aptos"/>
        </w:rPr>
        <w:t>Jill Stewart is associate professor in public health at the University of Greenwich. Jill worked in a local government housing team before her first academic post in 1999. Her research and teaching focus on housing, health, and the environmental health housing workforce. Jill is Fellow of the CIEH</w:t>
      </w:r>
      <w:r>
        <w:rPr>
          <w:rFonts w:ascii="Aptos" w:eastAsia="Aptos" w:hAnsi="Aptos" w:cs="Aptos"/>
        </w:rPr>
        <w:t xml:space="preserve">, </w:t>
      </w:r>
      <w:r w:rsidRPr="4427C4BE">
        <w:rPr>
          <w:rFonts w:ascii="Aptos" w:eastAsia="Aptos" w:hAnsi="Aptos" w:cs="Aptos"/>
        </w:rPr>
        <w:t>Chartered EHP, Member of the Chartered Institute of Housing, Fellow of the Royal Social of Public Health and Associate of the Faculty of Public Health. She is co-chair of the London Public Health Housing Network</w:t>
      </w:r>
      <w:r>
        <w:rPr>
          <w:rFonts w:ascii="Aptos" w:eastAsia="Aptos" w:hAnsi="Aptos" w:cs="Aptos"/>
        </w:rPr>
        <w:t>.</w:t>
      </w:r>
    </w:p>
    <w:p w14:paraId="253FDFF7" w14:textId="77777777" w:rsidR="00EE0150" w:rsidRDefault="00EE0150" w:rsidP="00EE0150">
      <w:pPr>
        <w:pStyle w:val="ListParagraph"/>
        <w:numPr>
          <w:ilvl w:val="0"/>
          <w:numId w:val="2"/>
        </w:numPr>
        <w:spacing w:after="0"/>
        <w:rPr>
          <w:rFonts w:ascii="Aptos" w:eastAsia="Aptos" w:hAnsi="Aptos" w:cs="Aptos"/>
        </w:rPr>
      </w:pPr>
      <w:r w:rsidRPr="4427C4BE">
        <w:rPr>
          <w:rFonts w:ascii="Aptos" w:eastAsia="Aptos" w:hAnsi="Aptos" w:cs="Aptos"/>
        </w:rPr>
        <w:t>Roz Spencer is head of service at Safe Renting, which she co-founded in 2015. Safer Renting provides specialist advice, support, and advocacy to help protect tenants who are victimised by criminal landlords. It is the only organisation of its kind in the UK. Her career spans over 35 years and has been largely dedicated to social housing. Her extensive experience includes senior management roles in housing associations, a local authority, and an arms-length management organisation (ALMO).</w:t>
      </w:r>
    </w:p>
    <w:p w14:paraId="1E7FBF3B" w14:textId="77777777" w:rsidR="00EE0150" w:rsidRDefault="00EE0150" w:rsidP="00EE0150">
      <w:pPr>
        <w:pStyle w:val="ListParagraph"/>
        <w:numPr>
          <w:ilvl w:val="0"/>
          <w:numId w:val="2"/>
        </w:numPr>
        <w:spacing w:after="0"/>
        <w:rPr>
          <w:rFonts w:ascii="Aptos" w:eastAsia="Aptos" w:hAnsi="Aptos" w:cs="Aptos"/>
        </w:rPr>
      </w:pPr>
      <w:r w:rsidRPr="4427C4BE">
        <w:rPr>
          <w:rFonts w:ascii="Aptos" w:eastAsia="Aptos" w:hAnsi="Aptos" w:cs="Aptos"/>
        </w:rPr>
        <w:t>Frank de Vocht is professor in epidemiology and public health at University of Bristol</w:t>
      </w:r>
      <w:r>
        <w:rPr>
          <w:rFonts w:ascii="Aptos" w:eastAsia="Aptos" w:hAnsi="Aptos" w:cs="Aptos"/>
        </w:rPr>
        <w:t xml:space="preserve"> with expertise </w:t>
      </w:r>
      <w:r w:rsidRPr="4427C4BE">
        <w:rPr>
          <w:rFonts w:ascii="Aptos" w:eastAsia="Aptos" w:hAnsi="Aptos" w:cs="Aptos"/>
        </w:rPr>
        <w:t>in environmental epidemiology, evaluation of complex interventions, statistics, and natural experiments. Frank co-leads the Applied Data Science Team at National Institute for Health and Care Research (NIHR) Applied Research Collaboration (ARC) West and is co-lead of the NIHR School for Public Health Research (SPHR) Healthy Places Healthy Planet Programme. He also convenes the NIHR SPHR Network for the use of Natural Experiments in Public Health.</w:t>
      </w:r>
    </w:p>
    <w:p w14:paraId="25D7EC43" w14:textId="77777777" w:rsidR="00EE0150" w:rsidRDefault="00EE0150" w:rsidP="00EE0150">
      <w:pPr>
        <w:pStyle w:val="ListParagraph"/>
        <w:numPr>
          <w:ilvl w:val="0"/>
          <w:numId w:val="2"/>
        </w:numPr>
        <w:spacing w:after="0"/>
        <w:rPr>
          <w:rFonts w:ascii="Aptos" w:eastAsia="Aptos" w:hAnsi="Aptos" w:cs="Aptos"/>
        </w:rPr>
      </w:pPr>
      <w:r w:rsidRPr="4427C4BE">
        <w:rPr>
          <w:rFonts w:ascii="Aptos" w:eastAsia="Aptos" w:hAnsi="Aptos" w:cs="Aptos"/>
        </w:rPr>
        <w:t xml:space="preserve">Matt Egan </w:t>
      </w:r>
      <w:r>
        <w:rPr>
          <w:rFonts w:ascii="Aptos" w:eastAsia="Aptos" w:hAnsi="Aptos" w:cs="Aptos"/>
        </w:rPr>
        <w:t xml:space="preserve">is </w:t>
      </w:r>
      <w:r w:rsidRPr="4427C4BE">
        <w:rPr>
          <w:rFonts w:ascii="Aptos" w:eastAsia="Aptos" w:hAnsi="Aptos" w:cs="Aptos"/>
        </w:rPr>
        <w:t>professor of public health at London School of Hygiene and Tropical Medicine. His research focuses on generating evidence to inform policy and practice. Methodological interests include evaluations of natural experiments; research synthesis and developing approaches for understanding public health systems. Topic interests include housing, urban regeneration, community empowerment, food and alcohol availability, and local government. Matt currently co-leads the National Institute for Health and Care Research (NIHR) School for Public Health Research (SPHR) Healthy Places Healthy Planet Programme.</w:t>
      </w:r>
    </w:p>
    <w:p w14:paraId="678F9829" w14:textId="77777777" w:rsidR="00EE0150" w:rsidRDefault="00EE0150" w:rsidP="00EE0150"/>
    <w:p w14:paraId="56FA340C" w14:textId="77777777" w:rsidR="006E21AC" w:rsidRDefault="006E21AC">
      <w:pPr>
        <w:rPr>
          <w:rFonts w:cstheme="minorHAnsi"/>
          <w:b/>
          <w:bCs/>
        </w:rPr>
      </w:pPr>
      <w:r>
        <w:rPr>
          <w:rFonts w:cstheme="minorHAnsi"/>
          <w:b/>
          <w:bCs/>
        </w:rPr>
        <w:br w:type="page"/>
      </w:r>
    </w:p>
    <w:p w14:paraId="205B253F" w14:textId="0F7A040E" w:rsidR="00EE0150" w:rsidRPr="005A6C1A" w:rsidRDefault="00EE0150" w:rsidP="00EE0150">
      <w:pPr>
        <w:rPr>
          <w:rFonts w:cstheme="minorHAnsi"/>
          <w:b/>
          <w:bCs/>
        </w:rPr>
      </w:pPr>
      <w:r w:rsidRPr="005A6C1A">
        <w:rPr>
          <w:rFonts w:cstheme="minorHAnsi"/>
          <w:b/>
          <w:bCs/>
        </w:rPr>
        <w:t>SUPPLEMENTARY MATERIALS</w:t>
      </w:r>
    </w:p>
    <w:p w14:paraId="63B09E47" w14:textId="77777777" w:rsidR="00EE0150" w:rsidRDefault="00EE0150" w:rsidP="00EE0150">
      <w:pPr>
        <w:pStyle w:val="Caption"/>
        <w:rPr>
          <w:rFonts w:cstheme="minorHAnsi"/>
        </w:rPr>
      </w:pPr>
    </w:p>
    <w:p w14:paraId="09B4F312" w14:textId="77777777" w:rsidR="00EE0150" w:rsidRPr="006D01DC" w:rsidRDefault="00EE0150" w:rsidP="00EE0150">
      <w:pPr>
        <w:pStyle w:val="Caption"/>
        <w:rPr>
          <w:rFonts w:cstheme="minorHAnsi"/>
        </w:rPr>
      </w:pPr>
      <w:r w:rsidRPr="006D01DC">
        <w:rPr>
          <w:rFonts w:cstheme="minorHAnsi"/>
        </w:rPr>
        <w:t>Table S</w:t>
      </w:r>
      <w:proofErr w:type="gramStart"/>
      <w:r>
        <w:rPr>
          <w:rFonts w:cstheme="minorHAnsi"/>
        </w:rPr>
        <w:t>1</w:t>
      </w:r>
      <w:r w:rsidRPr="006D01DC">
        <w:rPr>
          <w:rFonts w:cstheme="minorHAnsi"/>
        </w:rPr>
        <w:t xml:space="preserve">  </w:t>
      </w:r>
      <w:r>
        <w:rPr>
          <w:rFonts w:cstheme="minorHAnsi"/>
        </w:rPr>
        <w:t>Local</w:t>
      </w:r>
      <w:proofErr w:type="gramEnd"/>
      <w:r>
        <w:rPr>
          <w:rFonts w:cstheme="minorHAnsi"/>
        </w:rPr>
        <w:t xml:space="preserve"> authority-level exposure variables.</w:t>
      </w:r>
    </w:p>
    <w:tbl>
      <w:tblPr>
        <w:tblW w:w="9468" w:type="dxa"/>
        <w:tblLook w:val="04A0" w:firstRow="1" w:lastRow="0" w:firstColumn="1" w:lastColumn="0" w:noHBand="0" w:noVBand="1"/>
      </w:tblPr>
      <w:tblGrid>
        <w:gridCol w:w="1451"/>
        <w:gridCol w:w="3548"/>
        <w:gridCol w:w="690"/>
        <w:gridCol w:w="2935"/>
        <w:gridCol w:w="1010"/>
      </w:tblGrid>
      <w:tr w:rsidR="00EE0150" w:rsidRPr="006A493D" w14:paraId="0099D317" w14:textId="77777777" w:rsidTr="005271E0">
        <w:trPr>
          <w:trHeight w:val="300"/>
        </w:trPr>
        <w:tc>
          <w:tcPr>
            <w:tcW w:w="1451" w:type="dxa"/>
            <w:tcBorders>
              <w:top w:val="single" w:sz="4" w:space="0" w:color="auto"/>
              <w:left w:val="nil"/>
              <w:bottom w:val="single" w:sz="4" w:space="0" w:color="auto"/>
              <w:right w:val="nil"/>
            </w:tcBorders>
            <w:noWrap/>
            <w:hideMark/>
          </w:tcPr>
          <w:p w14:paraId="7DDDB4E1" w14:textId="77777777" w:rsidR="00EE0150" w:rsidRPr="006A493D" w:rsidRDefault="00EE0150" w:rsidP="005271E0">
            <w:pPr>
              <w:spacing w:after="0" w:line="240" w:lineRule="auto"/>
              <w:rPr>
                <w:rFonts w:eastAsiaTheme="minorEastAsia" w:cstheme="minorHAnsi"/>
                <w:b/>
                <w:bCs/>
                <w:sz w:val="16"/>
                <w:szCs w:val="16"/>
              </w:rPr>
            </w:pPr>
            <w:r w:rsidRPr="006A493D">
              <w:rPr>
                <w:rFonts w:eastAsiaTheme="minorEastAsia" w:cstheme="minorHAnsi"/>
                <w:b/>
                <w:bCs/>
                <w:sz w:val="16"/>
                <w:szCs w:val="16"/>
              </w:rPr>
              <w:t>Domain</w:t>
            </w:r>
          </w:p>
        </w:tc>
        <w:tc>
          <w:tcPr>
            <w:tcW w:w="3548" w:type="dxa"/>
            <w:tcBorders>
              <w:top w:val="single" w:sz="4" w:space="0" w:color="auto"/>
              <w:left w:val="nil"/>
              <w:bottom w:val="single" w:sz="4" w:space="0" w:color="auto"/>
              <w:right w:val="nil"/>
            </w:tcBorders>
            <w:noWrap/>
            <w:hideMark/>
          </w:tcPr>
          <w:p w14:paraId="3D71168C" w14:textId="77777777" w:rsidR="00EE0150" w:rsidRPr="006A493D" w:rsidRDefault="00EE0150" w:rsidP="005271E0">
            <w:pPr>
              <w:spacing w:after="0" w:line="240" w:lineRule="auto"/>
              <w:rPr>
                <w:rFonts w:eastAsiaTheme="minorEastAsia" w:cstheme="minorHAnsi"/>
                <w:b/>
                <w:bCs/>
                <w:sz w:val="16"/>
                <w:szCs w:val="16"/>
              </w:rPr>
            </w:pPr>
            <w:r w:rsidRPr="006A493D">
              <w:rPr>
                <w:rFonts w:eastAsiaTheme="minorEastAsia" w:cstheme="minorHAnsi"/>
                <w:b/>
                <w:bCs/>
                <w:sz w:val="16"/>
                <w:szCs w:val="16"/>
              </w:rPr>
              <w:t>Variable</w:t>
            </w:r>
          </w:p>
        </w:tc>
        <w:tc>
          <w:tcPr>
            <w:tcW w:w="524" w:type="dxa"/>
            <w:tcBorders>
              <w:top w:val="single" w:sz="4" w:space="0" w:color="auto"/>
              <w:left w:val="nil"/>
              <w:bottom w:val="single" w:sz="4" w:space="0" w:color="auto"/>
              <w:right w:val="nil"/>
            </w:tcBorders>
            <w:noWrap/>
            <w:hideMark/>
          </w:tcPr>
          <w:p w14:paraId="367AC79C" w14:textId="77777777" w:rsidR="00EE0150" w:rsidRPr="006A493D" w:rsidRDefault="00EE0150" w:rsidP="005271E0">
            <w:pPr>
              <w:spacing w:after="0" w:line="240" w:lineRule="auto"/>
              <w:rPr>
                <w:rFonts w:eastAsiaTheme="minorEastAsia" w:cstheme="minorHAnsi"/>
                <w:b/>
                <w:bCs/>
                <w:sz w:val="16"/>
                <w:szCs w:val="16"/>
              </w:rPr>
            </w:pPr>
            <w:r w:rsidRPr="006A493D">
              <w:rPr>
                <w:rFonts w:eastAsiaTheme="minorEastAsia" w:cstheme="minorHAnsi"/>
                <w:b/>
                <w:bCs/>
                <w:sz w:val="16"/>
                <w:szCs w:val="16"/>
              </w:rPr>
              <w:t>Unit</w:t>
            </w:r>
          </w:p>
        </w:tc>
        <w:tc>
          <w:tcPr>
            <w:tcW w:w="2935" w:type="dxa"/>
            <w:tcBorders>
              <w:top w:val="single" w:sz="4" w:space="0" w:color="auto"/>
              <w:left w:val="nil"/>
              <w:bottom w:val="single" w:sz="4" w:space="0" w:color="auto"/>
              <w:right w:val="nil"/>
            </w:tcBorders>
            <w:noWrap/>
            <w:hideMark/>
          </w:tcPr>
          <w:p w14:paraId="1F4881D7" w14:textId="77777777" w:rsidR="00EE0150" w:rsidRPr="006A493D" w:rsidRDefault="00EE0150" w:rsidP="005271E0">
            <w:pPr>
              <w:spacing w:after="0" w:line="240" w:lineRule="auto"/>
              <w:rPr>
                <w:rFonts w:eastAsiaTheme="minorEastAsia" w:cstheme="minorHAnsi"/>
                <w:b/>
                <w:bCs/>
                <w:sz w:val="16"/>
                <w:szCs w:val="16"/>
              </w:rPr>
            </w:pPr>
            <w:r w:rsidRPr="006A493D">
              <w:rPr>
                <w:rFonts w:eastAsiaTheme="minorEastAsia" w:cstheme="minorHAnsi"/>
                <w:b/>
                <w:bCs/>
                <w:sz w:val="16"/>
                <w:szCs w:val="16"/>
              </w:rPr>
              <w:t>Denominator</w:t>
            </w:r>
          </w:p>
        </w:tc>
        <w:tc>
          <w:tcPr>
            <w:tcW w:w="1010" w:type="dxa"/>
            <w:tcBorders>
              <w:top w:val="single" w:sz="4" w:space="0" w:color="auto"/>
              <w:left w:val="nil"/>
              <w:bottom w:val="single" w:sz="4" w:space="0" w:color="auto"/>
              <w:right w:val="nil"/>
            </w:tcBorders>
            <w:noWrap/>
            <w:hideMark/>
          </w:tcPr>
          <w:p w14:paraId="3BA9EA99" w14:textId="77777777" w:rsidR="00EE0150" w:rsidRPr="006A493D" w:rsidRDefault="00EE0150" w:rsidP="005271E0">
            <w:pPr>
              <w:spacing w:after="0" w:line="240" w:lineRule="auto"/>
              <w:rPr>
                <w:rFonts w:eastAsiaTheme="minorEastAsia" w:cstheme="minorHAnsi"/>
                <w:b/>
                <w:bCs/>
                <w:sz w:val="16"/>
                <w:szCs w:val="16"/>
              </w:rPr>
            </w:pPr>
            <w:r>
              <w:rPr>
                <w:rFonts w:eastAsiaTheme="minorEastAsia" w:cstheme="minorHAnsi"/>
                <w:b/>
                <w:bCs/>
                <w:sz w:val="16"/>
                <w:szCs w:val="16"/>
              </w:rPr>
              <w:t>S</w:t>
            </w:r>
            <w:r w:rsidRPr="006A493D">
              <w:rPr>
                <w:rFonts w:eastAsiaTheme="minorEastAsia" w:cstheme="minorHAnsi"/>
                <w:b/>
                <w:bCs/>
                <w:sz w:val="16"/>
                <w:szCs w:val="16"/>
              </w:rPr>
              <w:t>ource</w:t>
            </w:r>
          </w:p>
        </w:tc>
      </w:tr>
      <w:tr w:rsidR="00EE0150" w:rsidRPr="006A493D" w14:paraId="5A7593C9" w14:textId="77777777" w:rsidTr="005271E0">
        <w:trPr>
          <w:trHeight w:val="300"/>
        </w:trPr>
        <w:tc>
          <w:tcPr>
            <w:tcW w:w="1451" w:type="dxa"/>
            <w:tcBorders>
              <w:top w:val="nil"/>
              <w:left w:val="nil"/>
              <w:bottom w:val="nil"/>
              <w:right w:val="nil"/>
            </w:tcBorders>
            <w:noWrap/>
            <w:hideMark/>
          </w:tcPr>
          <w:p w14:paraId="2843D53A"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Age</w:t>
            </w:r>
          </w:p>
        </w:tc>
        <w:tc>
          <w:tcPr>
            <w:tcW w:w="3548" w:type="dxa"/>
            <w:tcBorders>
              <w:top w:val="nil"/>
              <w:left w:val="nil"/>
              <w:bottom w:val="nil"/>
              <w:right w:val="nil"/>
            </w:tcBorders>
            <w:noWrap/>
            <w:hideMark/>
          </w:tcPr>
          <w:p w14:paraId="4D57CA91"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Aged 0-15 year</w:t>
            </w:r>
          </w:p>
        </w:tc>
        <w:tc>
          <w:tcPr>
            <w:tcW w:w="524" w:type="dxa"/>
            <w:tcBorders>
              <w:top w:val="nil"/>
              <w:left w:val="nil"/>
              <w:bottom w:val="nil"/>
              <w:right w:val="nil"/>
            </w:tcBorders>
            <w:noWrap/>
            <w:hideMark/>
          </w:tcPr>
          <w:p w14:paraId="3C03005E"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w:t>
            </w:r>
          </w:p>
        </w:tc>
        <w:tc>
          <w:tcPr>
            <w:tcW w:w="2935" w:type="dxa"/>
            <w:tcBorders>
              <w:top w:val="nil"/>
              <w:left w:val="nil"/>
              <w:bottom w:val="nil"/>
              <w:right w:val="nil"/>
            </w:tcBorders>
            <w:noWrap/>
            <w:hideMark/>
          </w:tcPr>
          <w:p w14:paraId="5A31F6A8"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Usual</w:t>
            </w:r>
            <w:r w:rsidRPr="006A493D">
              <w:rPr>
                <w:rFonts w:eastAsiaTheme="minorEastAsia" w:cstheme="minorHAnsi"/>
                <w:sz w:val="16"/>
                <w:szCs w:val="16"/>
              </w:rPr>
              <w:t xml:space="preserve"> residents</w:t>
            </w:r>
          </w:p>
        </w:tc>
        <w:tc>
          <w:tcPr>
            <w:tcW w:w="1010" w:type="dxa"/>
            <w:tcBorders>
              <w:top w:val="nil"/>
              <w:left w:val="nil"/>
              <w:bottom w:val="nil"/>
              <w:right w:val="nil"/>
            </w:tcBorders>
            <w:noWrap/>
            <w:hideMark/>
          </w:tcPr>
          <w:p w14:paraId="49D06312"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Census 2011</w:t>
            </w:r>
          </w:p>
        </w:tc>
      </w:tr>
      <w:tr w:rsidR="00EE0150" w:rsidRPr="006A493D" w14:paraId="54310E8B" w14:textId="77777777" w:rsidTr="005271E0">
        <w:trPr>
          <w:trHeight w:val="300"/>
        </w:trPr>
        <w:tc>
          <w:tcPr>
            <w:tcW w:w="1451" w:type="dxa"/>
            <w:tcBorders>
              <w:top w:val="nil"/>
              <w:left w:val="nil"/>
              <w:bottom w:val="single" w:sz="4" w:space="0" w:color="auto"/>
              <w:right w:val="nil"/>
            </w:tcBorders>
            <w:noWrap/>
            <w:hideMark/>
          </w:tcPr>
          <w:p w14:paraId="6BB37596"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3548" w:type="dxa"/>
            <w:tcBorders>
              <w:top w:val="nil"/>
              <w:left w:val="nil"/>
              <w:bottom w:val="single" w:sz="4" w:space="0" w:color="auto"/>
              <w:right w:val="nil"/>
            </w:tcBorders>
            <w:noWrap/>
            <w:hideMark/>
          </w:tcPr>
          <w:p w14:paraId="5EB2E716"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Aged 65+ year</w:t>
            </w:r>
          </w:p>
        </w:tc>
        <w:tc>
          <w:tcPr>
            <w:tcW w:w="524" w:type="dxa"/>
            <w:tcBorders>
              <w:top w:val="nil"/>
              <w:left w:val="nil"/>
              <w:bottom w:val="single" w:sz="4" w:space="0" w:color="auto"/>
              <w:right w:val="nil"/>
            </w:tcBorders>
            <w:noWrap/>
            <w:hideMark/>
          </w:tcPr>
          <w:p w14:paraId="105830E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2935" w:type="dxa"/>
            <w:tcBorders>
              <w:top w:val="nil"/>
              <w:left w:val="nil"/>
              <w:bottom w:val="single" w:sz="4" w:space="0" w:color="auto"/>
              <w:right w:val="nil"/>
            </w:tcBorders>
            <w:noWrap/>
            <w:hideMark/>
          </w:tcPr>
          <w:p w14:paraId="2258D5B4"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1010" w:type="dxa"/>
            <w:tcBorders>
              <w:top w:val="nil"/>
              <w:left w:val="nil"/>
              <w:bottom w:val="single" w:sz="4" w:space="0" w:color="auto"/>
              <w:right w:val="nil"/>
            </w:tcBorders>
            <w:noWrap/>
            <w:hideMark/>
          </w:tcPr>
          <w:p w14:paraId="450B0E51"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r>
      <w:tr w:rsidR="00EE0150" w:rsidRPr="006A493D" w14:paraId="33168090" w14:textId="77777777" w:rsidTr="005271E0">
        <w:trPr>
          <w:trHeight w:val="300"/>
        </w:trPr>
        <w:tc>
          <w:tcPr>
            <w:tcW w:w="1451" w:type="dxa"/>
            <w:tcBorders>
              <w:top w:val="nil"/>
              <w:left w:val="nil"/>
              <w:bottom w:val="nil"/>
              <w:right w:val="nil"/>
            </w:tcBorders>
            <w:noWrap/>
            <w:hideMark/>
          </w:tcPr>
          <w:p w14:paraId="7907D185"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Ethnicity</w:t>
            </w:r>
          </w:p>
        </w:tc>
        <w:tc>
          <w:tcPr>
            <w:tcW w:w="3548" w:type="dxa"/>
            <w:tcBorders>
              <w:top w:val="nil"/>
              <w:left w:val="nil"/>
              <w:bottom w:val="nil"/>
              <w:right w:val="nil"/>
            </w:tcBorders>
            <w:noWrap/>
            <w:hideMark/>
          </w:tcPr>
          <w:p w14:paraId="3BFDD22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Asian</w:t>
            </w:r>
          </w:p>
        </w:tc>
        <w:tc>
          <w:tcPr>
            <w:tcW w:w="524" w:type="dxa"/>
            <w:tcBorders>
              <w:top w:val="nil"/>
              <w:left w:val="nil"/>
              <w:bottom w:val="nil"/>
              <w:right w:val="nil"/>
            </w:tcBorders>
            <w:noWrap/>
            <w:hideMark/>
          </w:tcPr>
          <w:p w14:paraId="1373FF4F"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w:t>
            </w:r>
          </w:p>
        </w:tc>
        <w:tc>
          <w:tcPr>
            <w:tcW w:w="2935" w:type="dxa"/>
            <w:tcBorders>
              <w:top w:val="nil"/>
              <w:left w:val="nil"/>
              <w:bottom w:val="nil"/>
              <w:right w:val="nil"/>
            </w:tcBorders>
            <w:noWrap/>
            <w:hideMark/>
          </w:tcPr>
          <w:p w14:paraId="641624B5"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Usual</w:t>
            </w:r>
            <w:r w:rsidRPr="006A493D">
              <w:rPr>
                <w:rFonts w:eastAsiaTheme="minorEastAsia" w:cstheme="minorHAnsi"/>
                <w:sz w:val="16"/>
                <w:szCs w:val="16"/>
              </w:rPr>
              <w:t xml:space="preserve"> residents</w:t>
            </w:r>
          </w:p>
        </w:tc>
        <w:tc>
          <w:tcPr>
            <w:tcW w:w="1010" w:type="dxa"/>
            <w:tcBorders>
              <w:top w:val="nil"/>
              <w:left w:val="nil"/>
              <w:bottom w:val="nil"/>
              <w:right w:val="nil"/>
            </w:tcBorders>
            <w:noWrap/>
            <w:hideMark/>
          </w:tcPr>
          <w:p w14:paraId="408B17A2"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Census 2011</w:t>
            </w:r>
          </w:p>
        </w:tc>
      </w:tr>
      <w:tr w:rsidR="00EE0150" w:rsidRPr="006A493D" w14:paraId="64D6DFC9" w14:textId="77777777" w:rsidTr="005271E0">
        <w:trPr>
          <w:trHeight w:val="300"/>
        </w:trPr>
        <w:tc>
          <w:tcPr>
            <w:tcW w:w="1451" w:type="dxa"/>
            <w:tcBorders>
              <w:top w:val="nil"/>
              <w:left w:val="nil"/>
              <w:right w:val="nil"/>
            </w:tcBorders>
            <w:noWrap/>
            <w:hideMark/>
          </w:tcPr>
          <w:p w14:paraId="014EDE92"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3548" w:type="dxa"/>
            <w:tcBorders>
              <w:top w:val="nil"/>
              <w:left w:val="nil"/>
              <w:right w:val="nil"/>
            </w:tcBorders>
            <w:noWrap/>
          </w:tcPr>
          <w:p w14:paraId="49BD3ABD"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Black</w:t>
            </w:r>
          </w:p>
        </w:tc>
        <w:tc>
          <w:tcPr>
            <w:tcW w:w="524" w:type="dxa"/>
            <w:tcBorders>
              <w:top w:val="nil"/>
              <w:left w:val="nil"/>
              <w:right w:val="nil"/>
            </w:tcBorders>
            <w:noWrap/>
            <w:hideMark/>
          </w:tcPr>
          <w:p w14:paraId="7B834B3C"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2935" w:type="dxa"/>
            <w:tcBorders>
              <w:top w:val="nil"/>
              <w:left w:val="nil"/>
              <w:right w:val="nil"/>
            </w:tcBorders>
            <w:noWrap/>
            <w:hideMark/>
          </w:tcPr>
          <w:p w14:paraId="76EA3BA6"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1010" w:type="dxa"/>
            <w:tcBorders>
              <w:top w:val="nil"/>
              <w:left w:val="nil"/>
              <w:right w:val="nil"/>
            </w:tcBorders>
            <w:noWrap/>
            <w:hideMark/>
          </w:tcPr>
          <w:p w14:paraId="12FF3D14"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r>
      <w:tr w:rsidR="00EE0150" w:rsidRPr="006A493D" w14:paraId="1F6F6625" w14:textId="77777777" w:rsidTr="005271E0">
        <w:trPr>
          <w:trHeight w:val="300"/>
        </w:trPr>
        <w:tc>
          <w:tcPr>
            <w:tcW w:w="1451" w:type="dxa"/>
            <w:tcBorders>
              <w:top w:val="single" w:sz="4" w:space="0" w:color="auto"/>
              <w:left w:val="nil"/>
              <w:bottom w:val="single" w:sz="4" w:space="0" w:color="auto"/>
              <w:right w:val="nil"/>
            </w:tcBorders>
            <w:noWrap/>
            <w:hideMark/>
          </w:tcPr>
          <w:p w14:paraId="225412B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COB</w:t>
            </w:r>
          </w:p>
        </w:tc>
        <w:tc>
          <w:tcPr>
            <w:tcW w:w="3548" w:type="dxa"/>
            <w:tcBorders>
              <w:top w:val="single" w:sz="4" w:space="0" w:color="auto"/>
              <w:left w:val="nil"/>
              <w:bottom w:val="single" w:sz="4" w:space="0" w:color="auto"/>
              <w:right w:val="nil"/>
            </w:tcBorders>
            <w:noWrap/>
            <w:hideMark/>
          </w:tcPr>
          <w:p w14:paraId="0E5EB12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Born abroad</w:t>
            </w:r>
          </w:p>
        </w:tc>
        <w:tc>
          <w:tcPr>
            <w:tcW w:w="524" w:type="dxa"/>
            <w:tcBorders>
              <w:top w:val="single" w:sz="4" w:space="0" w:color="auto"/>
              <w:left w:val="nil"/>
              <w:bottom w:val="single" w:sz="4" w:space="0" w:color="auto"/>
              <w:right w:val="nil"/>
            </w:tcBorders>
            <w:noWrap/>
            <w:hideMark/>
          </w:tcPr>
          <w:p w14:paraId="61BEE142"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r>
              <w:rPr>
                <w:rFonts w:eastAsiaTheme="minorEastAsia" w:cstheme="minorHAnsi"/>
                <w:sz w:val="16"/>
                <w:szCs w:val="16"/>
              </w:rPr>
              <w:t>%</w:t>
            </w:r>
          </w:p>
        </w:tc>
        <w:tc>
          <w:tcPr>
            <w:tcW w:w="2935" w:type="dxa"/>
            <w:tcBorders>
              <w:top w:val="single" w:sz="4" w:space="0" w:color="auto"/>
              <w:left w:val="nil"/>
              <w:bottom w:val="single" w:sz="4" w:space="0" w:color="auto"/>
              <w:right w:val="nil"/>
            </w:tcBorders>
            <w:noWrap/>
            <w:hideMark/>
          </w:tcPr>
          <w:p w14:paraId="72D494BD"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r>
              <w:rPr>
                <w:rFonts w:eastAsiaTheme="minorEastAsia" w:cstheme="minorHAnsi"/>
                <w:sz w:val="16"/>
                <w:szCs w:val="16"/>
              </w:rPr>
              <w:t>Usual</w:t>
            </w:r>
            <w:r w:rsidRPr="006A493D">
              <w:rPr>
                <w:rFonts w:eastAsiaTheme="minorEastAsia" w:cstheme="minorHAnsi"/>
                <w:sz w:val="16"/>
                <w:szCs w:val="16"/>
              </w:rPr>
              <w:t xml:space="preserve"> residents</w:t>
            </w:r>
          </w:p>
        </w:tc>
        <w:tc>
          <w:tcPr>
            <w:tcW w:w="1010" w:type="dxa"/>
            <w:tcBorders>
              <w:top w:val="single" w:sz="4" w:space="0" w:color="auto"/>
              <w:left w:val="nil"/>
              <w:bottom w:val="single" w:sz="4" w:space="0" w:color="auto"/>
              <w:right w:val="nil"/>
            </w:tcBorders>
            <w:noWrap/>
            <w:hideMark/>
          </w:tcPr>
          <w:p w14:paraId="605B08D9"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Census 2011</w:t>
            </w:r>
          </w:p>
        </w:tc>
      </w:tr>
      <w:tr w:rsidR="00EE0150" w:rsidRPr="006A493D" w14:paraId="5C83EFEA" w14:textId="77777777" w:rsidTr="005271E0">
        <w:trPr>
          <w:trHeight w:val="300"/>
        </w:trPr>
        <w:tc>
          <w:tcPr>
            <w:tcW w:w="1451" w:type="dxa"/>
            <w:tcBorders>
              <w:top w:val="nil"/>
              <w:left w:val="nil"/>
              <w:bottom w:val="nil"/>
              <w:right w:val="nil"/>
            </w:tcBorders>
            <w:noWrap/>
            <w:hideMark/>
          </w:tcPr>
          <w:p w14:paraId="0FAE4FD8"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Occupational class</w:t>
            </w:r>
          </w:p>
        </w:tc>
        <w:tc>
          <w:tcPr>
            <w:tcW w:w="3548" w:type="dxa"/>
            <w:tcBorders>
              <w:top w:val="nil"/>
              <w:left w:val="nil"/>
              <w:bottom w:val="nil"/>
              <w:right w:val="nil"/>
            </w:tcBorders>
            <w:noWrap/>
            <w:hideMark/>
          </w:tcPr>
          <w:p w14:paraId="2D39C000"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Higher managerial, administrative/professional</w:t>
            </w:r>
          </w:p>
        </w:tc>
        <w:tc>
          <w:tcPr>
            <w:tcW w:w="524" w:type="dxa"/>
            <w:tcBorders>
              <w:top w:val="nil"/>
              <w:left w:val="nil"/>
              <w:bottom w:val="nil"/>
              <w:right w:val="nil"/>
            </w:tcBorders>
            <w:noWrap/>
            <w:hideMark/>
          </w:tcPr>
          <w:p w14:paraId="1B879220"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r>
              <w:rPr>
                <w:rFonts w:eastAsiaTheme="minorEastAsia" w:cstheme="minorHAnsi"/>
                <w:sz w:val="16"/>
                <w:szCs w:val="16"/>
              </w:rPr>
              <w:t>%</w:t>
            </w:r>
          </w:p>
        </w:tc>
        <w:tc>
          <w:tcPr>
            <w:tcW w:w="2935" w:type="dxa"/>
            <w:tcBorders>
              <w:top w:val="nil"/>
              <w:left w:val="nil"/>
              <w:bottom w:val="nil"/>
              <w:right w:val="nil"/>
            </w:tcBorders>
            <w:noWrap/>
            <w:hideMark/>
          </w:tcPr>
          <w:p w14:paraId="3AFD8C19"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HRP among usual residents aged 16-74 years</w:t>
            </w:r>
          </w:p>
        </w:tc>
        <w:tc>
          <w:tcPr>
            <w:tcW w:w="1010" w:type="dxa"/>
            <w:tcBorders>
              <w:top w:val="nil"/>
              <w:left w:val="nil"/>
              <w:bottom w:val="nil"/>
              <w:right w:val="nil"/>
            </w:tcBorders>
            <w:noWrap/>
            <w:hideMark/>
          </w:tcPr>
          <w:p w14:paraId="2BF476F2"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Census 2011</w:t>
            </w:r>
          </w:p>
        </w:tc>
      </w:tr>
      <w:tr w:rsidR="00EE0150" w:rsidRPr="006A493D" w14:paraId="6E46A978" w14:textId="77777777" w:rsidTr="005271E0">
        <w:trPr>
          <w:trHeight w:val="300"/>
        </w:trPr>
        <w:tc>
          <w:tcPr>
            <w:tcW w:w="1451" w:type="dxa"/>
            <w:tcBorders>
              <w:top w:val="nil"/>
              <w:left w:val="nil"/>
              <w:bottom w:val="nil"/>
              <w:right w:val="nil"/>
            </w:tcBorders>
            <w:noWrap/>
          </w:tcPr>
          <w:p w14:paraId="4C97C138" w14:textId="77777777" w:rsidR="00EE0150" w:rsidRPr="006A493D" w:rsidRDefault="00EE0150" w:rsidP="005271E0">
            <w:pPr>
              <w:spacing w:after="0" w:line="240" w:lineRule="auto"/>
              <w:rPr>
                <w:rFonts w:eastAsiaTheme="minorEastAsia" w:cstheme="minorHAnsi"/>
                <w:sz w:val="16"/>
                <w:szCs w:val="16"/>
              </w:rPr>
            </w:pPr>
          </w:p>
        </w:tc>
        <w:tc>
          <w:tcPr>
            <w:tcW w:w="3548" w:type="dxa"/>
            <w:tcBorders>
              <w:top w:val="nil"/>
              <w:left w:val="nil"/>
              <w:bottom w:val="nil"/>
              <w:right w:val="nil"/>
            </w:tcBorders>
            <w:noWrap/>
          </w:tcPr>
          <w:p w14:paraId="74DC59AE" w14:textId="77777777" w:rsidR="00EE0150" w:rsidRPr="006A493D" w:rsidRDefault="00EE0150" w:rsidP="005271E0">
            <w:pPr>
              <w:spacing w:after="0" w:line="240" w:lineRule="auto"/>
              <w:rPr>
                <w:rFonts w:eastAsiaTheme="minorEastAsia" w:cstheme="minorHAnsi"/>
                <w:sz w:val="16"/>
                <w:szCs w:val="16"/>
              </w:rPr>
            </w:pPr>
            <w:r w:rsidRPr="003A5893">
              <w:rPr>
                <w:rFonts w:eastAsiaTheme="minorEastAsia" w:cstheme="minorHAnsi"/>
                <w:sz w:val="16"/>
                <w:szCs w:val="16"/>
              </w:rPr>
              <w:t xml:space="preserve">Intermediate </w:t>
            </w:r>
          </w:p>
        </w:tc>
        <w:tc>
          <w:tcPr>
            <w:tcW w:w="524" w:type="dxa"/>
            <w:tcBorders>
              <w:top w:val="nil"/>
              <w:left w:val="nil"/>
              <w:bottom w:val="nil"/>
              <w:right w:val="nil"/>
            </w:tcBorders>
            <w:noWrap/>
          </w:tcPr>
          <w:p w14:paraId="44696E55" w14:textId="77777777" w:rsidR="00EE0150" w:rsidRPr="006A493D" w:rsidRDefault="00EE0150" w:rsidP="005271E0">
            <w:pPr>
              <w:spacing w:after="0" w:line="240" w:lineRule="auto"/>
              <w:rPr>
                <w:rFonts w:eastAsiaTheme="minorEastAsia" w:cstheme="minorHAnsi"/>
                <w:sz w:val="16"/>
                <w:szCs w:val="16"/>
              </w:rPr>
            </w:pPr>
          </w:p>
        </w:tc>
        <w:tc>
          <w:tcPr>
            <w:tcW w:w="2935" w:type="dxa"/>
            <w:tcBorders>
              <w:top w:val="nil"/>
              <w:left w:val="nil"/>
              <w:bottom w:val="nil"/>
              <w:right w:val="nil"/>
            </w:tcBorders>
            <w:noWrap/>
          </w:tcPr>
          <w:p w14:paraId="1BBA921E" w14:textId="77777777" w:rsidR="00EE0150" w:rsidRPr="006A493D" w:rsidRDefault="00EE0150" w:rsidP="005271E0">
            <w:pPr>
              <w:spacing w:after="0" w:line="240" w:lineRule="auto"/>
              <w:rPr>
                <w:rFonts w:eastAsiaTheme="minorEastAsia" w:cstheme="minorHAnsi"/>
                <w:sz w:val="16"/>
                <w:szCs w:val="16"/>
              </w:rPr>
            </w:pPr>
          </w:p>
        </w:tc>
        <w:tc>
          <w:tcPr>
            <w:tcW w:w="1010" w:type="dxa"/>
            <w:tcBorders>
              <w:top w:val="nil"/>
              <w:left w:val="nil"/>
              <w:bottom w:val="nil"/>
              <w:right w:val="nil"/>
            </w:tcBorders>
            <w:noWrap/>
          </w:tcPr>
          <w:p w14:paraId="5F843734" w14:textId="77777777" w:rsidR="00EE0150" w:rsidRPr="006A493D" w:rsidRDefault="00EE0150" w:rsidP="005271E0">
            <w:pPr>
              <w:spacing w:after="0" w:line="240" w:lineRule="auto"/>
              <w:rPr>
                <w:rFonts w:eastAsiaTheme="minorEastAsia" w:cstheme="minorHAnsi"/>
                <w:sz w:val="16"/>
                <w:szCs w:val="16"/>
              </w:rPr>
            </w:pPr>
          </w:p>
        </w:tc>
      </w:tr>
      <w:tr w:rsidR="00EE0150" w:rsidRPr="006A493D" w14:paraId="53312596" w14:textId="77777777" w:rsidTr="005271E0">
        <w:trPr>
          <w:trHeight w:val="300"/>
        </w:trPr>
        <w:tc>
          <w:tcPr>
            <w:tcW w:w="1451" w:type="dxa"/>
            <w:tcBorders>
              <w:top w:val="nil"/>
              <w:left w:val="nil"/>
              <w:bottom w:val="nil"/>
              <w:right w:val="nil"/>
            </w:tcBorders>
            <w:noWrap/>
          </w:tcPr>
          <w:p w14:paraId="27E049CB" w14:textId="77777777" w:rsidR="00EE0150" w:rsidRPr="006A493D" w:rsidRDefault="00EE0150" w:rsidP="005271E0">
            <w:pPr>
              <w:spacing w:after="0" w:line="240" w:lineRule="auto"/>
              <w:rPr>
                <w:rFonts w:eastAsiaTheme="minorEastAsia" w:cstheme="minorHAnsi"/>
                <w:sz w:val="16"/>
                <w:szCs w:val="16"/>
              </w:rPr>
            </w:pPr>
          </w:p>
        </w:tc>
        <w:tc>
          <w:tcPr>
            <w:tcW w:w="3548" w:type="dxa"/>
            <w:tcBorders>
              <w:top w:val="nil"/>
              <w:left w:val="nil"/>
              <w:bottom w:val="nil"/>
              <w:right w:val="nil"/>
            </w:tcBorders>
            <w:noWrap/>
          </w:tcPr>
          <w:p w14:paraId="627BCB7C" w14:textId="77777777" w:rsidR="00EE0150" w:rsidRPr="006A493D" w:rsidRDefault="00EE0150" w:rsidP="005271E0">
            <w:pPr>
              <w:spacing w:after="0" w:line="240" w:lineRule="auto"/>
              <w:rPr>
                <w:rFonts w:eastAsiaTheme="minorEastAsia" w:cstheme="minorHAnsi"/>
                <w:sz w:val="16"/>
                <w:szCs w:val="16"/>
              </w:rPr>
            </w:pPr>
            <w:r w:rsidRPr="003A5893">
              <w:rPr>
                <w:rFonts w:eastAsiaTheme="minorEastAsia" w:cstheme="minorHAnsi"/>
                <w:sz w:val="16"/>
                <w:szCs w:val="16"/>
              </w:rPr>
              <w:t xml:space="preserve">Routine/manual </w:t>
            </w:r>
          </w:p>
        </w:tc>
        <w:tc>
          <w:tcPr>
            <w:tcW w:w="524" w:type="dxa"/>
            <w:tcBorders>
              <w:top w:val="nil"/>
              <w:left w:val="nil"/>
              <w:bottom w:val="nil"/>
              <w:right w:val="nil"/>
            </w:tcBorders>
            <w:noWrap/>
          </w:tcPr>
          <w:p w14:paraId="423A2C9D" w14:textId="77777777" w:rsidR="00EE0150" w:rsidRPr="006A493D" w:rsidRDefault="00EE0150" w:rsidP="005271E0">
            <w:pPr>
              <w:spacing w:after="0" w:line="240" w:lineRule="auto"/>
              <w:rPr>
                <w:rFonts w:eastAsiaTheme="minorEastAsia" w:cstheme="minorHAnsi"/>
                <w:sz w:val="16"/>
                <w:szCs w:val="16"/>
              </w:rPr>
            </w:pPr>
          </w:p>
        </w:tc>
        <w:tc>
          <w:tcPr>
            <w:tcW w:w="2935" w:type="dxa"/>
            <w:tcBorders>
              <w:top w:val="nil"/>
              <w:left w:val="nil"/>
              <w:bottom w:val="nil"/>
              <w:right w:val="nil"/>
            </w:tcBorders>
            <w:noWrap/>
          </w:tcPr>
          <w:p w14:paraId="4CCE5156" w14:textId="77777777" w:rsidR="00EE0150" w:rsidRPr="006A493D" w:rsidRDefault="00EE0150" w:rsidP="005271E0">
            <w:pPr>
              <w:spacing w:after="0" w:line="240" w:lineRule="auto"/>
              <w:rPr>
                <w:rFonts w:eastAsiaTheme="minorEastAsia" w:cstheme="minorHAnsi"/>
                <w:sz w:val="16"/>
                <w:szCs w:val="16"/>
              </w:rPr>
            </w:pPr>
          </w:p>
        </w:tc>
        <w:tc>
          <w:tcPr>
            <w:tcW w:w="1010" w:type="dxa"/>
            <w:tcBorders>
              <w:top w:val="nil"/>
              <w:left w:val="nil"/>
              <w:bottom w:val="nil"/>
              <w:right w:val="nil"/>
            </w:tcBorders>
            <w:noWrap/>
          </w:tcPr>
          <w:p w14:paraId="221322F7" w14:textId="77777777" w:rsidR="00EE0150" w:rsidRPr="006A493D" w:rsidRDefault="00EE0150" w:rsidP="005271E0">
            <w:pPr>
              <w:spacing w:after="0" w:line="240" w:lineRule="auto"/>
              <w:rPr>
                <w:rFonts w:eastAsiaTheme="minorEastAsia" w:cstheme="minorHAnsi"/>
                <w:sz w:val="16"/>
                <w:szCs w:val="16"/>
              </w:rPr>
            </w:pPr>
          </w:p>
        </w:tc>
      </w:tr>
      <w:tr w:rsidR="00EE0150" w:rsidRPr="006A493D" w14:paraId="1C30D04F" w14:textId="77777777" w:rsidTr="005271E0">
        <w:trPr>
          <w:trHeight w:val="300"/>
        </w:trPr>
        <w:tc>
          <w:tcPr>
            <w:tcW w:w="1451" w:type="dxa"/>
            <w:tcBorders>
              <w:top w:val="nil"/>
              <w:left w:val="nil"/>
              <w:bottom w:val="nil"/>
              <w:right w:val="nil"/>
            </w:tcBorders>
            <w:noWrap/>
          </w:tcPr>
          <w:p w14:paraId="1F7BCCC0" w14:textId="77777777" w:rsidR="00EE0150" w:rsidRPr="006A493D" w:rsidRDefault="00EE0150" w:rsidP="005271E0">
            <w:pPr>
              <w:spacing w:after="0" w:line="240" w:lineRule="auto"/>
              <w:rPr>
                <w:rFonts w:eastAsiaTheme="minorEastAsia" w:cstheme="minorHAnsi"/>
                <w:sz w:val="16"/>
                <w:szCs w:val="16"/>
              </w:rPr>
            </w:pPr>
          </w:p>
        </w:tc>
        <w:tc>
          <w:tcPr>
            <w:tcW w:w="3548" w:type="dxa"/>
            <w:tcBorders>
              <w:top w:val="nil"/>
              <w:left w:val="nil"/>
              <w:bottom w:val="nil"/>
              <w:right w:val="nil"/>
            </w:tcBorders>
            <w:noWrap/>
          </w:tcPr>
          <w:p w14:paraId="6B6AB2BF" w14:textId="77777777" w:rsidR="00EE0150" w:rsidRPr="006A493D" w:rsidRDefault="00EE0150" w:rsidP="005271E0">
            <w:pPr>
              <w:spacing w:after="0" w:line="240" w:lineRule="auto"/>
              <w:rPr>
                <w:rFonts w:eastAsiaTheme="minorEastAsia" w:cstheme="minorHAnsi"/>
                <w:sz w:val="16"/>
                <w:szCs w:val="16"/>
              </w:rPr>
            </w:pPr>
            <w:r w:rsidRPr="003A5893">
              <w:rPr>
                <w:rFonts w:eastAsiaTheme="minorEastAsia" w:cstheme="minorHAnsi"/>
                <w:sz w:val="16"/>
                <w:szCs w:val="16"/>
              </w:rPr>
              <w:t>Never worked/</w:t>
            </w:r>
            <w:proofErr w:type="spellStart"/>
            <w:r w:rsidRPr="003A5893">
              <w:rPr>
                <w:rFonts w:eastAsiaTheme="minorEastAsia" w:cstheme="minorHAnsi"/>
                <w:sz w:val="16"/>
                <w:szCs w:val="16"/>
              </w:rPr>
              <w:t>longterm</w:t>
            </w:r>
            <w:proofErr w:type="spellEnd"/>
            <w:r w:rsidRPr="003A5893">
              <w:rPr>
                <w:rFonts w:eastAsiaTheme="minorEastAsia" w:cstheme="minorHAnsi"/>
                <w:sz w:val="16"/>
                <w:szCs w:val="16"/>
              </w:rPr>
              <w:t xml:space="preserve"> unemployed </w:t>
            </w:r>
          </w:p>
        </w:tc>
        <w:tc>
          <w:tcPr>
            <w:tcW w:w="524" w:type="dxa"/>
            <w:tcBorders>
              <w:top w:val="nil"/>
              <w:left w:val="nil"/>
              <w:bottom w:val="nil"/>
              <w:right w:val="nil"/>
            </w:tcBorders>
            <w:noWrap/>
          </w:tcPr>
          <w:p w14:paraId="775830C9" w14:textId="77777777" w:rsidR="00EE0150" w:rsidRPr="006A493D" w:rsidRDefault="00EE0150" w:rsidP="005271E0">
            <w:pPr>
              <w:spacing w:after="0" w:line="240" w:lineRule="auto"/>
              <w:rPr>
                <w:rFonts w:eastAsiaTheme="minorEastAsia" w:cstheme="minorHAnsi"/>
                <w:sz w:val="16"/>
                <w:szCs w:val="16"/>
              </w:rPr>
            </w:pPr>
          </w:p>
        </w:tc>
        <w:tc>
          <w:tcPr>
            <w:tcW w:w="2935" w:type="dxa"/>
            <w:tcBorders>
              <w:top w:val="nil"/>
              <w:left w:val="nil"/>
              <w:bottom w:val="nil"/>
              <w:right w:val="nil"/>
            </w:tcBorders>
            <w:noWrap/>
          </w:tcPr>
          <w:p w14:paraId="0D548256" w14:textId="77777777" w:rsidR="00EE0150" w:rsidRPr="006A493D" w:rsidRDefault="00EE0150" w:rsidP="005271E0">
            <w:pPr>
              <w:spacing w:after="0" w:line="240" w:lineRule="auto"/>
              <w:rPr>
                <w:rFonts w:eastAsiaTheme="minorEastAsia" w:cstheme="minorHAnsi"/>
                <w:sz w:val="16"/>
                <w:szCs w:val="16"/>
              </w:rPr>
            </w:pPr>
          </w:p>
        </w:tc>
        <w:tc>
          <w:tcPr>
            <w:tcW w:w="1010" w:type="dxa"/>
            <w:tcBorders>
              <w:top w:val="nil"/>
              <w:left w:val="nil"/>
              <w:bottom w:val="nil"/>
              <w:right w:val="nil"/>
            </w:tcBorders>
            <w:noWrap/>
          </w:tcPr>
          <w:p w14:paraId="7E18E5B2" w14:textId="77777777" w:rsidR="00EE0150" w:rsidRPr="006A493D" w:rsidRDefault="00EE0150" w:rsidP="005271E0">
            <w:pPr>
              <w:spacing w:after="0" w:line="240" w:lineRule="auto"/>
              <w:rPr>
                <w:rFonts w:eastAsiaTheme="minorEastAsia" w:cstheme="minorHAnsi"/>
                <w:sz w:val="16"/>
                <w:szCs w:val="16"/>
              </w:rPr>
            </w:pPr>
          </w:p>
        </w:tc>
      </w:tr>
      <w:tr w:rsidR="00EE0150" w:rsidRPr="006A493D" w14:paraId="469A26AC" w14:textId="77777777" w:rsidTr="005271E0">
        <w:trPr>
          <w:trHeight w:val="300"/>
        </w:trPr>
        <w:tc>
          <w:tcPr>
            <w:tcW w:w="1451" w:type="dxa"/>
            <w:tcBorders>
              <w:top w:val="nil"/>
              <w:left w:val="nil"/>
              <w:bottom w:val="single" w:sz="4" w:space="0" w:color="auto"/>
              <w:right w:val="nil"/>
            </w:tcBorders>
            <w:noWrap/>
            <w:hideMark/>
          </w:tcPr>
          <w:p w14:paraId="17B416E2"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3548" w:type="dxa"/>
            <w:tcBorders>
              <w:top w:val="nil"/>
              <w:left w:val="nil"/>
              <w:bottom w:val="single" w:sz="4" w:space="0" w:color="auto"/>
              <w:right w:val="nil"/>
            </w:tcBorders>
            <w:noWrap/>
            <w:hideMark/>
          </w:tcPr>
          <w:p w14:paraId="72DE87B5"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Full-time students</w:t>
            </w:r>
          </w:p>
        </w:tc>
        <w:tc>
          <w:tcPr>
            <w:tcW w:w="524" w:type="dxa"/>
            <w:tcBorders>
              <w:top w:val="nil"/>
              <w:left w:val="nil"/>
              <w:bottom w:val="single" w:sz="4" w:space="0" w:color="auto"/>
              <w:right w:val="nil"/>
            </w:tcBorders>
            <w:noWrap/>
            <w:hideMark/>
          </w:tcPr>
          <w:p w14:paraId="5E092004"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2935" w:type="dxa"/>
            <w:tcBorders>
              <w:top w:val="nil"/>
              <w:left w:val="nil"/>
              <w:bottom w:val="single" w:sz="4" w:space="0" w:color="auto"/>
              <w:right w:val="nil"/>
            </w:tcBorders>
            <w:noWrap/>
            <w:hideMark/>
          </w:tcPr>
          <w:p w14:paraId="1F1E1DA2"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1010" w:type="dxa"/>
            <w:tcBorders>
              <w:top w:val="nil"/>
              <w:left w:val="nil"/>
              <w:bottom w:val="single" w:sz="4" w:space="0" w:color="auto"/>
              <w:right w:val="nil"/>
            </w:tcBorders>
            <w:noWrap/>
            <w:hideMark/>
          </w:tcPr>
          <w:p w14:paraId="6163A412"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r>
      <w:tr w:rsidR="00EE0150" w:rsidRPr="006A493D" w14:paraId="4C65EE90" w14:textId="77777777" w:rsidTr="005271E0">
        <w:trPr>
          <w:trHeight w:val="300"/>
        </w:trPr>
        <w:tc>
          <w:tcPr>
            <w:tcW w:w="1451" w:type="dxa"/>
            <w:tcBorders>
              <w:top w:val="nil"/>
              <w:left w:val="nil"/>
              <w:bottom w:val="single" w:sz="4" w:space="0" w:color="auto"/>
              <w:right w:val="nil"/>
            </w:tcBorders>
            <w:noWrap/>
            <w:hideMark/>
          </w:tcPr>
          <w:p w14:paraId="22CA700D"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Income support</w:t>
            </w:r>
          </w:p>
        </w:tc>
        <w:tc>
          <w:tcPr>
            <w:tcW w:w="3548" w:type="dxa"/>
            <w:tcBorders>
              <w:top w:val="nil"/>
              <w:left w:val="nil"/>
              <w:bottom w:val="single" w:sz="4" w:space="0" w:color="auto"/>
              <w:right w:val="nil"/>
            </w:tcBorders>
            <w:noWrap/>
            <w:hideMark/>
          </w:tcPr>
          <w:p w14:paraId="4B3954D9"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Population in receipt of income support (2012)</w:t>
            </w:r>
          </w:p>
        </w:tc>
        <w:tc>
          <w:tcPr>
            <w:tcW w:w="524" w:type="dxa"/>
            <w:tcBorders>
              <w:top w:val="nil"/>
              <w:left w:val="nil"/>
              <w:bottom w:val="single" w:sz="4" w:space="0" w:color="auto"/>
              <w:right w:val="nil"/>
            </w:tcBorders>
            <w:noWrap/>
            <w:hideMark/>
          </w:tcPr>
          <w:p w14:paraId="7178F686"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w:t>
            </w:r>
          </w:p>
        </w:tc>
        <w:tc>
          <w:tcPr>
            <w:tcW w:w="2935" w:type="dxa"/>
            <w:tcBorders>
              <w:top w:val="nil"/>
              <w:left w:val="nil"/>
              <w:bottom w:val="single" w:sz="4" w:space="0" w:color="auto"/>
              <w:right w:val="nil"/>
            </w:tcBorders>
            <w:noWrap/>
            <w:hideMark/>
          </w:tcPr>
          <w:p w14:paraId="48966FE2"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r>
              <w:rPr>
                <w:rFonts w:eastAsiaTheme="minorEastAsia" w:cstheme="minorHAnsi"/>
                <w:sz w:val="16"/>
                <w:szCs w:val="16"/>
              </w:rPr>
              <w:t xml:space="preserve">Population </w:t>
            </w:r>
            <w:proofErr w:type="gramStart"/>
            <w:r>
              <w:rPr>
                <w:rFonts w:eastAsiaTheme="minorEastAsia" w:cstheme="minorHAnsi"/>
                <w:sz w:val="16"/>
                <w:szCs w:val="16"/>
              </w:rPr>
              <w:t>estimate</w:t>
            </w:r>
            <w:proofErr w:type="gramEnd"/>
          </w:p>
        </w:tc>
        <w:tc>
          <w:tcPr>
            <w:tcW w:w="1010" w:type="dxa"/>
            <w:tcBorders>
              <w:top w:val="nil"/>
              <w:left w:val="nil"/>
              <w:bottom w:val="single" w:sz="4" w:space="0" w:color="auto"/>
              <w:right w:val="nil"/>
            </w:tcBorders>
            <w:noWrap/>
            <w:hideMark/>
          </w:tcPr>
          <w:p w14:paraId="4E4F1F05"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r>
      <w:tr w:rsidR="00EE0150" w:rsidRPr="006A493D" w14:paraId="50B57991" w14:textId="77777777" w:rsidTr="005271E0">
        <w:trPr>
          <w:trHeight w:val="300"/>
        </w:trPr>
        <w:tc>
          <w:tcPr>
            <w:tcW w:w="1451" w:type="dxa"/>
            <w:tcBorders>
              <w:top w:val="nil"/>
              <w:left w:val="nil"/>
              <w:bottom w:val="nil"/>
              <w:right w:val="nil"/>
            </w:tcBorders>
            <w:noWrap/>
            <w:hideMark/>
          </w:tcPr>
          <w:p w14:paraId="7D7DEBCA"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Housing tenure</w:t>
            </w:r>
          </w:p>
        </w:tc>
        <w:tc>
          <w:tcPr>
            <w:tcW w:w="3548" w:type="dxa"/>
            <w:tcBorders>
              <w:top w:val="nil"/>
              <w:left w:val="nil"/>
              <w:bottom w:val="nil"/>
              <w:right w:val="nil"/>
            </w:tcBorders>
            <w:noWrap/>
            <w:hideMark/>
          </w:tcPr>
          <w:p w14:paraId="62CBB0A6"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Social rented</w:t>
            </w:r>
          </w:p>
        </w:tc>
        <w:tc>
          <w:tcPr>
            <w:tcW w:w="524" w:type="dxa"/>
            <w:tcBorders>
              <w:top w:val="nil"/>
              <w:left w:val="nil"/>
              <w:bottom w:val="nil"/>
              <w:right w:val="nil"/>
            </w:tcBorders>
            <w:noWrap/>
            <w:hideMark/>
          </w:tcPr>
          <w:p w14:paraId="3B44AB58"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r>
              <w:rPr>
                <w:rFonts w:eastAsiaTheme="minorEastAsia" w:cstheme="minorHAnsi"/>
                <w:sz w:val="16"/>
                <w:szCs w:val="16"/>
              </w:rPr>
              <w:t>%</w:t>
            </w:r>
          </w:p>
        </w:tc>
        <w:tc>
          <w:tcPr>
            <w:tcW w:w="2935" w:type="dxa"/>
            <w:tcBorders>
              <w:top w:val="nil"/>
              <w:left w:val="nil"/>
              <w:bottom w:val="nil"/>
              <w:right w:val="nil"/>
            </w:tcBorders>
            <w:noWrap/>
            <w:hideMark/>
          </w:tcPr>
          <w:p w14:paraId="546E1D0B"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H</w:t>
            </w:r>
            <w:r w:rsidRPr="006A493D">
              <w:rPr>
                <w:rFonts w:eastAsiaTheme="minorEastAsia" w:cstheme="minorHAnsi"/>
                <w:sz w:val="16"/>
                <w:szCs w:val="16"/>
              </w:rPr>
              <w:t>ouseholds</w:t>
            </w:r>
          </w:p>
        </w:tc>
        <w:tc>
          <w:tcPr>
            <w:tcW w:w="1010" w:type="dxa"/>
            <w:tcBorders>
              <w:top w:val="nil"/>
              <w:left w:val="nil"/>
              <w:bottom w:val="nil"/>
              <w:right w:val="nil"/>
            </w:tcBorders>
            <w:noWrap/>
            <w:hideMark/>
          </w:tcPr>
          <w:p w14:paraId="1F5D132D"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Census 2011</w:t>
            </w:r>
          </w:p>
        </w:tc>
      </w:tr>
      <w:tr w:rsidR="00EE0150" w:rsidRPr="006A493D" w14:paraId="49BF2859" w14:textId="77777777" w:rsidTr="005271E0">
        <w:trPr>
          <w:trHeight w:val="300"/>
        </w:trPr>
        <w:tc>
          <w:tcPr>
            <w:tcW w:w="1451" w:type="dxa"/>
            <w:tcBorders>
              <w:top w:val="nil"/>
              <w:left w:val="nil"/>
              <w:right w:val="nil"/>
            </w:tcBorders>
            <w:noWrap/>
            <w:hideMark/>
          </w:tcPr>
          <w:p w14:paraId="5D058FCF"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3548" w:type="dxa"/>
            <w:tcBorders>
              <w:top w:val="nil"/>
              <w:left w:val="nil"/>
              <w:right w:val="nil"/>
            </w:tcBorders>
            <w:noWrap/>
            <w:hideMark/>
          </w:tcPr>
          <w:p w14:paraId="396AD3C3"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Private rented</w:t>
            </w:r>
          </w:p>
        </w:tc>
        <w:tc>
          <w:tcPr>
            <w:tcW w:w="524" w:type="dxa"/>
            <w:tcBorders>
              <w:top w:val="nil"/>
              <w:left w:val="nil"/>
              <w:right w:val="nil"/>
            </w:tcBorders>
            <w:noWrap/>
            <w:hideMark/>
          </w:tcPr>
          <w:p w14:paraId="524AB854"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2935" w:type="dxa"/>
            <w:tcBorders>
              <w:top w:val="nil"/>
              <w:left w:val="nil"/>
              <w:right w:val="nil"/>
            </w:tcBorders>
            <w:noWrap/>
            <w:hideMark/>
          </w:tcPr>
          <w:p w14:paraId="178E5C3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1010" w:type="dxa"/>
            <w:tcBorders>
              <w:top w:val="nil"/>
              <w:left w:val="nil"/>
              <w:right w:val="nil"/>
            </w:tcBorders>
            <w:noWrap/>
            <w:hideMark/>
          </w:tcPr>
          <w:p w14:paraId="4B745A75"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r>
      <w:tr w:rsidR="00EE0150" w:rsidRPr="006A493D" w14:paraId="305FEE15" w14:textId="77777777" w:rsidTr="005271E0">
        <w:trPr>
          <w:trHeight w:val="300"/>
        </w:trPr>
        <w:tc>
          <w:tcPr>
            <w:tcW w:w="1451" w:type="dxa"/>
            <w:tcBorders>
              <w:top w:val="nil"/>
              <w:left w:val="nil"/>
              <w:bottom w:val="single" w:sz="4" w:space="0" w:color="auto"/>
              <w:right w:val="nil"/>
            </w:tcBorders>
            <w:noWrap/>
            <w:hideMark/>
          </w:tcPr>
          <w:p w14:paraId="457BC31C"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3548" w:type="dxa"/>
            <w:tcBorders>
              <w:top w:val="nil"/>
              <w:left w:val="nil"/>
              <w:bottom w:val="single" w:sz="4" w:space="0" w:color="auto"/>
              <w:right w:val="nil"/>
            </w:tcBorders>
            <w:noWrap/>
            <w:hideMark/>
          </w:tcPr>
          <w:p w14:paraId="37F8EEC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Owner occupied</w:t>
            </w:r>
          </w:p>
        </w:tc>
        <w:tc>
          <w:tcPr>
            <w:tcW w:w="524" w:type="dxa"/>
            <w:tcBorders>
              <w:top w:val="nil"/>
              <w:left w:val="nil"/>
              <w:bottom w:val="single" w:sz="4" w:space="0" w:color="auto"/>
              <w:right w:val="nil"/>
            </w:tcBorders>
            <w:noWrap/>
            <w:hideMark/>
          </w:tcPr>
          <w:p w14:paraId="63ED0775"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2935" w:type="dxa"/>
            <w:tcBorders>
              <w:top w:val="nil"/>
              <w:left w:val="nil"/>
              <w:bottom w:val="single" w:sz="4" w:space="0" w:color="auto"/>
              <w:right w:val="nil"/>
            </w:tcBorders>
            <w:noWrap/>
            <w:hideMark/>
          </w:tcPr>
          <w:p w14:paraId="1743F211"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c>
          <w:tcPr>
            <w:tcW w:w="1010" w:type="dxa"/>
            <w:tcBorders>
              <w:top w:val="nil"/>
              <w:left w:val="nil"/>
              <w:bottom w:val="single" w:sz="4" w:space="0" w:color="auto"/>
              <w:right w:val="nil"/>
            </w:tcBorders>
            <w:noWrap/>
            <w:hideMark/>
          </w:tcPr>
          <w:p w14:paraId="24AA327F"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p>
        </w:tc>
      </w:tr>
      <w:tr w:rsidR="00EE0150" w:rsidRPr="006A493D" w14:paraId="11127671" w14:textId="77777777" w:rsidTr="005271E0">
        <w:trPr>
          <w:trHeight w:val="300"/>
        </w:trPr>
        <w:tc>
          <w:tcPr>
            <w:tcW w:w="1451" w:type="dxa"/>
            <w:tcBorders>
              <w:top w:val="single" w:sz="4" w:space="0" w:color="auto"/>
              <w:left w:val="nil"/>
              <w:bottom w:val="single" w:sz="4" w:space="0" w:color="auto"/>
              <w:right w:val="nil"/>
            </w:tcBorders>
            <w:noWrap/>
            <w:hideMark/>
          </w:tcPr>
          <w:p w14:paraId="6B3D5B1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Housing other</w:t>
            </w:r>
          </w:p>
        </w:tc>
        <w:tc>
          <w:tcPr>
            <w:tcW w:w="3548" w:type="dxa"/>
            <w:tcBorders>
              <w:top w:val="single" w:sz="4" w:space="0" w:color="auto"/>
              <w:left w:val="nil"/>
              <w:bottom w:val="single" w:sz="4" w:space="0" w:color="auto"/>
              <w:right w:val="nil"/>
            </w:tcBorders>
            <w:noWrap/>
            <w:hideMark/>
          </w:tcPr>
          <w:p w14:paraId="2BDC7BCA"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Overcrowded households (bedroom standard)</w:t>
            </w:r>
          </w:p>
        </w:tc>
        <w:tc>
          <w:tcPr>
            <w:tcW w:w="524" w:type="dxa"/>
            <w:tcBorders>
              <w:top w:val="single" w:sz="4" w:space="0" w:color="auto"/>
              <w:left w:val="nil"/>
              <w:bottom w:val="single" w:sz="4" w:space="0" w:color="auto"/>
              <w:right w:val="nil"/>
            </w:tcBorders>
            <w:noWrap/>
            <w:hideMark/>
          </w:tcPr>
          <w:p w14:paraId="4485C6BB"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r>
              <w:rPr>
                <w:rFonts w:eastAsiaTheme="minorEastAsia" w:cstheme="minorHAnsi"/>
                <w:sz w:val="16"/>
                <w:szCs w:val="16"/>
              </w:rPr>
              <w:t>%</w:t>
            </w:r>
          </w:p>
        </w:tc>
        <w:tc>
          <w:tcPr>
            <w:tcW w:w="2935" w:type="dxa"/>
            <w:tcBorders>
              <w:top w:val="single" w:sz="4" w:space="0" w:color="auto"/>
              <w:left w:val="nil"/>
              <w:bottom w:val="single" w:sz="4" w:space="0" w:color="auto"/>
              <w:right w:val="nil"/>
            </w:tcBorders>
            <w:noWrap/>
            <w:hideMark/>
          </w:tcPr>
          <w:p w14:paraId="5B25BF4F"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r>
              <w:rPr>
                <w:rFonts w:eastAsiaTheme="minorEastAsia" w:cstheme="minorHAnsi"/>
                <w:sz w:val="16"/>
                <w:szCs w:val="16"/>
              </w:rPr>
              <w:t>H</w:t>
            </w:r>
            <w:r w:rsidRPr="006A493D">
              <w:rPr>
                <w:rFonts w:eastAsiaTheme="minorEastAsia" w:cstheme="minorHAnsi"/>
                <w:sz w:val="16"/>
                <w:szCs w:val="16"/>
              </w:rPr>
              <w:t>ouseholds</w:t>
            </w:r>
          </w:p>
        </w:tc>
        <w:tc>
          <w:tcPr>
            <w:tcW w:w="1010" w:type="dxa"/>
            <w:tcBorders>
              <w:top w:val="single" w:sz="4" w:space="0" w:color="auto"/>
              <w:left w:val="nil"/>
              <w:bottom w:val="single" w:sz="4" w:space="0" w:color="auto"/>
              <w:right w:val="nil"/>
            </w:tcBorders>
            <w:noWrap/>
            <w:hideMark/>
          </w:tcPr>
          <w:p w14:paraId="52292F90"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Census 2011</w:t>
            </w:r>
          </w:p>
        </w:tc>
      </w:tr>
      <w:tr w:rsidR="00EE0150" w:rsidRPr="006A493D" w14:paraId="3A8368DC" w14:textId="77777777" w:rsidTr="005271E0">
        <w:trPr>
          <w:trHeight w:val="300"/>
        </w:trPr>
        <w:tc>
          <w:tcPr>
            <w:tcW w:w="1451" w:type="dxa"/>
            <w:tcBorders>
              <w:top w:val="single" w:sz="4" w:space="0" w:color="auto"/>
              <w:left w:val="nil"/>
              <w:bottom w:val="single" w:sz="4" w:space="0" w:color="auto"/>
              <w:right w:val="nil"/>
            </w:tcBorders>
            <w:noWrap/>
            <w:hideMark/>
          </w:tcPr>
          <w:p w14:paraId="0C567956"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Health</w:t>
            </w:r>
          </w:p>
        </w:tc>
        <w:tc>
          <w:tcPr>
            <w:tcW w:w="3548" w:type="dxa"/>
            <w:tcBorders>
              <w:top w:val="single" w:sz="4" w:space="0" w:color="auto"/>
              <w:left w:val="nil"/>
              <w:bottom w:val="single" w:sz="4" w:space="0" w:color="auto"/>
              <w:right w:val="nil"/>
            </w:tcBorders>
            <w:noWrap/>
            <w:hideMark/>
          </w:tcPr>
          <w:p w14:paraId="6C799921"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Disabled - Day-to-day activities limited a lot</w:t>
            </w:r>
          </w:p>
        </w:tc>
        <w:tc>
          <w:tcPr>
            <w:tcW w:w="524" w:type="dxa"/>
            <w:tcBorders>
              <w:top w:val="single" w:sz="4" w:space="0" w:color="auto"/>
              <w:left w:val="nil"/>
              <w:bottom w:val="single" w:sz="4" w:space="0" w:color="auto"/>
              <w:right w:val="nil"/>
            </w:tcBorders>
            <w:noWrap/>
            <w:hideMark/>
          </w:tcPr>
          <w:p w14:paraId="0FF46C5F"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r>
              <w:rPr>
                <w:rFonts w:eastAsiaTheme="minorEastAsia" w:cstheme="minorHAnsi"/>
                <w:sz w:val="16"/>
                <w:szCs w:val="16"/>
              </w:rPr>
              <w:t>%</w:t>
            </w:r>
          </w:p>
        </w:tc>
        <w:tc>
          <w:tcPr>
            <w:tcW w:w="2935" w:type="dxa"/>
            <w:tcBorders>
              <w:top w:val="single" w:sz="4" w:space="0" w:color="auto"/>
              <w:left w:val="nil"/>
              <w:bottom w:val="single" w:sz="4" w:space="0" w:color="auto"/>
              <w:right w:val="nil"/>
            </w:tcBorders>
            <w:noWrap/>
            <w:hideMark/>
          </w:tcPr>
          <w:p w14:paraId="2EEE22D9"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Usual</w:t>
            </w:r>
            <w:r w:rsidRPr="006A493D">
              <w:rPr>
                <w:rFonts w:eastAsiaTheme="minorEastAsia" w:cstheme="minorHAnsi"/>
                <w:sz w:val="16"/>
                <w:szCs w:val="16"/>
              </w:rPr>
              <w:t xml:space="preserve"> residents</w:t>
            </w:r>
          </w:p>
        </w:tc>
        <w:tc>
          <w:tcPr>
            <w:tcW w:w="1010" w:type="dxa"/>
            <w:tcBorders>
              <w:top w:val="single" w:sz="4" w:space="0" w:color="auto"/>
              <w:left w:val="nil"/>
              <w:bottom w:val="single" w:sz="4" w:space="0" w:color="auto"/>
              <w:right w:val="nil"/>
            </w:tcBorders>
            <w:noWrap/>
            <w:hideMark/>
          </w:tcPr>
          <w:p w14:paraId="00BBAA5D"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Census 2011</w:t>
            </w:r>
          </w:p>
        </w:tc>
      </w:tr>
      <w:tr w:rsidR="00EE0150" w:rsidRPr="006A493D" w14:paraId="2EC21ABC" w14:textId="77777777" w:rsidTr="005271E0">
        <w:trPr>
          <w:trHeight w:val="300"/>
        </w:trPr>
        <w:tc>
          <w:tcPr>
            <w:tcW w:w="1451" w:type="dxa"/>
            <w:tcBorders>
              <w:top w:val="single" w:sz="4" w:space="0" w:color="auto"/>
              <w:left w:val="nil"/>
              <w:bottom w:val="single" w:sz="4" w:space="0" w:color="auto"/>
              <w:right w:val="nil"/>
            </w:tcBorders>
            <w:noWrap/>
          </w:tcPr>
          <w:p w14:paraId="5E5A86CE"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Local government structure</w:t>
            </w:r>
          </w:p>
        </w:tc>
        <w:tc>
          <w:tcPr>
            <w:tcW w:w="3548" w:type="dxa"/>
            <w:tcBorders>
              <w:top w:val="single" w:sz="4" w:space="0" w:color="auto"/>
              <w:left w:val="nil"/>
              <w:bottom w:val="single" w:sz="4" w:space="0" w:color="auto"/>
              <w:right w:val="nil"/>
            </w:tcBorders>
            <w:noWrap/>
          </w:tcPr>
          <w:p w14:paraId="51F26BB2" w14:textId="77777777" w:rsidR="00EE0150" w:rsidRPr="006A493D" w:rsidRDefault="00EE0150" w:rsidP="005271E0">
            <w:pPr>
              <w:spacing w:after="0" w:line="240" w:lineRule="auto"/>
              <w:rPr>
                <w:rFonts w:eastAsiaTheme="minorEastAsia" w:cstheme="minorHAnsi"/>
                <w:sz w:val="16"/>
                <w:szCs w:val="16"/>
              </w:rPr>
            </w:pPr>
            <w:proofErr w:type="gramStart"/>
            <w:r>
              <w:rPr>
                <w:rFonts w:eastAsiaTheme="minorEastAsia" w:cstheme="minorHAnsi"/>
                <w:sz w:val="16"/>
                <w:szCs w:val="16"/>
              </w:rPr>
              <w:t>Single-tier</w:t>
            </w:r>
            <w:proofErr w:type="gramEnd"/>
            <w:r>
              <w:rPr>
                <w:rFonts w:eastAsiaTheme="minorEastAsia" w:cstheme="minorHAnsi"/>
                <w:sz w:val="16"/>
                <w:szCs w:val="16"/>
              </w:rPr>
              <w:t xml:space="preserve"> (=1), two-tier (=0)</w:t>
            </w:r>
          </w:p>
        </w:tc>
        <w:tc>
          <w:tcPr>
            <w:tcW w:w="524" w:type="dxa"/>
            <w:tcBorders>
              <w:top w:val="single" w:sz="4" w:space="0" w:color="auto"/>
              <w:left w:val="nil"/>
              <w:bottom w:val="single" w:sz="4" w:space="0" w:color="auto"/>
              <w:right w:val="nil"/>
            </w:tcBorders>
            <w:noWrap/>
          </w:tcPr>
          <w:p w14:paraId="5C1A63DA"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Binary</w:t>
            </w:r>
          </w:p>
        </w:tc>
        <w:tc>
          <w:tcPr>
            <w:tcW w:w="2935" w:type="dxa"/>
            <w:tcBorders>
              <w:top w:val="single" w:sz="4" w:space="0" w:color="auto"/>
              <w:left w:val="nil"/>
              <w:bottom w:val="single" w:sz="4" w:space="0" w:color="auto"/>
              <w:right w:val="nil"/>
            </w:tcBorders>
            <w:noWrap/>
          </w:tcPr>
          <w:p w14:paraId="7B759A61" w14:textId="77777777" w:rsidR="00EE0150" w:rsidRPr="006A493D" w:rsidRDefault="00EE0150" w:rsidP="005271E0">
            <w:pPr>
              <w:spacing w:after="0" w:line="240" w:lineRule="auto"/>
              <w:rPr>
                <w:rFonts w:eastAsiaTheme="minorEastAsia" w:cstheme="minorHAnsi"/>
                <w:sz w:val="16"/>
                <w:szCs w:val="16"/>
              </w:rPr>
            </w:pPr>
          </w:p>
        </w:tc>
        <w:tc>
          <w:tcPr>
            <w:tcW w:w="1010" w:type="dxa"/>
            <w:tcBorders>
              <w:top w:val="single" w:sz="4" w:space="0" w:color="auto"/>
              <w:left w:val="nil"/>
              <w:bottom w:val="single" w:sz="4" w:space="0" w:color="auto"/>
              <w:right w:val="nil"/>
            </w:tcBorders>
            <w:noWrap/>
          </w:tcPr>
          <w:p w14:paraId="69B06290" w14:textId="77777777" w:rsidR="00EE0150" w:rsidRPr="006A493D" w:rsidRDefault="00EE0150" w:rsidP="005271E0">
            <w:pPr>
              <w:spacing w:after="0" w:line="240" w:lineRule="auto"/>
              <w:rPr>
                <w:rFonts w:eastAsiaTheme="minorEastAsia" w:cstheme="minorHAnsi"/>
                <w:sz w:val="16"/>
                <w:szCs w:val="16"/>
              </w:rPr>
            </w:pPr>
            <w:r>
              <w:rPr>
                <w:rFonts w:eastAsiaTheme="minorEastAsia" w:cstheme="minorHAnsi"/>
                <w:sz w:val="16"/>
                <w:szCs w:val="16"/>
              </w:rPr>
              <w:t>ONS 2011</w:t>
            </w:r>
          </w:p>
        </w:tc>
      </w:tr>
      <w:tr w:rsidR="00EE0150" w:rsidRPr="006A493D" w14:paraId="6FC2AA5B" w14:textId="77777777" w:rsidTr="005271E0">
        <w:trPr>
          <w:trHeight w:val="300"/>
        </w:trPr>
        <w:tc>
          <w:tcPr>
            <w:tcW w:w="1451" w:type="dxa"/>
            <w:tcBorders>
              <w:top w:val="single" w:sz="4" w:space="0" w:color="auto"/>
              <w:left w:val="nil"/>
              <w:bottom w:val="single" w:sz="4" w:space="0" w:color="auto"/>
              <w:right w:val="nil"/>
            </w:tcBorders>
            <w:noWrap/>
            <w:hideMark/>
          </w:tcPr>
          <w:p w14:paraId="678871C4"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Antisocial behaviour</w:t>
            </w:r>
          </w:p>
        </w:tc>
        <w:tc>
          <w:tcPr>
            <w:tcW w:w="3548" w:type="dxa"/>
            <w:tcBorders>
              <w:top w:val="single" w:sz="4" w:space="0" w:color="auto"/>
              <w:left w:val="nil"/>
              <w:bottom w:val="single" w:sz="4" w:space="0" w:color="auto"/>
              <w:right w:val="nil"/>
            </w:tcBorders>
            <w:noWrap/>
            <w:hideMark/>
          </w:tcPr>
          <w:p w14:paraId="78815360"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xml:space="preserve">ASB calls per </w:t>
            </w:r>
            <w:r>
              <w:rPr>
                <w:rFonts w:eastAsiaTheme="minorEastAsia" w:cstheme="minorHAnsi"/>
                <w:sz w:val="16"/>
                <w:szCs w:val="16"/>
              </w:rPr>
              <w:t>10,000 population</w:t>
            </w:r>
          </w:p>
        </w:tc>
        <w:tc>
          <w:tcPr>
            <w:tcW w:w="524" w:type="dxa"/>
            <w:tcBorders>
              <w:top w:val="single" w:sz="4" w:space="0" w:color="auto"/>
              <w:left w:val="nil"/>
              <w:bottom w:val="single" w:sz="4" w:space="0" w:color="auto"/>
              <w:right w:val="nil"/>
            </w:tcBorders>
            <w:noWrap/>
            <w:hideMark/>
          </w:tcPr>
          <w:p w14:paraId="14688EA7"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r>
              <w:rPr>
                <w:rFonts w:eastAsiaTheme="minorEastAsia" w:cstheme="minorHAnsi"/>
                <w:sz w:val="16"/>
                <w:szCs w:val="16"/>
              </w:rPr>
              <w:t xml:space="preserve">Per 10,000 </w:t>
            </w:r>
            <w:proofErr w:type="gramStart"/>
            <w:r>
              <w:rPr>
                <w:rFonts w:eastAsiaTheme="minorEastAsia" w:cstheme="minorHAnsi"/>
                <w:sz w:val="16"/>
                <w:szCs w:val="16"/>
              </w:rPr>
              <w:t>pop</w:t>
            </w:r>
            <w:proofErr w:type="gramEnd"/>
          </w:p>
        </w:tc>
        <w:tc>
          <w:tcPr>
            <w:tcW w:w="2935" w:type="dxa"/>
            <w:tcBorders>
              <w:top w:val="single" w:sz="4" w:space="0" w:color="auto"/>
              <w:left w:val="nil"/>
              <w:bottom w:val="single" w:sz="4" w:space="0" w:color="auto"/>
              <w:right w:val="nil"/>
            </w:tcBorders>
            <w:noWrap/>
            <w:hideMark/>
          </w:tcPr>
          <w:p w14:paraId="0A354B0D"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 </w:t>
            </w:r>
            <w:r>
              <w:rPr>
                <w:rFonts w:eastAsiaTheme="minorEastAsia" w:cstheme="minorHAnsi"/>
                <w:sz w:val="16"/>
                <w:szCs w:val="16"/>
              </w:rPr>
              <w:t>Usual residents</w:t>
            </w:r>
          </w:p>
        </w:tc>
        <w:tc>
          <w:tcPr>
            <w:tcW w:w="1010" w:type="dxa"/>
            <w:tcBorders>
              <w:top w:val="single" w:sz="4" w:space="0" w:color="auto"/>
              <w:left w:val="nil"/>
              <w:bottom w:val="single" w:sz="4" w:space="0" w:color="auto"/>
              <w:right w:val="nil"/>
            </w:tcBorders>
            <w:noWrap/>
            <w:hideMark/>
          </w:tcPr>
          <w:p w14:paraId="398CF5E8" w14:textId="77777777" w:rsidR="00EE0150" w:rsidRPr="006A493D" w:rsidRDefault="00EE0150" w:rsidP="005271E0">
            <w:pPr>
              <w:spacing w:after="0" w:line="240" w:lineRule="auto"/>
              <w:rPr>
                <w:rFonts w:eastAsiaTheme="minorEastAsia" w:cstheme="minorHAnsi"/>
                <w:sz w:val="16"/>
                <w:szCs w:val="16"/>
              </w:rPr>
            </w:pPr>
            <w:r w:rsidRPr="006A493D">
              <w:rPr>
                <w:rFonts w:eastAsiaTheme="minorEastAsia" w:cstheme="minorHAnsi"/>
                <w:sz w:val="16"/>
                <w:szCs w:val="16"/>
              </w:rPr>
              <w:t>Police</w:t>
            </w:r>
          </w:p>
        </w:tc>
      </w:tr>
    </w:tbl>
    <w:p w14:paraId="1A0E668A" w14:textId="77777777" w:rsidR="00EE0150" w:rsidRDefault="00EE0150" w:rsidP="00EE0150"/>
    <w:p w14:paraId="35806AD0" w14:textId="77777777" w:rsidR="00EE0150" w:rsidRDefault="00EE0150" w:rsidP="00EE0150">
      <w:r>
        <w:rPr>
          <w:noProof/>
          <w14:ligatures w14:val="standardContextual"/>
        </w:rPr>
        <w:drawing>
          <wp:inline distT="0" distB="0" distL="0" distR="0" wp14:anchorId="4D1EB792" wp14:editId="2E753967">
            <wp:extent cx="5943600" cy="3059430"/>
            <wp:effectExtent l="0" t="0" r="0" b="7620"/>
            <wp:docPr id="759345461" name="Picture 1" descr="A map of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45461" name="Picture 1" descr="A map of united kingdom&#10;&#10;AI-generated content may be incorrect."/>
                    <pic:cNvPicPr/>
                  </pic:nvPicPr>
                  <pic:blipFill rotWithShape="1">
                    <a:blip r:embed="rId24" cstate="print">
                      <a:extLst>
                        <a:ext uri="{28A0092B-C50C-407E-A947-70E740481C1C}">
                          <a14:useLocalDpi xmlns:a14="http://schemas.microsoft.com/office/drawing/2010/main" val="0"/>
                        </a:ext>
                      </a:extLst>
                    </a:blip>
                    <a:srcRect t="27199"/>
                    <a:stretch/>
                  </pic:blipFill>
                  <pic:spPr bwMode="auto">
                    <a:xfrm>
                      <a:off x="0" y="0"/>
                      <a:ext cx="5943600" cy="3059430"/>
                    </a:xfrm>
                    <a:prstGeom prst="rect">
                      <a:avLst/>
                    </a:prstGeom>
                    <a:ln>
                      <a:noFill/>
                    </a:ln>
                    <a:extLst>
                      <a:ext uri="{53640926-AAD7-44D8-BBD7-CCE9431645EC}">
                        <a14:shadowObscured xmlns:a14="http://schemas.microsoft.com/office/drawing/2010/main"/>
                      </a:ext>
                    </a:extLst>
                  </pic:spPr>
                </pic:pic>
              </a:graphicData>
            </a:graphic>
          </wp:inline>
        </w:drawing>
      </w:r>
    </w:p>
    <w:p w14:paraId="1A8E8DA0" w14:textId="77777777" w:rsidR="00EE0150" w:rsidRDefault="00EE0150" w:rsidP="00EE0150">
      <w:pPr>
        <w:pStyle w:val="Caption"/>
      </w:pPr>
      <w:r>
        <w:t>Figure S1   English Government Regions mapped showing land mass (left panel) and re-scaled relative to the size of the population in the private rental sector within their local authorities (right panel). The re-scaled map expands high-density regions with a large private rental population such as London relative to less densely populated regions with smaller private rental populations. Data source: Census 2011.</w:t>
      </w:r>
    </w:p>
    <w:p w14:paraId="69DBE15B" w14:textId="77777777" w:rsidR="00EE0150" w:rsidRDefault="00EE0150" w:rsidP="00EE0150"/>
    <w:p w14:paraId="33613CAC" w14:textId="77777777" w:rsidR="00EE0150" w:rsidRDefault="00EE0150" w:rsidP="00EE0150">
      <w:r>
        <w:rPr>
          <w:noProof/>
          <w14:ligatures w14:val="standardContextual"/>
        </w:rPr>
        <w:drawing>
          <wp:inline distT="0" distB="0" distL="0" distR="0" wp14:anchorId="6227E454" wp14:editId="2F6F6866">
            <wp:extent cx="5943600" cy="2840355"/>
            <wp:effectExtent l="0" t="0" r="0" b="0"/>
            <wp:docPr id="1863444034" name="Picture 2"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44034" name="Picture 2" descr="A screenshot of a computer generated image&#10;&#10;AI-generated content may be incorrect."/>
                    <pic:cNvPicPr/>
                  </pic:nvPicPr>
                  <pic:blipFill rotWithShape="1">
                    <a:blip r:embed="rId25" cstate="print">
                      <a:extLst>
                        <a:ext uri="{28A0092B-C50C-407E-A947-70E740481C1C}">
                          <a14:useLocalDpi xmlns:a14="http://schemas.microsoft.com/office/drawing/2010/main" val="0"/>
                        </a:ext>
                      </a:extLst>
                    </a:blip>
                    <a:srcRect t="32411"/>
                    <a:stretch/>
                  </pic:blipFill>
                  <pic:spPr bwMode="auto">
                    <a:xfrm>
                      <a:off x="0" y="0"/>
                      <a:ext cx="5943600" cy="2840355"/>
                    </a:xfrm>
                    <a:prstGeom prst="rect">
                      <a:avLst/>
                    </a:prstGeom>
                    <a:ln>
                      <a:noFill/>
                    </a:ln>
                    <a:extLst>
                      <a:ext uri="{53640926-AAD7-44D8-BBD7-CCE9431645EC}">
                        <a14:shadowObscured xmlns:a14="http://schemas.microsoft.com/office/drawing/2010/main"/>
                      </a:ext>
                    </a:extLst>
                  </pic:spPr>
                </pic:pic>
              </a:graphicData>
            </a:graphic>
          </wp:inline>
        </w:drawing>
      </w:r>
    </w:p>
    <w:p w14:paraId="34615971" w14:textId="77777777" w:rsidR="00EE0150" w:rsidRDefault="00EE0150" w:rsidP="00EE0150">
      <w:pPr>
        <w:pStyle w:val="Caption"/>
      </w:pPr>
      <w:r>
        <w:t>Figure S2   Local Authority Census 2011 Classification (left panel). Single tier versus Two tier local government structure (right panel). The area of each local authority has been scaled relative to the number of people renting privately (Census 2011).</w:t>
      </w:r>
    </w:p>
    <w:p w14:paraId="15B11E6B" w14:textId="77777777" w:rsidR="00EE0150" w:rsidRDefault="00EE0150" w:rsidP="00EE0150"/>
    <w:p w14:paraId="46E8A498" w14:textId="77777777" w:rsidR="00EE0150" w:rsidRDefault="00EE0150" w:rsidP="00EE0150"/>
    <w:p w14:paraId="65FF3E1F" w14:textId="77777777" w:rsidR="00EE0150" w:rsidRDefault="00EE0150" w:rsidP="00EE0150">
      <w:r>
        <w:rPr>
          <w:noProof/>
          <w14:ligatures w14:val="standardContextual"/>
        </w:rPr>
        <w:drawing>
          <wp:inline distT="0" distB="0" distL="0" distR="0" wp14:anchorId="6004CA86" wp14:editId="32DA5CBC">
            <wp:extent cx="5141343" cy="3427562"/>
            <wp:effectExtent l="0" t="0" r="2540" b="1905"/>
            <wp:docPr id="548130938"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30938" name="Picture 3" descr="A screenshot of a graph&#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152156" cy="3434771"/>
                    </a:xfrm>
                    <a:prstGeom prst="rect">
                      <a:avLst/>
                    </a:prstGeom>
                  </pic:spPr>
                </pic:pic>
              </a:graphicData>
            </a:graphic>
          </wp:inline>
        </w:drawing>
      </w:r>
    </w:p>
    <w:p w14:paraId="0BFF227A" w14:textId="77777777" w:rsidR="00EE0150" w:rsidRDefault="00EE0150" w:rsidP="00EE0150">
      <w:pPr>
        <w:pStyle w:val="Caption"/>
      </w:pPr>
      <w:r>
        <w:t>Figure S3   Proportion of local authorities adopting Selective Licensing, 2006-2019, across government regions (top left panel), Local Authority Census 2011 Classification supergroups (top right), Proportion of population in receipt of income support quintiles in 2012 (bottom left), and Local government structure (bottom right).</w:t>
      </w:r>
    </w:p>
    <w:p w14:paraId="55DA556C" w14:textId="77777777" w:rsidR="00EE0150" w:rsidRDefault="00EE0150" w:rsidP="00EE0150">
      <w:pPr>
        <w:pStyle w:val="Caption"/>
      </w:pPr>
    </w:p>
    <w:p w14:paraId="340BE56E" w14:textId="77777777" w:rsidR="00EE0150" w:rsidRDefault="00EE0150" w:rsidP="00EE0150">
      <w:pPr>
        <w:pStyle w:val="Caption"/>
      </w:pPr>
      <w:r>
        <w:rPr>
          <w:noProof/>
          <w14:ligatures w14:val="standardContextual"/>
        </w:rPr>
        <w:drawing>
          <wp:inline distT="0" distB="0" distL="0" distR="0" wp14:anchorId="7E245AE8" wp14:editId="0F083BE6">
            <wp:extent cx="5183145" cy="3453618"/>
            <wp:effectExtent l="0" t="0" r="0" b="0"/>
            <wp:docPr id="2134139243"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39243" name="Picture 1" descr="A graph with numbers and lin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40114" cy="3491577"/>
                    </a:xfrm>
                    <a:prstGeom prst="rect">
                      <a:avLst/>
                    </a:prstGeom>
                  </pic:spPr>
                </pic:pic>
              </a:graphicData>
            </a:graphic>
          </wp:inline>
        </w:drawing>
      </w:r>
    </w:p>
    <w:p w14:paraId="74F3B815" w14:textId="5BA42C6F" w:rsidR="00EE0150" w:rsidRDefault="00EE0150" w:rsidP="00F666DF">
      <w:pPr>
        <w:pStyle w:val="Caption"/>
      </w:pPr>
      <w:r>
        <w:t xml:space="preserve">Figure S4   </w:t>
      </w:r>
      <w:r w:rsidRPr="00857302">
        <w:t>Cumulative frequency of local authorities adopting Selective Licensing</w:t>
      </w:r>
      <w:r w:rsidRPr="00A436EB">
        <w:t xml:space="preserve"> </w:t>
      </w:r>
      <w:r>
        <w:t>overall and by political party with most seats</w:t>
      </w:r>
      <w:r w:rsidRPr="00857302">
        <w:t xml:space="preserve"> between 2006 and 2019.</w:t>
      </w:r>
    </w:p>
    <w:sectPr w:rsidR="00EE0150">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F138B" w14:textId="77777777" w:rsidR="00893BA7" w:rsidRDefault="00893BA7" w:rsidP="006E21AC">
      <w:pPr>
        <w:spacing w:after="0" w:line="240" w:lineRule="auto"/>
      </w:pPr>
      <w:r>
        <w:separator/>
      </w:r>
    </w:p>
  </w:endnote>
  <w:endnote w:type="continuationSeparator" w:id="0">
    <w:p w14:paraId="7E7693C5" w14:textId="77777777" w:rsidR="00893BA7" w:rsidRDefault="00893BA7" w:rsidP="006E2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0846997"/>
      <w:docPartObj>
        <w:docPartGallery w:val="Page Numbers (Bottom of Page)"/>
        <w:docPartUnique/>
      </w:docPartObj>
    </w:sdtPr>
    <w:sdtEndPr>
      <w:rPr>
        <w:noProof/>
      </w:rPr>
    </w:sdtEndPr>
    <w:sdtContent>
      <w:p w14:paraId="6BEAB42F" w14:textId="42B85B9E" w:rsidR="006E21AC" w:rsidRDefault="006E21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31CAFA" w14:textId="77777777" w:rsidR="006E21AC" w:rsidRDefault="006E2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D7BE9" w14:textId="77777777" w:rsidR="00893BA7" w:rsidRDefault="00893BA7" w:rsidP="006E21AC">
      <w:pPr>
        <w:spacing w:after="0" w:line="240" w:lineRule="auto"/>
      </w:pPr>
      <w:r>
        <w:separator/>
      </w:r>
    </w:p>
  </w:footnote>
  <w:footnote w:type="continuationSeparator" w:id="0">
    <w:p w14:paraId="093EDDE3" w14:textId="77777777" w:rsidR="00893BA7" w:rsidRDefault="00893BA7" w:rsidP="006E21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7169C"/>
    <w:multiLevelType w:val="hybridMultilevel"/>
    <w:tmpl w:val="7C02E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C05BFC"/>
    <w:multiLevelType w:val="hybridMultilevel"/>
    <w:tmpl w:val="6678A688"/>
    <w:lvl w:ilvl="0" w:tplc="74BCEF34">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9CD189"/>
    <w:multiLevelType w:val="hybridMultilevel"/>
    <w:tmpl w:val="E1FC1074"/>
    <w:lvl w:ilvl="0" w:tplc="B774744A">
      <w:start w:val="1"/>
      <w:numFmt w:val="decimal"/>
      <w:lvlText w:val="%1."/>
      <w:lvlJc w:val="left"/>
      <w:pPr>
        <w:ind w:left="720" w:hanging="360"/>
      </w:pPr>
    </w:lvl>
    <w:lvl w:ilvl="1" w:tplc="AF5E1A60">
      <w:start w:val="1"/>
      <w:numFmt w:val="lowerLetter"/>
      <w:lvlText w:val="%2."/>
      <w:lvlJc w:val="left"/>
      <w:pPr>
        <w:ind w:left="1440" w:hanging="360"/>
      </w:pPr>
    </w:lvl>
    <w:lvl w:ilvl="2" w:tplc="1B1A142A">
      <w:start w:val="1"/>
      <w:numFmt w:val="lowerRoman"/>
      <w:lvlText w:val="%3."/>
      <w:lvlJc w:val="right"/>
      <w:pPr>
        <w:ind w:left="2160" w:hanging="180"/>
      </w:pPr>
    </w:lvl>
    <w:lvl w:ilvl="3" w:tplc="0FF23496">
      <w:start w:val="1"/>
      <w:numFmt w:val="decimal"/>
      <w:lvlText w:val="%4."/>
      <w:lvlJc w:val="left"/>
      <w:pPr>
        <w:ind w:left="2880" w:hanging="360"/>
      </w:pPr>
    </w:lvl>
    <w:lvl w:ilvl="4" w:tplc="B53C4DEC">
      <w:start w:val="1"/>
      <w:numFmt w:val="lowerLetter"/>
      <w:lvlText w:val="%5."/>
      <w:lvlJc w:val="left"/>
      <w:pPr>
        <w:ind w:left="3600" w:hanging="360"/>
      </w:pPr>
    </w:lvl>
    <w:lvl w:ilvl="5" w:tplc="BED47F6E">
      <w:start w:val="1"/>
      <w:numFmt w:val="lowerRoman"/>
      <w:lvlText w:val="%6."/>
      <w:lvlJc w:val="right"/>
      <w:pPr>
        <w:ind w:left="4320" w:hanging="180"/>
      </w:pPr>
    </w:lvl>
    <w:lvl w:ilvl="6" w:tplc="2B8CEEA4">
      <w:start w:val="1"/>
      <w:numFmt w:val="decimal"/>
      <w:lvlText w:val="%7."/>
      <w:lvlJc w:val="left"/>
      <w:pPr>
        <w:ind w:left="5040" w:hanging="360"/>
      </w:pPr>
    </w:lvl>
    <w:lvl w:ilvl="7" w:tplc="D1C652CE">
      <w:start w:val="1"/>
      <w:numFmt w:val="lowerLetter"/>
      <w:lvlText w:val="%8."/>
      <w:lvlJc w:val="left"/>
      <w:pPr>
        <w:ind w:left="5760" w:hanging="360"/>
      </w:pPr>
    </w:lvl>
    <w:lvl w:ilvl="8" w:tplc="2E7224E6">
      <w:start w:val="1"/>
      <w:numFmt w:val="lowerRoman"/>
      <w:lvlText w:val="%9."/>
      <w:lvlJc w:val="right"/>
      <w:pPr>
        <w:ind w:left="6480" w:hanging="180"/>
      </w:pPr>
    </w:lvl>
  </w:abstractNum>
  <w:abstractNum w:abstractNumId="3" w15:restartNumberingAfterBreak="0">
    <w:nsid w:val="6D756BC6"/>
    <w:multiLevelType w:val="hybridMultilevel"/>
    <w:tmpl w:val="B66A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6114EF"/>
    <w:multiLevelType w:val="hybridMultilevel"/>
    <w:tmpl w:val="7D163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570E28"/>
    <w:multiLevelType w:val="hybridMultilevel"/>
    <w:tmpl w:val="76E46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98144764">
    <w:abstractNumId w:val="1"/>
  </w:num>
  <w:num w:numId="2" w16cid:durableId="235288828">
    <w:abstractNumId w:val="2"/>
  </w:num>
  <w:num w:numId="3" w16cid:durableId="1279482899">
    <w:abstractNumId w:val="5"/>
  </w:num>
  <w:num w:numId="4" w16cid:durableId="1913468642">
    <w:abstractNumId w:val="4"/>
  </w:num>
  <w:num w:numId="5" w16cid:durableId="260725258">
    <w:abstractNumId w:val="3"/>
  </w:num>
  <w:num w:numId="6" w16cid:durableId="1365473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BAD"/>
    <w:rsid w:val="000367EA"/>
    <w:rsid w:val="00087A17"/>
    <w:rsid w:val="001566C1"/>
    <w:rsid w:val="001740B5"/>
    <w:rsid w:val="002D13A0"/>
    <w:rsid w:val="003375A8"/>
    <w:rsid w:val="0037450E"/>
    <w:rsid w:val="0040421E"/>
    <w:rsid w:val="00441F51"/>
    <w:rsid w:val="00487B26"/>
    <w:rsid w:val="004C4212"/>
    <w:rsid w:val="005C128C"/>
    <w:rsid w:val="005F23EC"/>
    <w:rsid w:val="0066320E"/>
    <w:rsid w:val="00682C91"/>
    <w:rsid w:val="006B2E72"/>
    <w:rsid w:val="006E21AC"/>
    <w:rsid w:val="00700C54"/>
    <w:rsid w:val="00721DF0"/>
    <w:rsid w:val="00730AB1"/>
    <w:rsid w:val="00791010"/>
    <w:rsid w:val="00791868"/>
    <w:rsid w:val="007F4BA8"/>
    <w:rsid w:val="00870D79"/>
    <w:rsid w:val="00893BA7"/>
    <w:rsid w:val="008F2B85"/>
    <w:rsid w:val="00914D85"/>
    <w:rsid w:val="00953E75"/>
    <w:rsid w:val="009A76DC"/>
    <w:rsid w:val="009E3A4E"/>
    <w:rsid w:val="009E5A46"/>
    <w:rsid w:val="00A613E2"/>
    <w:rsid w:val="00A619D3"/>
    <w:rsid w:val="00B11198"/>
    <w:rsid w:val="00B25BAD"/>
    <w:rsid w:val="00B92BEB"/>
    <w:rsid w:val="00B95170"/>
    <w:rsid w:val="00BA5ADC"/>
    <w:rsid w:val="00BC3047"/>
    <w:rsid w:val="00C0778C"/>
    <w:rsid w:val="00C115C3"/>
    <w:rsid w:val="00C5567B"/>
    <w:rsid w:val="00C74F27"/>
    <w:rsid w:val="00C77E1B"/>
    <w:rsid w:val="00C82FFA"/>
    <w:rsid w:val="00CD7D75"/>
    <w:rsid w:val="00CE0241"/>
    <w:rsid w:val="00CE0C15"/>
    <w:rsid w:val="00CF1154"/>
    <w:rsid w:val="00D66D92"/>
    <w:rsid w:val="00D95792"/>
    <w:rsid w:val="00DB746A"/>
    <w:rsid w:val="00DD6846"/>
    <w:rsid w:val="00E31F21"/>
    <w:rsid w:val="00E428E5"/>
    <w:rsid w:val="00E6661D"/>
    <w:rsid w:val="00E97C5E"/>
    <w:rsid w:val="00EB23A8"/>
    <w:rsid w:val="00EE0150"/>
    <w:rsid w:val="00EE15BD"/>
    <w:rsid w:val="00F666DF"/>
    <w:rsid w:val="00F70B75"/>
    <w:rsid w:val="00F92040"/>
    <w:rsid w:val="00FD7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B92B0"/>
  <w15:chartTrackingRefBased/>
  <w15:docId w15:val="{B588BFF2-82A3-442F-9747-970D4A6D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BAD"/>
    <w:rPr>
      <w:kern w:val="0"/>
      <w:lang w:val="en-GB"/>
      <w14:ligatures w14:val="none"/>
    </w:rPr>
  </w:style>
  <w:style w:type="paragraph" w:styleId="Heading1">
    <w:name w:val="heading 1"/>
    <w:basedOn w:val="Normal"/>
    <w:next w:val="Normal"/>
    <w:link w:val="Heading1Char"/>
    <w:uiPriority w:val="9"/>
    <w:qFormat/>
    <w:rsid w:val="00B25B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5B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25B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5B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5B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5B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5B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B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5B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BAD"/>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B25BAD"/>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B25BAD"/>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B25BAD"/>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B25BAD"/>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B25BAD"/>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B25BAD"/>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B25BAD"/>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25BAD"/>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B25B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5BAD"/>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25B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5BAD"/>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25BAD"/>
    <w:pPr>
      <w:spacing w:before="160"/>
      <w:jc w:val="center"/>
    </w:pPr>
    <w:rPr>
      <w:i/>
      <w:iCs/>
      <w:color w:val="404040" w:themeColor="text1" w:themeTint="BF"/>
    </w:rPr>
  </w:style>
  <w:style w:type="character" w:customStyle="1" w:styleId="QuoteChar">
    <w:name w:val="Quote Char"/>
    <w:basedOn w:val="DefaultParagraphFont"/>
    <w:link w:val="Quote"/>
    <w:uiPriority w:val="29"/>
    <w:rsid w:val="00B25BAD"/>
    <w:rPr>
      <w:i/>
      <w:iCs/>
      <w:color w:val="404040" w:themeColor="text1" w:themeTint="BF"/>
      <w:lang w:val="en-GB"/>
    </w:rPr>
  </w:style>
  <w:style w:type="paragraph" w:styleId="ListParagraph">
    <w:name w:val="List Paragraph"/>
    <w:basedOn w:val="Normal"/>
    <w:uiPriority w:val="34"/>
    <w:qFormat/>
    <w:rsid w:val="00B25BAD"/>
    <w:pPr>
      <w:ind w:left="720"/>
      <w:contextualSpacing/>
    </w:pPr>
  </w:style>
  <w:style w:type="character" w:styleId="IntenseEmphasis">
    <w:name w:val="Intense Emphasis"/>
    <w:basedOn w:val="DefaultParagraphFont"/>
    <w:uiPriority w:val="21"/>
    <w:qFormat/>
    <w:rsid w:val="00B25BAD"/>
    <w:rPr>
      <w:i/>
      <w:iCs/>
      <w:color w:val="0F4761" w:themeColor="accent1" w:themeShade="BF"/>
    </w:rPr>
  </w:style>
  <w:style w:type="paragraph" w:styleId="IntenseQuote">
    <w:name w:val="Intense Quote"/>
    <w:basedOn w:val="Normal"/>
    <w:next w:val="Normal"/>
    <w:link w:val="IntenseQuoteChar"/>
    <w:uiPriority w:val="30"/>
    <w:qFormat/>
    <w:rsid w:val="00B25B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5BAD"/>
    <w:rPr>
      <w:i/>
      <w:iCs/>
      <w:color w:val="0F4761" w:themeColor="accent1" w:themeShade="BF"/>
      <w:lang w:val="en-GB"/>
    </w:rPr>
  </w:style>
  <w:style w:type="character" w:styleId="IntenseReference">
    <w:name w:val="Intense Reference"/>
    <w:basedOn w:val="DefaultParagraphFont"/>
    <w:uiPriority w:val="32"/>
    <w:qFormat/>
    <w:rsid w:val="00B25BAD"/>
    <w:rPr>
      <w:b/>
      <w:bCs/>
      <w:smallCaps/>
      <w:color w:val="0F4761" w:themeColor="accent1" w:themeShade="BF"/>
      <w:spacing w:val="5"/>
    </w:rPr>
  </w:style>
  <w:style w:type="character" w:styleId="Hyperlink">
    <w:name w:val="Hyperlink"/>
    <w:basedOn w:val="DefaultParagraphFont"/>
    <w:uiPriority w:val="99"/>
    <w:unhideWhenUsed/>
    <w:rsid w:val="0037450E"/>
    <w:rPr>
      <w:color w:val="467886" w:themeColor="hyperlink"/>
      <w:u w:val="single"/>
    </w:rPr>
  </w:style>
  <w:style w:type="character" w:styleId="UnresolvedMention">
    <w:name w:val="Unresolved Mention"/>
    <w:basedOn w:val="DefaultParagraphFont"/>
    <w:uiPriority w:val="99"/>
    <w:semiHidden/>
    <w:unhideWhenUsed/>
    <w:rsid w:val="0037450E"/>
    <w:rPr>
      <w:color w:val="605E5C"/>
      <w:shd w:val="clear" w:color="auto" w:fill="E1DFDD"/>
    </w:rPr>
  </w:style>
  <w:style w:type="character" w:styleId="CommentReference">
    <w:name w:val="annotation reference"/>
    <w:basedOn w:val="DefaultParagraphFont"/>
    <w:uiPriority w:val="99"/>
    <w:semiHidden/>
    <w:unhideWhenUsed/>
    <w:rsid w:val="00EE0150"/>
    <w:rPr>
      <w:sz w:val="16"/>
      <w:szCs w:val="16"/>
    </w:rPr>
  </w:style>
  <w:style w:type="paragraph" w:styleId="CommentText">
    <w:name w:val="annotation text"/>
    <w:basedOn w:val="Normal"/>
    <w:link w:val="CommentTextChar"/>
    <w:uiPriority w:val="99"/>
    <w:unhideWhenUsed/>
    <w:rsid w:val="00EE0150"/>
    <w:pPr>
      <w:spacing w:line="240" w:lineRule="auto"/>
    </w:pPr>
    <w:rPr>
      <w:sz w:val="20"/>
      <w:szCs w:val="20"/>
    </w:rPr>
  </w:style>
  <w:style w:type="character" w:customStyle="1" w:styleId="CommentTextChar">
    <w:name w:val="Comment Text Char"/>
    <w:basedOn w:val="DefaultParagraphFont"/>
    <w:link w:val="CommentText"/>
    <w:uiPriority w:val="99"/>
    <w:rsid w:val="00EE0150"/>
    <w:rPr>
      <w:kern w:val="0"/>
      <w:sz w:val="20"/>
      <w:szCs w:val="20"/>
      <w:lang w:val="en-GB"/>
      <w14:ligatures w14:val="none"/>
    </w:rPr>
  </w:style>
  <w:style w:type="paragraph" w:styleId="Caption">
    <w:name w:val="caption"/>
    <w:basedOn w:val="Normal"/>
    <w:next w:val="Normal"/>
    <w:uiPriority w:val="35"/>
    <w:unhideWhenUsed/>
    <w:qFormat/>
    <w:rsid w:val="00EE0150"/>
    <w:pPr>
      <w:spacing w:after="200" w:line="240" w:lineRule="auto"/>
    </w:pPr>
    <w:rPr>
      <w:i/>
      <w:iCs/>
      <w:color w:val="0E2841" w:themeColor="text2"/>
      <w:sz w:val="18"/>
      <w:szCs w:val="18"/>
    </w:rPr>
  </w:style>
  <w:style w:type="table" w:styleId="TableGrid">
    <w:name w:val="Table Grid"/>
    <w:basedOn w:val="TableNormal"/>
    <w:uiPriority w:val="39"/>
    <w:rsid w:val="00EE0150"/>
    <w:pPr>
      <w:spacing w:after="0" w:line="240" w:lineRule="auto"/>
    </w:pPr>
    <w:rPr>
      <w:rFonts w:eastAsiaTheme="minorEastAsia"/>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E0150"/>
    <w:rPr>
      <w:color w:val="96607D" w:themeColor="followedHyperlink"/>
      <w:u w:val="single"/>
    </w:rPr>
  </w:style>
  <w:style w:type="paragraph" w:styleId="NoSpacing">
    <w:name w:val="No Spacing"/>
    <w:uiPriority w:val="1"/>
    <w:qFormat/>
    <w:rsid w:val="00EE0150"/>
    <w:pPr>
      <w:spacing w:after="0" w:line="240" w:lineRule="auto"/>
    </w:pPr>
    <w:rPr>
      <w:rFonts w:ascii="Calibri" w:eastAsia="Times New Roman" w:hAnsi="Calibri" w:cs="Times New Roman"/>
      <w:kern w:val="0"/>
      <w:lang w:val="en-GB" w:eastAsia="en-GB"/>
      <w14:ligatures w14:val="none"/>
    </w:rPr>
  </w:style>
  <w:style w:type="paragraph" w:styleId="Bibliography">
    <w:name w:val="Bibliography"/>
    <w:basedOn w:val="Normal"/>
    <w:next w:val="Normal"/>
    <w:uiPriority w:val="37"/>
    <w:unhideWhenUsed/>
    <w:rsid w:val="00EE0150"/>
    <w:pPr>
      <w:spacing w:after="240" w:line="240" w:lineRule="auto"/>
      <w:ind w:left="720" w:hanging="720"/>
    </w:pPr>
  </w:style>
  <w:style w:type="paragraph" w:styleId="FootnoteText">
    <w:name w:val="footnote text"/>
    <w:basedOn w:val="Normal"/>
    <w:link w:val="FootnoteTextChar"/>
    <w:uiPriority w:val="99"/>
    <w:semiHidden/>
    <w:unhideWhenUsed/>
    <w:rsid w:val="00EE01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0150"/>
    <w:rPr>
      <w:kern w:val="0"/>
      <w:sz w:val="20"/>
      <w:szCs w:val="20"/>
      <w:lang w:val="en-GB"/>
      <w14:ligatures w14:val="none"/>
    </w:rPr>
  </w:style>
  <w:style w:type="character" w:styleId="FootnoteReference">
    <w:name w:val="footnote reference"/>
    <w:basedOn w:val="DefaultParagraphFont"/>
    <w:uiPriority w:val="99"/>
    <w:semiHidden/>
    <w:unhideWhenUsed/>
    <w:rsid w:val="00EE0150"/>
    <w:rPr>
      <w:vertAlign w:val="superscript"/>
    </w:rPr>
  </w:style>
  <w:style w:type="character" w:styleId="LineNumber">
    <w:name w:val="line number"/>
    <w:basedOn w:val="DefaultParagraphFont"/>
    <w:uiPriority w:val="99"/>
    <w:semiHidden/>
    <w:unhideWhenUsed/>
    <w:rsid w:val="00EE0150"/>
  </w:style>
  <w:style w:type="paragraph" w:styleId="Header">
    <w:name w:val="header"/>
    <w:basedOn w:val="Normal"/>
    <w:link w:val="HeaderChar"/>
    <w:uiPriority w:val="99"/>
    <w:unhideWhenUsed/>
    <w:rsid w:val="00EE01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150"/>
    <w:rPr>
      <w:kern w:val="0"/>
      <w:lang w:val="en-GB"/>
      <w14:ligatures w14:val="none"/>
    </w:rPr>
  </w:style>
  <w:style w:type="paragraph" w:styleId="Footer">
    <w:name w:val="footer"/>
    <w:basedOn w:val="Normal"/>
    <w:link w:val="FooterChar"/>
    <w:uiPriority w:val="99"/>
    <w:unhideWhenUsed/>
    <w:rsid w:val="00EE0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150"/>
    <w:rPr>
      <w:kern w:val="0"/>
      <w:lang w:val="en-GB"/>
      <w14:ligatures w14:val="none"/>
    </w:rPr>
  </w:style>
  <w:style w:type="paragraph" w:styleId="Revision">
    <w:name w:val="Revision"/>
    <w:hidden/>
    <w:uiPriority w:val="99"/>
    <w:semiHidden/>
    <w:rsid w:val="00EE0150"/>
    <w:pPr>
      <w:spacing w:after="0" w:line="240" w:lineRule="auto"/>
    </w:pPr>
    <w:rPr>
      <w:kern w:val="0"/>
      <w:lang w:val="en-GB"/>
      <w14:ligatures w14:val="none"/>
    </w:rPr>
  </w:style>
  <w:style w:type="paragraph" w:styleId="CommentSubject">
    <w:name w:val="annotation subject"/>
    <w:basedOn w:val="CommentText"/>
    <w:next w:val="CommentText"/>
    <w:link w:val="CommentSubjectChar"/>
    <w:uiPriority w:val="99"/>
    <w:semiHidden/>
    <w:unhideWhenUsed/>
    <w:rsid w:val="00EE0150"/>
    <w:rPr>
      <w:b/>
      <w:bCs/>
    </w:rPr>
  </w:style>
  <w:style w:type="character" w:customStyle="1" w:styleId="CommentSubjectChar">
    <w:name w:val="Comment Subject Char"/>
    <w:basedOn w:val="CommentTextChar"/>
    <w:link w:val="CommentSubject"/>
    <w:uiPriority w:val="99"/>
    <w:semiHidden/>
    <w:rsid w:val="00EE0150"/>
    <w:rPr>
      <w:b/>
      <w:bCs/>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ie.fahy2@liverpool.ac.uk" TargetMode="External"/><Relationship Id="rId18" Type="http://schemas.openxmlformats.org/officeDocument/2006/relationships/hyperlink" Target="mailto:maureen.seguin@lshtm.ac.uk" TargetMode="External"/><Relationship Id="rId26" Type="http://schemas.openxmlformats.org/officeDocument/2006/relationships/image" Target="media/image4.tif"/><Relationship Id="rId3" Type="http://schemas.openxmlformats.org/officeDocument/2006/relationships/customXml" Target="../customXml/item3.xml"/><Relationship Id="rId21" Type="http://schemas.openxmlformats.org/officeDocument/2006/relationships/hyperlink" Target="mailto:frank.devocht@bristol.ac.uk" TargetMode="External"/><Relationship Id="rId7" Type="http://schemas.openxmlformats.org/officeDocument/2006/relationships/settings" Target="settings.xml"/><Relationship Id="rId12" Type="http://schemas.openxmlformats.org/officeDocument/2006/relationships/hyperlink" Target="mailto:a.alexiou@panteion.gr" TargetMode="External"/><Relationship Id="rId17" Type="http://schemas.openxmlformats.org/officeDocument/2006/relationships/hyperlink" Target="mailto:rosemmcdonald@yahoo.com" TargetMode="External"/><Relationship Id="rId25"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hyperlink" Target="mailto:dalya.marks@lshtm.ac.uk" TargetMode="External"/><Relationship Id="rId20" Type="http://schemas.openxmlformats.org/officeDocument/2006/relationships/hyperlink" Target="mailto:rspencer@ch1889.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kob.petersen2@lshtm.ac.uk" TargetMode="External"/><Relationship Id="rId24" Type="http://schemas.openxmlformats.org/officeDocument/2006/relationships/image" Target="media/image2.tiff"/><Relationship Id="rId5" Type="http://schemas.openxmlformats.org/officeDocument/2006/relationships/numbering" Target="numbering.xml"/><Relationship Id="rId15" Type="http://schemas.openxmlformats.org/officeDocument/2006/relationships/hyperlink" Target="mailto:k.janke@lancaster.ac.uk" TargetMode="External"/><Relationship Id="rId23" Type="http://schemas.openxmlformats.org/officeDocument/2006/relationships/image" Target="media/image1.tif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l.stewart@greenwich.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bbie.humphry@lshtm.ac.uk" TargetMode="External"/><Relationship Id="rId22" Type="http://schemas.openxmlformats.org/officeDocument/2006/relationships/hyperlink" Target="mailto:matt.egan@lshtm.ac.uk" TargetMode="External"/><Relationship Id="rId27" Type="http://schemas.openxmlformats.org/officeDocument/2006/relationships/image" Target="media/image5.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da6097-c990-4952-aec3-127f2ffe4d6c" xsi:nil="true"/>
    <Visibility xmlns="6a164dda-3779-4169-b957-e287451f6523">Internal</Visibility>
    <lcf76f155ced4ddcb4097134ff3c332f xmlns="a98b2455-6aba-4669-95e8-2ed20e67ba3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8207403b-203c-4ed3-95cd-88a852189123" ContentTypeId="0x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3F3397A85C51E141AD16814F2B264AB0" ma:contentTypeVersion="16" ma:contentTypeDescription="Create a new document." ma:contentTypeScope="" ma:versionID="0178d3c009f5cc5dd38172ce9a55dbcf">
  <xsd:schema xmlns:xsd="http://www.w3.org/2001/XMLSchema" xmlns:xs="http://www.w3.org/2001/XMLSchema" xmlns:p="http://schemas.microsoft.com/office/2006/metadata/properties" xmlns:ns2="6a164dda-3779-4169-b957-e287451f6523" xmlns:ns3="a98b2455-6aba-4669-95e8-2ed20e67ba34" xmlns:ns4="e4da6097-c990-4952-aec3-127f2ffe4d6c" targetNamespace="http://schemas.microsoft.com/office/2006/metadata/properties" ma:root="true" ma:fieldsID="d3850b50381cf0f44c9d92288660238f" ns2:_="" ns3:_="" ns4:_="">
    <xsd:import namespace="6a164dda-3779-4169-b957-e287451f6523"/>
    <xsd:import namespace="a98b2455-6aba-4669-95e8-2ed20e67ba34"/>
    <xsd:import namespace="e4da6097-c990-4952-aec3-127f2ffe4d6c"/>
    <xsd:element name="properties">
      <xsd:complexType>
        <xsd:sequence>
          <xsd:element name="documentManagement">
            <xsd:complexType>
              <xsd:all>
                <xsd:element ref="ns2:Visibility"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64dda-3779-4169-b957-e287451f6523" elementFormDefault="qualified">
    <xsd:import namespace="http://schemas.microsoft.com/office/2006/documentManagement/types"/>
    <xsd:import namespace="http://schemas.microsoft.com/office/infopath/2007/PartnerControls"/>
    <xsd:element name="Visibility" ma:index="2" nillable="true" ma:displayName="Visibility" ma:default="Internal" ma:description="Items that should be available externally should be marked &lt;strong&gt;External&lt;/strong&gt;" ma:format="RadioButtons" ma:internalName="Visibility">
      <xsd:simpleType>
        <xsd:restriction base="dms:Choice">
          <xsd:enumeration value="Internal"/>
          <xsd:enumeration value="External"/>
        </xsd:restriction>
      </xsd:simpleType>
    </xsd:element>
  </xsd:schema>
  <xsd:schema xmlns:xsd="http://www.w3.org/2001/XMLSchema" xmlns:xs="http://www.w3.org/2001/XMLSchema" xmlns:dms="http://schemas.microsoft.com/office/2006/documentManagement/types" xmlns:pc="http://schemas.microsoft.com/office/infopath/2007/PartnerControls" targetNamespace="a98b2455-6aba-4669-95e8-2ed20e67ba3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207403b-203c-4ed3-95cd-88a852189123"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da6097-c990-4952-aec3-127f2ffe4d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9801986-1d47-47ef-ae47-b7e906bb55a3}" ma:internalName="TaxCatchAll" ma:showField="CatchAllData" ma:web="e4da6097-c990-4952-aec3-127f2ffe4d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507D1-481B-4949-AEC1-16B16F7CA93D}">
  <ds:schemaRefs>
    <ds:schemaRef ds:uri="http://schemas.microsoft.com/office/2006/metadata/properties"/>
    <ds:schemaRef ds:uri="http://schemas.microsoft.com/office/infopath/2007/PartnerControls"/>
    <ds:schemaRef ds:uri="e4da6097-c990-4952-aec3-127f2ffe4d6c"/>
    <ds:schemaRef ds:uri="6a164dda-3779-4169-b957-e287451f6523"/>
    <ds:schemaRef ds:uri="a98b2455-6aba-4669-95e8-2ed20e67ba34"/>
  </ds:schemaRefs>
</ds:datastoreItem>
</file>

<file path=customXml/itemProps2.xml><?xml version="1.0" encoding="utf-8"?>
<ds:datastoreItem xmlns:ds="http://schemas.openxmlformats.org/officeDocument/2006/customXml" ds:itemID="{3123236E-AC6D-4404-876A-6265672E7AFB}">
  <ds:schemaRefs>
    <ds:schemaRef ds:uri="http://schemas.microsoft.com/sharepoint/v3/contenttype/forms"/>
  </ds:schemaRefs>
</ds:datastoreItem>
</file>

<file path=customXml/itemProps3.xml><?xml version="1.0" encoding="utf-8"?>
<ds:datastoreItem xmlns:ds="http://schemas.openxmlformats.org/officeDocument/2006/customXml" ds:itemID="{38ED05D8-F116-4F79-8BC4-7EE98C010678}">
  <ds:schemaRefs>
    <ds:schemaRef ds:uri="Microsoft.SharePoint.Taxonomy.ContentTypeSync"/>
  </ds:schemaRefs>
</ds:datastoreItem>
</file>

<file path=customXml/itemProps4.xml><?xml version="1.0" encoding="utf-8"?>
<ds:datastoreItem xmlns:ds="http://schemas.openxmlformats.org/officeDocument/2006/customXml" ds:itemID="{7573787F-8FA7-4BEE-97AF-A50E1E914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64dda-3779-4169-b957-e287451f6523"/>
    <ds:schemaRef ds:uri="a98b2455-6aba-4669-95e8-2ed20e67ba34"/>
    <ds:schemaRef ds:uri="e4da6097-c990-4952-aec3-127f2ffe4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35039</Words>
  <Characters>199723</Characters>
  <Application>Microsoft Office Word</Application>
  <DocSecurity>4</DocSecurity>
  <Lines>1664</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Petersen</dc:creator>
  <cp:keywords/>
  <dc:description/>
  <cp:lastModifiedBy>Janke, Katharina</cp:lastModifiedBy>
  <cp:revision>2</cp:revision>
  <dcterms:created xsi:type="dcterms:W3CDTF">2026-01-16T14:27:00Z</dcterms:created>
  <dcterms:modified xsi:type="dcterms:W3CDTF">2026-01-16T14:27:00Z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0x0101003F3397A85C51E141AD16814F2B264AB0</vt:lpwstr>
  </property>
</Properties>
</file>