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0407D" w14:textId="00C66658" w:rsidR="00A8666E" w:rsidRPr="00D7648A" w:rsidRDefault="000055A5" w:rsidP="00FD6C10">
      <w:pPr>
        <w:jc w:val="center"/>
        <w:rPr>
          <w:rFonts w:ascii="Garamond" w:hAnsi="Garamond"/>
          <w:b/>
          <w:bCs/>
          <w:sz w:val="22"/>
          <w:szCs w:val="22"/>
        </w:rPr>
      </w:pPr>
      <w:r w:rsidRPr="00D7648A">
        <w:rPr>
          <w:rFonts w:ascii="Garamond" w:hAnsi="Garamond"/>
          <w:b/>
          <w:bCs/>
          <w:sz w:val="22"/>
          <w:szCs w:val="22"/>
        </w:rPr>
        <w:t>Ethical Data Management and Sharing in UTx – Reflections and Recommendations</w:t>
      </w:r>
    </w:p>
    <w:p w14:paraId="5650F9B0" w14:textId="77777777" w:rsidR="000055A5" w:rsidRPr="00D7648A" w:rsidRDefault="000055A5" w:rsidP="00FD6C10">
      <w:pPr>
        <w:jc w:val="center"/>
        <w:rPr>
          <w:rFonts w:ascii="Garamond" w:hAnsi="Garamond"/>
          <w:b/>
          <w:bCs/>
          <w:sz w:val="22"/>
          <w:szCs w:val="22"/>
        </w:rPr>
      </w:pPr>
    </w:p>
    <w:p w14:paraId="59538AE5" w14:textId="23380200" w:rsidR="00647D45" w:rsidRDefault="000055A5" w:rsidP="008A7312">
      <w:pPr>
        <w:jc w:val="center"/>
        <w:rPr>
          <w:rFonts w:ascii="Garamond" w:hAnsi="Garamond"/>
          <w:b/>
          <w:bCs/>
          <w:sz w:val="22"/>
          <w:szCs w:val="22"/>
        </w:rPr>
      </w:pPr>
      <w:r w:rsidRPr="00D7648A">
        <w:rPr>
          <w:rFonts w:ascii="Garamond" w:hAnsi="Garamond"/>
          <w:b/>
          <w:bCs/>
          <w:sz w:val="22"/>
          <w:szCs w:val="22"/>
        </w:rPr>
        <w:t xml:space="preserve">Dr Natasha Hammond-Browning and Dr Nicola </w:t>
      </w:r>
      <w:r w:rsidR="000D08E6">
        <w:rPr>
          <w:rFonts w:ascii="Garamond" w:hAnsi="Garamond"/>
          <w:b/>
          <w:bCs/>
          <w:sz w:val="22"/>
          <w:szCs w:val="22"/>
        </w:rPr>
        <w:t xml:space="preserve">J </w:t>
      </w:r>
      <w:r w:rsidRPr="00D7648A">
        <w:rPr>
          <w:rFonts w:ascii="Garamond" w:hAnsi="Garamond"/>
          <w:b/>
          <w:bCs/>
          <w:sz w:val="22"/>
          <w:szCs w:val="22"/>
        </w:rPr>
        <w:t>Williams</w:t>
      </w:r>
    </w:p>
    <w:p w14:paraId="18E6AB1C" w14:textId="5073E4F0" w:rsidR="00F47279" w:rsidRPr="00D7648A" w:rsidRDefault="00F47279" w:rsidP="008A7312">
      <w:pPr>
        <w:jc w:val="center"/>
        <w:rPr>
          <w:rFonts w:ascii="Garamond" w:hAnsi="Garamond"/>
          <w:b/>
          <w:bCs/>
          <w:sz w:val="22"/>
          <w:szCs w:val="22"/>
        </w:rPr>
      </w:pPr>
      <w:r>
        <w:rPr>
          <w:rFonts w:ascii="Garamond" w:hAnsi="Garamond"/>
          <w:b/>
          <w:bCs/>
          <w:sz w:val="22"/>
          <w:szCs w:val="22"/>
        </w:rPr>
        <w:t>Cardiff Law School, Cardiff University</w:t>
      </w:r>
      <w:r w:rsidR="0011370E">
        <w:rPr>
          <w:rFonts w:ascii="Garamond" w:hAnsi="Garamond"/>
          <w:b/>
          <w:bCs/>
          <w:sz w:val="22"/>
          <w:szCs w:val="22"/>
        </w:rPr>
        <w:t>, Wales, UK,</w:t>
      </w:r>
      <w:r>
        <w:rPr>
          <w:rFonts w:ascii="Garamond" w:hAnsi="Garamond"/>
          <w:b/>
          <w:bCs/>
          <w:sz w:val="22"/>
          <w:szCs w:val="22"/>
        </w:rPr>
        <w:t xml:space="preserve"> and </w:t>
      </w:r>
      <w:r w:rsidR="0011370E">
        <w:rPr>
          <w:rFonts w:ascii="Garamond" w:hAnsi="Garamond"/>
          <w:b/>
          <w:bCs/>
          <w:sz w:val="22"/>
          <w:szCs w:val="22"/>
        </w:rPr>
        <w:t xml:space="preserve">Department of Politics, Philosophy and Religion, </w:t>
      </w:r>
      <w:r>
        <w:rPr>
          <w:rFonts w:ascii="Garamond" w:hAnsi="Garamond"/>
          <w:b/>
          <w:bCs/>
          <w:sz w:val="22"/>
          <w:szCs w:val="22"/>
        </w:rPr>
        <w:t>Lancaster University</w:t>
      </w:r>
      <w:r w:rsidR="0011370E">
        <w:rPr>
          <w:rFonts w:ascii="Garamond" w:hAnsi="Garamond"/>
          <w:b/>
          <w:bCs/>
          <w:sz w:val="22"/>
          <w:szCs w:val="22"/>
        </w:rPr>
        <w:t>, UK</w:t>
      </w:r>
    </w:p>
    <w:p w14:paraId="4A271B6A" w14:textId="77777777" w:rsidR="00647D45" w:rsidRDefault="00647D45" w:rsidP="00FD6C10">
      <w:pPr>
        <w:jc w:val="both"/>
        <w:rPr>
          <w:rFonts w:ascii="Garamond" w:hAnsi="Garamond"/>
          <w:sz w:val="22"/>
          <w:szCs w:val="22"/>
        </w:rPr>
      </w:pPr>
    </w:p>
    <w:p w14:paraId="7DA975E7" w14:textId="77777777" w:rsidR="0030156B" w:rsidRPr="00F449A3" w:rsidRDefault="0030156B" w:rsidP="00FD6C10">
      <w:pPr>
        <w:jc w:val="both"/>
        <w:rPr>
          <w:rFonts w:ascii="Garamond" w:hAnsi="Garamond"/>
          <w:sz w:val="22"/>
          <w:szCs w:val="22"/>
        </w:rPr>
      </w:pPr>
    </w:p>
    <w:p w14:paraId="42D86712" w14:textId="2086D552" w:rsidR="002339D5" w:rsidRPr="00F449A3" w:rsidRDefault="00400C8F" w:rsidP="00FD6C10">
      <w:pPr>
        <w:jc w:val="both"/>
        <w:rPr>
          <w:rFonts w:ascii="Garamond" w:hAnsi="Garamond"/>
          <w:b/>
          <w:bCs/>
          <w:sz w:val="22"/>
          <w:szCs w:val="22"/>
        </w:rPr>
      </w:pPr>
      <w:r w:rsidRPr="00F449A3">
        <w:rPr>
          <w:rFonts w:ascii="Garamond" w:hAnsi="Garamond"/>
          <w:b/>
          <w:bCs/>
          <w:sz w:val="22"/>
          <w:szCs w:val="22"/>
        </w:rPr>
        <w:t>Abstract</w:t>
      </w:r>
      <w:r w:rsidR="009B7283" w:rsidRPr="00F449A3">
        <w:rPr>
          <w:rFonts w:ascii="Garamond" w:hAnsi="Garamond"/>
          <w:b/>
          <w:bCs/>
          <w:sz w:val="22"/>
          <w:szCs w:val="22"/>
        </w:rPr>
        <w:t>:</w:t>
      </w:r>
    </w:p>
    <w:p w14:paraId="1FFD0B74" w14:textId="15075F08" w:rsidR="0030156B" w:rsidRPr="00F449A3" w:rsidRDefault="0030156B" w:rsidP="00FD6C10">
      <w:pPr>
        <w:jc w:val="both"/>
        <w:rPr>
          <w:rFonts w:ascii="Garamond" w:hAnsi="Garamond"/>
          <w:sz w:val="22"/>
          <w:szCs w:val="22"/>
        </w:rPr>
      </w:pPr>
      <w:r w:rsidRPr="00F449A3">
        <w:rPr>
          <w:rFonts w:ascii="Garamond" w:hAnsi="Garamond"/>
          <w:sz w:val="22"/>
          <w:szCs w:val="22"/>
        </w:rPr>
        <w:t>In this chapter we explore the topic of data sharing in the context of uterus transplantation (UTx), and both the benefits and challenges that may arise from a commitment to data sharing in this arena. In section II we expl</w:t>
      </w:r>
      <w:r w:rsidR="3140E22E" w:rsidRPr="00F449A3">
        <w:rPr>
          <w:rFonts w:ascii="Garamond" w:hAnsi="Garamond"/>
          <w:sz w:val="22"/>
          <w:szCs w:val="22"/>
        </w:rPr>
        <w:t>ore</w:t>
      </w:r>
      <w:r w:rsidRPr="00F449A3">
        <w:rPr>
          <w:rFonts w:ascii="Garamond" w:hAnsi="Garamond"/>
          <w:sz w:val="22"/>
          <w:szCs w:val="22"/>
        </w:rPr>
        <w:t xml:space="preserve"> some of the benefits that may be produced through an open approach to data sharing and forward ethical arguments suggesting an obligation to share data absent compelling competing considerations. In section III, we </w:t>
      </w:r>
      <w:r w:rsidR="4825C47A" w:rsidRPr="00F449A3">
        <w:rPr>
          <w:rFonts w:ascii="Garamond" w:hAnsi="Garamond"/>
          <w:sz w:val="22"/>
          <w:szCs w:val="22"/>
        </w:rPr>
        <w:t>outline</w:t>
      </w:r>
      <w:r w:rsidRPr="00F449A3">
        <w:rPr>
          <w:rFonts w:ascii="Garamond" w:hAnsi="Garamond"/>
          <w:sz w:val="22"/>
          <w:szCs w:val="22"/>
        </w:rPr>
        <w:t xml:space="preserve"> several concerns that may be expressed regarding open data-sharing (e.g., worries regarding privacy, confidentiality, and fairness to researchers). In section IV we expl</w:t>
      </w:r>
      <w:r w:rsidR="3B21F4BC" w:rsidRPr="00F449A3">
        <w:rPr>
          <w:rFonts w:ascii="Garamond" w:hAnsi="Garamond"/>
          <w:sz w:val="22"/>
          <w:szCs w:val="22"/>
        </w:rPr>
        <w:t>ain</w:t>
      </w:r>
      <w:r w:rsidRPr="00F449A3">
        <w:rPr>
          <w:rFonts w:ascii="Garamond" w:hAnsi="Garamond"/>
          <w:sz w:val="22"/>
          <w:szCs w:val="22"/>
        </w:rPr>
        <w:t xml:space="preserve"> </w:t>
      </w:r>
      <w:r w:rsidRPr="00F449A3">
        <w:rPr>
          <w:rFonts w:ascii="Garamond" w:hAnsi="Garamond"/>
          <w:i/>
          <w:iCs/>
          <w:sz w:val="22"/>
          <w:szCs w:val="22"/>
        </w:rPr>
        <w:t xml:space="preserve">how </w:t>
      </w:r>
      <w:r w:rsidRPr="00F449A3">
        <w:rPr>
          <w:rFonts w:ascii="Garamond" w:hAnsi="Garamond"/>
          <w:sz w:val="22"/>
          <w:szCs w:val="22"/>
        </w:rPr>
        <w:t>data is currently shared by clinicians conducting research into UTx and discuss several concerns that may be raised regarding these practices. In section V we</w:t>
      </w:r>
      <w:r w:rsidR="32DCB28F" w:rsidRPr="00F449A3">
        <w:rPr>
          <w:rFonts w:ascii="Garamond" w:hAnsi="Garamond"/>
          <w:sz w:val="22"/>
          <w:szCs w:val="22"/>
        </w:rPr>
        <w:t xml:space="preserve"> then</w:t>
      </w:r>
      <w:r w:rsidRPr="00F449A3">
        <w:rPr>
          <w:rFonts w:ascii="Garamond" w:hAnsi="Garamond"/>
          <w:sz w:val="22"/>
          <w:szCs w:val="22"/>
        </w:rPr>
        <w:t xml:space="preserve"> discuss the way forward for data sharing in UTx, addressing the question of how data sharing practices may be improved in this context. </w:t>
      </w:r>
    </w:p>
    <w:p w14:paraId="02696651" w14:textId="77777777" w:rsidR="009B7283" w:rsidRPr="00F449A3" w:rsidRDefault="009B7283" w:rsidP="00FD6C10">
      <w:pPr>
        <w:jc w:val="both"/>
        <w:rPr>
          <w:rFonts w:ascii="Garamond" w:hAnsi="Garamond"/>
          <w:sz w:val="22"/>
          <w:szCs w:val="22"/>
        </w:rPr>
      </w:pPr>
    </w:p>
    <w:p w14:paraId="1E2CC69F" w14:textId="78ADAAF2" w:rsidR="00400C8F" w:rsidRPr="00F449A3" w:rsidRDefault="00400C8F" w:rsidP="00FD6C10">
      <w:pPr>
        <w:jc w:val="both"/>
        <w:rPr>
          <w:rFonts w:ascii="Garamond" w:hAnsi="Garamond"/>
          <w:sz w:val="22"/>
          <w:szCs w:val="22"/>
        </w:rPr>
      </w:pPr>
      <w:r w:rsidRPr="00F449A3">
        <w:rPr>
          <w:rFonts w:ascii="Garamond" w:hAnsi="Garamond"/>
          <w:b/>
          <w:bCs/>
          <w:sz w:val="22"/>
          <w:szCs w:val="22"/>
        </w:rPr>
        <w:t xml:space="preserve">Keywords: </w:t>
      </w:r>
      <w:r w:rsidRPr="00F449A3">
        <w:rPr>
          <w:rFonts w:ascii="Garamond" w:hAnsi="Garamond"/>
          <w:sz w:val="22"/>
          <w:szCs w:val="22"/>
        </w:rPr>
        <w:t>Uterus transplantation,</w:t>
      </w:r>
      <w:r w:rsidR="65844E0D" w:rsidRPr="00F449A3">
        <w:rPr>
          <w:rFonts w:ascii="Garamond" w:hAnsi="Garamond"/>
          <w:sz w:val="22"/>
          <w:szCs w:val="22"/>
        </w:rPr>
        <w:t xml:space="preserve"> ethics, law, open science, data</w:t>
      </w:r>
      <w:r w:rsidR="7DAD7142" w:rsidRPr="00F449A3">
        <w:rPr>
          <w:rFonts w:ascii="Garamond" w:hAnsi="Garamond"/>
          <w:sz w:val="22"/>
          <w:szCs w:val="22"/>
        </w:rPr>
        <w:t xml:space="preserve"> management and</w:t>
      </w:r>
      <w:r w:rsidR="65844E0D" w:rsidRPr="00F449A3">
        <w:rPr>
          <w:rFonts w:ascii="Garamond" w:hAnsi="Garamond"/>
          <w:sz w:val="22"/>
          <w:szCs w:val="22"/>
        </w:rPr>
        <w:t xml:space="preserve"> sharing, registry</w:t>
      </w:r>
      <w:r w:rsidR="00101B95" w:rsidRPr="00F449A3">
        <w:rPr>
          <w:rFonts w:ascii="Garamond" w:hAnsi="Garamond"/>
          <w:sz w:val="22"/>
          <w:szCs w:val="22"/>
        </w:rPr>
        <w:t xml:space="preserve"> </w:t>
      </w:r>
    </w:p>
    <w:p w14:paraId="6391BC75" w14:textId="77777777" w:rsidR="009B7283" w:rsidRPr="00F449A3" w:rsidRDefault="009B7283" w:rsidP="00FD6C10">
      <w:pPr>
        <w:jc w:val="both"/>
        <w:rPr>
          <w:rFonts w:ascii="Garamond" w:hAnsi="Garamond"/>
          <w:sz w:val="22"/>
          <w:szCs w:val="22"/>
        </w:rPr>
      </w:pPr>
    </w:p>
    <w:p w14:paraId="33F9D592" w14:textId="6C6DD5FB" w:rsidR="009D0845" w:rsidRPr="00F449A3" w:rsidRDefault="00901127" w:rsidP="00FD6C10">
      <w:pPr>
        <w:jc w:val="both"/>
        <w:rPr>
          <w:rFonts w:ascii="Garamond" w:hAnsi="Garamond"/>
          <w:b/>
          <w:bCs/>
          <w:sz w:val="22"/>
          <w:szCs w:val="22"/>
        </w:rPr>
      </w:pPr>
      <w:r w:rsidRPr="00F449A3">
        <w:rPr>
          <w:rFonts w:ascii="Garamond" w:hAnsi="Garamond"/>
          <w:b/>
          <w:bCs/>
          <w:sz w:val="22"/>
          <w:szCs w:val="22"/>
        </w:rPr>
        <w:t>ORCID ID:</w:t>
      </w:r>
    </w:p>
    <w:p w14:paraId="7FE198DB" w14:textId="06737FBC" w:rsidR="00901127" w:rsidRPr="00F449A3" w:rsidRDefault="00901127" w:rsidP="00FD6C10">
      <w:pPr>
        <w:jc w:val="both"/>
        <w:rPr>
          <w:rFonts w:ascii="Garamond" w:hAnsi="Garamond"/>
          <w:sz w:val="22"/>
          <w:szCs w:val="22"/>
        </w:rPr>
      </w:pPr>
      <w:r w:rsidRPr="00F449A3">
        <w:rPr>
          <w:rFonts w:ascii="Garamond" w:hAnsi="Garamond"/>
          <w:sz w:val="22"/>
          <w:szCs w:val="22"/>
        </w:rPr>
        <w:t>Natasha Hammond-Browning:</w:t>
      </w:r>
      <w:r w:rsidR="000660C9" w:rsidRPr="00F449A3">
        <w:rPr>
          <w:rFonts w:ascii="Garamond" w:hAnsi="Garamond"/>
          <w:sz w:val="22"/>
          <w:szCs w:val="22"/>
        </w:rPr>
        <w:t xml:space="preserve"> 0000-0002-2371-2479</w:t>
      </w:r>
    </w:p>
    <w:p w14:paraId="73FA2182" w14:textId="10146BFB" w:rsidR="00901127" w:rsidRPr="00F449A3" w:rsidRDefault="00901127" w:rsidP="00FD6C10">
      <w:pPr>
        <w:jc w:val="both"/>
        <w:rPr>
          <w:rFonts w:ascii="Garamond" w:hAnsi="Garamond"/>
          <w:sz w:val="22"/>
          <w:szCs w:val="22"/>
        </w:rPr>
      </w:pPr>
      <w:r w:rsidRPr="00F449A3">
        <w:rPr>
          <w:rFonts w:ascii="Garamond" w:hAnsi="Garamond"/>
          <w:sz w:val="22"/>
          <w:szCs w:val="22"/>
        </w:rPr>
        <w:t xml:space="preserve">Nicola J Williams: </w:t>
      </w:r>
      <w:r w:rsidR="00EB5BB7" w:rsidRPr="00F449A3">
        <w:rPr>
          <w:rFonts w:ascii="Garamond" w:hAnsi="Garamond"/>
          <w:sz w:val="22"/>
          <w:szCs w:val="22"/>
        </w:rPr>
        <w:t>0000-0002-8400-6279</w:t>
      </w:r>
    </w:p>
    <w:p w14:paraId="34992600" w14:textId="1295FF59" w:rsidR="56A4E9C7" w:rsidRPr="00F449A3" w:rsidRDefault="56A4E9C7" w:rsidP="56A4E9C7">
      <w:pPr>
        <w:jc w:val="both"/>
        <w:rPr>
          <w:rFonts w:ascii="Garamond" w:hAnsi="Garamond"/>
          <w:sz w:val="22"/>
          <w:szCs w:val="22"/>
        </w:rPr>
      </w:pPr>
    </w:p>
    <w:p w14:paraId="12748DFE" w14:textId="6CDDDB39" w:rsidR="00901127" w:rsidRPr="00F449A3" w:rsidRDefault="00F449A3" w:rsidP="00FD6C10">
      <w:pPr>
        <w:jc w:val="both"/>
        <w:rPr>
          <w:rStyle w:val="eop"/>
          <w:rFonts w:ascii="Garamond" w:hAnsi="Garamond"/>
          <w:color w:val="000000"/>
          <w:sz w:val="22"/>
          <w:szCs w:val="22"/>
          <w:shd w:val="clear" w:color="auto" w:fill="FFFFFF"/>
        </w:rPr>
      </w:pPr>
      <w:r w:rsidRPr="00F449A3">
        <w:rPr>
          <w:rStyle w:val="normaltextrun"/>
          <w:rFonts w:ascii="Garamond" w:hAnsi="Garamond"/>
          <w:b/>
          <w:bCs/>
          <w:color w:val="000000"/>
          <w:sz w:val="22"/>
          <w:szCs w:val="22"/>
          <w:shd w:val="clear" w:color="auto" w:fill="FFFFFF"/>
        </w:rPr>
        <w:t xml:space="preserve">Funding: </w:t>
      </w:r>
      <w:r w:rsidRPr="00F449A3">
        <w:rPr>
          <w:rStyle w:val="normaltextrun"/>
          <w:rFonts w:ascii="Garamond" w:hAnsi="Garamond"/>
          <w:color w:val="000000"/>
          <w:sz w:val="22"/>
          <w:szCs w:val="22"/>
          <w:shd w:val="clear" w:color="auto" w:fill="FFFFFF"/>
        </w:rPr>
        <w:t>This work was supported by the Wellcome Trust</w:t>
      </w:r>
      <w:r w:rsidRPr="00F449A3">
        <w:rPr>
          <w:rStyle w:val="normaltextrun"/>
          <w:rFonts w:ascii="Times New Roman" w:hAnsi="Times New Roman" w:cs="Times New Roman"/>
          <w:color w:val="000000"/>
          <w:sz w:val="22"/>
          <w:szCs w:val="22"/>
          <w:shd w:val="clear" w:color="auto" w:fill="FFFFFF"/>
        </w:rPr>
        <w:t> </w:t>
      </w:r>
      <w:r w:rsidRPr="00F449A3">
        <w:rPr>
          <w:rStyle w:val="normaltextrun"/>
          <w:rFonts w:ascii="Garamond" w:hAnsi="Garamond"/>
          <w:color w:val="000000"/>
          <w:sz w:val="22"/>
          <w:szCs w:val="22"/>
          <w:shd w:val="clear" w:color="auto" w:fill="FFFFFF"/>
        </w:rPr>
        <w:t>(grant number:</w:t>
      </w:r>
      <w:r>
        <w:rPr>
          <w:rStyle w:val="normaltextrun"/>
          <w:rFonts w:ascii="Garamond" w:hAnsi="Garamond"/>
          <w:color w:val="000000"/>
          <w:sz w:val="22"/>
          <w:szCs w:val="22"/>
          <w:shd w:val="clear" w:color="auto" w:fill="FFFFFF"/>
        </w:rPr>
        <w:t xml:space="preserve"> </w:t>
      </w:r>
      <w:r w:rsidRPr="00F449A3">
        <w:rPr>
          <w:rStyle w:val="normaltextrun"/>
          <w:rFonts w:ascii="Garamond" w:hAnsi="Garamond"/>
          <w:color w:val="000000"/>
          <w:sz w:val="22"/>
          <w:szCs w:val="22"/>
          <w:shd w:val="clear" w:color="auto" w:fill="FFFFFF"/>
        </w:rPr>
        <w:t>222858/Z/21/Z), and The Leverhulme Trust (grant number:</w:t>
      </w:r>
      <w:r>
        <w:rPr>
          <w:rStyle w:val="normaltextrun"/>
          <w:rFonts w:ascii="Garamond" w:hAnsi="Garamond"/>
          <w:color w:val="000000"/>
          <w:sz w:val="22"/>
          <w:szCs w:val="22"/>
          <w:shd w:val="clear" w:color="auto" w:fill="FFFFFF"/>
        </w:rPr>
        <w:t xml:space="preserve"> </w:t>
      </w:r>
      <w:r w:rsidRPr="00F449A3">
        <w:rPr>
          <w:rStyle w:val="normaltextrun"/>
          <w:rFonts w:ascii="Garamond" w:hAnsi="Garamond"/>
          <w:color w:val="000000"/>
          <w:sz w:val="22"/>
          <w:szCs w:val="22"/>
          <w:shd w:val="clear" w:color="auto" w:fill="FFFFFF"/>
        </w:rPr>
        <w:t>ECF-2018-113).</w:t>
      </w:r>
      <w:r w:rsidRPr="00F449A3">
        <w:rPr>
          <w:rStyle w:val="eop"/>
          <w:rFonts w:ascii="Garamond" w:hAnsi="Garamond"/>
          <w:color w:val="000000"/>
          <w:sz w:val="22"/>
          <w:szCs w:val="22"/>
          <w:shd w:val="clear" w:color="auto" w:fill="FFFFFF"/>
        </w:rPr>
        <w:t> </w:t>
      </w:r>
    </w:p>
    <w:p w14:paraId="7BB62278" w14:textId="77777777" w:rsidR="00F449A3" w:rsidRPr="00901127" w:rsidRDefault="00F449A3" w:rsidP="00FD6C10">
      <w:pPr>
        <w:jc w:val="both"/>
        <w:rPr>
          <w:rFonts w:ascii="Garamond" w:hAnsi="Garamond"/>
          <w:sz w:val="22"/>
          <w:szCs w:val="22"/>
        </w:rPr>
      </w:pPr>
    </w:p>
    <w:p w14:paraId="46C1F041" w14:textId="19873B0D" w:rsidR="002339D5" w:rsidRPr="00D7648A" w:rsidRDefault="000055A5" w:rsidP="00FD6C10">
      <w:pPr>
        <w:pStyle w:val="ListParagraph"/>
        <w:numPr>
          <w:ilvl w:val="0"/>
          <w:numId w:val="5"/>
        </w:numPr>
        <w:jc w:val="both"/>
        <w:rPr>
          <w:rFonts w:ascii="Garamond" w:hAnsi="Garamond"/>
          <w:b/>
          <w:bCs/>
          <w:sz w:val="22"/>
          <w:szCs w:val="22"/>
        </w:rPr>
      </w:pPr>
      <w:r w:rsidRPr="00D7648A">
        <w:rPr>
          <w:rFonts w:ascii="Garamond" w:hAnsi="Garamond"/>
          <w:b/>
          <w:bCs/>
          <w:sz w:val="22"/>
          <w:szCs w:val="22"/>
        </w:rPr>
        <w:t>Introduction</w:t>
      </w:r>
    </w:p>
    <w:p w14:paraId="056406A9" w14:textId="77777777" w:rsidR="003915EF" w:rsidRPr="00D7648A" w:rsidRDefault="003915EF" w:rsidP="00FD6C10">
      <w:pPr>
        <w:jc w:val="both"/>
        <w:rPr>
          <w:rFonts w:ascii="Garamond" w:hAnsi="Garamond"/>
          <w:sz w:val="22"/>
          <w:szCs w:val="22"/>
        </w:rPr>
      </w:pPr>
    </w:p>
    <w:p w14:paraId="16A071B3" w14:textId="5BB862A0" w:rsidR="00620A2C" w:rsidRPr="00C96D58" w:rsidRDefault="71137F84" w:rsidP="00FD6C10">
      <w:pPr>
        <w:jc w:val="both"/>
        <w:rPr>
          <w:rFonts w:ascii="Garamond" w:hAnsi="Garamond"/>
          <w:sz w:val="22"/>
          <w:szCs w:val="22"/>
        </w:rPr>
      </w:pPr>
      <w:r w:rsidRPr="00EB5BB7">
        <w:rPr>
          <w:rFonts w:ascii="Garamond" w:hAnsi="Garamond"/>
          <w:sz w:val="22"/>
          <w:szCs w:val="22"/>
        </w:rPr>
        <w:t>As of February 202</w:t>
      </w:r>
      <w:r w:rsidR="536D8B3A" w:rsidRPr="00EB5BB7">
        <w:rPr>
          <w:rFonts w:ascii="Garamond" w:hAnsi="Garamond"/>
          <w:sz w:val="22"/>
          <w:szCs w:val="22"/>
        </w:rPr>
        <w:t>3</w:t>
      </w:r>
      <w:r w:rsidRPr="00EB5BB7">
        <w:rPr>
          <w:rFonts w:ascii="Garamond" w:hAnsi="Garamond"/>
          <w:sz w:val="22"/>
          <w:szCs w:val="22"/>
        </w:rPr>
        <w:t>,</w:t>
      </w:r>
      <w:r w:rsidRPr="00D7648A">
        <w:rPr>
          <w:rFonts w:ascii="Garamond" w:hAnsi="Garamond"/>
          <w:sz w:val="22"/>
          <w:szCs w:val="22"/>
        </w:rPr>
        <w:t xml:space="preserve"> over 100 uterus transplantation</w:t>
      </w:r>
      <w:r w:rsidR="15FA52CC" w:rsidRPr="00D7648A">
        <w:rPr>
          <w:rFonts w:ascii="Garamond" w:hAnsi="Garamond"/>
          <w:sz w:val="22"/>
          <w:szCs w:val="22"/>
        </w:rPr>
        <w:t xml:space="preserve"> (UTx)</w:t>
      </w:r>
      <w:r w:rsidRPr="00D7648A">
        <w:rPr>
          <w:rFonts w:ascii="Garamond" w:hAnsi="Garamond"/>
          <w:sz w:val="22"/>
          <w:szCs w:val="22"/>
        </w:rPr>
        <w:t xml:space="preserve"> procedures have been performed worldwide, </w:t>
      </w:r>
      <w:r w:rsidR="72A62E19" w:rsidRPr="00D7648A">
        <w:rPr>
          <w:rFonts w:ascii="Garamond" w:hAnsi="Garamond"/>
          <w:sz w:val="22"/>
          <w:szCs w:val="22"/>
        </w:rPr>
        <w:t xml:space="preserve">and over 40 live births have been recorded in </w:t>
      </w:r>
      <w:r w:rsidR="15FA52CC" w:rsidRPr="00D7648A">
        <w:rPr>
          <w:rFonts w:ascii="Garamond" w:hAnsi="Garamond"/>
          <w:sz w:val="22"/>
          <w:szCs w:val="22"/>
        </w:rPr>
        <w:t>UTx</w:t>
      </w:r>
      <w:r w:rsidR="72A62E19" w:rsidRPr="00D7648A">
        <w:rPr>
          <w:rFonts w:ascii="Garamond" w:hAnsi="Garamond"/>
          <w:sz w:val="22"/>
          <w:szCs w:val="22"/>
        </w:rPr>
        <w:t xml:space="preserve"> recipients</w:t>
      </w:r>
      <w:r w:rsidR="005636E6" w:rsidRPr="00D7648A">
        <w:rPr>
          <w:rFonts w:ascii="Garamond" w:hAnsi="Garamond"/>
          <w:sz w:val="22"/>
          <w:szCs w:val="22"/>
        </w:rPr>
        <w:t>.</w:t>
      </w:r>
      <w:r w:rsidR="00056197" w:rsidRPr="00D7648A">
        <w:rPr>
          <w:rStyle w:val="FootnoteReference"/>
          <w:rFonts w:ascii="Garamond" w:hAnsi="Garamond"/>
          <w:sz w:val="22"/>
          <w:szCs w:val="22"/>
        </w:rPr>
        <w:footnoteReference w:id="2"/>
      </w:r>
      <w:r w:rsidR="00A360C4">
        <w:rPr>
          <w:rFonts w:ascii="Garamond" w:hAnsi="Garamond"/>
          <w:sz w:val="22"/>
          <w:szCs w:val="22"/>
        </w:rPr>
        <w:t xml:space="preserve"> </w:t>
      </w:r>
      <w:r w:rsidR="72A62E19" w:rsidRPr="00D7648A">
        <w:rPr>
          <w:rFonts w:ascii="Garamond" w:hAnsi="Garamond"/>
          <w:sz w:val="22"/>
          <w:szCs w:val="22"/>
        </w:rPr>
        <w:t xml:space="preserve">A search on </w:t>
      </w:r>
      <w:r w:rsidR="15FA52CC" w:rsidRPr="00D7648A">
        <w:rPr>
          <w:rFonts w:ascii="Garamond" w:hAnsi="Garamond"/>
          <w:sz w:val="22"/>
          <w:szCs w:val="22"/>
        </w:rPr>
        <w:t>P</w:t>
      </w:r>
      <w:r w:rsidR="72A62E19" w:rsidRPr="00D7648A">
        <w:rPr>
          <w:rFonts w:ascii="Garamond" w:hAnsi="Garamond"/>
          <w:sz w:val="22"/>
          <w:szCs w:val="22"/>
        </w:rPr>
        <w:t>ub</w:t>
      </w:r>
      <w:r w:rsidR="15FA52CC" w:rsidRPr="00D7648A">
        <w:rPr>
          <w:rFonts w:ascii="Garamond" w:hAnsi="Garamond"/>
          <w:sz w:val="22"/>
          <w:szCs w:val="22"/>
        </w:rPr>
        <w:t>M</w:t>
      </w:r>
      <w:r w:rsidR="72A62E19" w:rsidRPr="00D7648A">
        <w:rPr>
          <w:rFonts w:ascii="Garamond" w:hAnsi="Garamond"/>
          <w:sz w:val="22"/>
          <w:szCs w:val="22"/>
        </w:rPr>
        <w:t xml:space="preserve">ed </w:t>
      </w:r>
      <w:r w:rsidR="15FA52CC" w:rsidRPr="00D7648A">
        <w:rPr>
          <w:rFonts w:ascii="Garamond" w:hAnsi="Garamond"/>
          <w:sz w:val="22"/>
          <w:szCs w:val="22"/>
        </w:rPr>
        <w:t xml:space="preserve">using the term </w:t>
      </w:r>
      <w:r w:rsidR="7E0BBAFB" w:rsidRPr="00D7648A">
        <w:rPr>
          <w:rFonts w:ascii="Garamond" w:hAnsi="Garamond"/>
          <w:sz w:val="22"/>
          <w:szCs w:val="22"/>
        </w:rPr>
        <w:t>“</w:t>
      </w:r>
      <w:r w:rsidR="15FA52CC" w:rsidRPr="00D7648A">
        <w:rPr>
          <w:rFonts w:ascii="Garamond" w:hAnsi="Garamond"/>
          <w:sz w:val="22"/>
          <w:szCs w:val="22"/>
        </w:rPr>
        <w:t>uterus transplant*</w:t>
      </w:r>
      <w:r w:rsidR="7E0BBAFB" w:rsidRPr="00D7648A">
        <w:rPr>
          <w:rFonts w:ascii="Garamond" w:hAnsi="Garamond"/>
          <w:sz w:val="22"/>
          <w:szCs w:val="22"/>
        </w:rPr>
        <w:t>”</w:t>
      </w:r>
      <w:r w:rsidR="15FA52CC" w:rsidRPr="00D7648A">
        <w:rPr>
          <w:rFonts w:ascii="Garamond" w:hAnsi="Garamond"/>
          <w:sz w:val="22"/>
          <w:szCs w:val="22"/>
        </w:rPr>
        <w:t xml:space="preserve"> yields over 3</w:t>
      </w:r>
      <w:r w:rsidR="001A3F37" w:rsidRPr="00D7648A">
        <w:rPr>
          <w:rFonts w:ascii="Garamond" w:hAnsi="Garamond"/>
          <w:sz w:val="22"/>
          <w:szCs w:val="22"/>
        </w:rPr>
        <w:t>0</w:t>
      </w:r>
      <w:r w:rsidR="15FA52CC" w:rsidRPr="00D7648A">
        <w:rPr>
          <w:rFonts w:ascii="Garamond" w:hAnsi="Garamond"/>
          <w:sz w:val="22"/>
          <w:szCs w:val="22"/>
        </w:rPr>
        <w:t xml:space="preserve">00 </w:t>
      </w:r>
      <w:r w:rsidR="4084F657" w:rsidRPr="00D7648A">
        <w:rPr>
          <w:rFonts w:ascii="Garamond" w:hAnsi="Garamond"/>
          <w:sz w:val="22"/>
          <w:szCs w:val="22"/>
        </w:rPr>
        <w:t>results and</w:t>
      </w:r>
      <w:r w:rsidR="064CFF27" w:rsidRPr="00D7648A">
        <w:rPr>
          <w:rFonts w:ascii="Garamond" w:hAnsi="Garamond"/>
          <w:sz w:val="22"/>
          <w:szCs w:val="22"/>
        </w:rPr>
        <w:t xml:space="preserve"> </w:t>
      </w:r>
      <w:r w:rsidR="7E0BBAFB" w:rsidRPr="00D7648A">
        <w:rPr>
          <w:rFonts w:ascii="Garamond" w:hAnsi="Garamond"/>
          <w:sz w:val="22"/>
          <w:szCs w:val="22"/>
        </w:rPr>
        <w:t>increasing number</w:t>
      </w:r>
      <w:r w:rsidR="064CFF27" w:rsidRPr="00D7648A">
        <w:rPr>
          <w:rFonts w:ascii="Garamond" w:hAnsi="Garamond"/>
          <w:sz w:val="22"/>
          <w:szCs w:val="22"/>
        </w:rPr>
        <w:t>s</w:t>
      </w:r>
      <w:r w:rsidR="7E0BBAFB" w:rsidRPr="00D7648A">
        <w:rPr>
          <w:rFonts w:ascii="Garamond" w:hAnsi="Garamond"/>
          <w:sz w:val="22"/>
          <w:szCs w:val="22"/>
        </w:rPr>
        <w:t xml:space="preserve"> of</w:t>
      </w:r>
      <w:r w:rsidR="00F45711" w:rsidRPr="00D7648A">
        <w:rPr>
          <w:rFonts w:ascii="Garamond" w:hAnsi="Garamond"/>
          <w:sz w:val="22"/>
          <w:szCs w:val="22"/>
        </w:rPr>
        <w:t xml:space="preserve"> research</w:t>
      </w:r>
      <w:r w:rsidR="15FA52CC" w:rsidRPr="00D7648A">
        <w:rPr>
          <w:rFonts w:ascii="Garamond" w:hAnsi="Garamond"/>
          <w:sz w:val="22"/>
          <w:szCs w:val="22"/>
        </w:rPr>
        <w:t xml:space="preserve"> </w:t>
      </w:r>
      <w:r w:rsidR="49CB002B" w:rsidRPr="00D7648A">
        <w:rPr>
          <w:rFonts w:ascii="Garamond" w:hAnsi="Garamond"/>
          <w:sz w:val="22"/>
          <w:szCs w:val="22"/>
        </w:rPr>
        <w:t>centres</w:t>
      </w:r>
      <w:r w:rsidR="7E0BBAFB" w:rsidRPr="00D7648A">
        <w:rPr>
          <w:rFonts w:ascii="Garamond" w:hAnsi="Garamond"/>
          <w:sz w:val="22"/>
          <w:szCs w:val="22"/>
        </w:rPr>
        <w:t xml:space="preserve"> are now performing or planning to perform UTx</w:t>
      </w:r>
      <w:r w:rsidR="1D6AD3FF" w:rsidRPr="00D7648A">
        <w:rPr>
          <w:rFonts w:ascii="Garamond" w:hAnsi="Garamond"/>
          <w:sz w:val="22"/>
          <w:szCs w:val="22"/>
        </w:rPr>
        <w:t>, both within and outside of clinical trial protocols.</w:t>
      </w:r>
      <w:r w:rsidR="00620A2C" w:rsidRPr="00D7648A">
        <w:rPr>
          <w:rFonts w:ascii="Garamond" w:hAnsi="Garamond"/>
          <w:sz w:val="22"/>
          <w:szCs w:val="22"/>
        </w:rPr>
        <w:t xml:space="preserve"> While it may, initially, </w:t>
      </w:r>
      <w:r w:rsidR="242D84F1" w:rsidRPr="00D7648A">
        <w:rPr>
          <w:rFonts w:ascii="Garamond" w:hAnsi="Garamond"/>
          <w:sz w:val="22"/>
          <w:szCs w:val="22"/>
        </w:rPr>
        <w:t>have been</w:t>
      </w:r>
      <w:r w:rsidR="1D6AD3FF" w:rsidRPr="00D7648A">
        <w:rPr>
          <w:rFonts w:ascii="Garamond" w:hAnsi="Garamond"/>
          <w:sz w:val="22"/>
          <w:szCs w:val="22"/>
        </w:rPr>
        <w:t xml:space="preserve"> easy for teams conducting/planning UTx to keep themselves abreast of</w:t>
      </w:r>
      <w:r w:rsidR="703FC8A7" w:rsidRPr="00D7648A">
        <w:rPr>
          <w:rFonts w:ascii="Garamond" w:hAnsi="Garamond"/>
          <w:sz w:val="22"/>
          <w:szCs w:val="22"/>
        </w:rPr>
        <w:t xml:space="preserve"> developments in </w:t>
      </w:r>
      <w:r w:rsidR="00620A2C" w:rsidRPr="00D7648A">
        <w:rPr>
          <w:rFonts w:ascii="Garamond" w:hAnsi="Garamond"/>
          <w:sz w:val="22"/>
          <w:szCs w:val="22"/>
        </w:rPr>
        <w:t xml:space="preserve">this nascent area of research </w:t>
      </w:r>
      <w:r w:rsidR="1D6AD3FF" w:rsidRPr="00D7648A">
        <w:rPr>
          <w:rFonts w:ascii="Garamond" w:hAnsi="Garamond"/>
          <w:sz w:val="22"/>
          <w:szCs w:val="22"/>
        </w:rPr>
        <w:t>through both</w:t>
      </w:r>
      <w:r w:rsidR="00620A2C" w:rsidRPr="00D7648A">
        <w:rPr>
          <w:rFonts w:ascii="Garamond" w:hAnsi="Garamond"/>
          <w:sz w:val="22"/>
          <w:szCs w:val="22"/>
        </w:rPr>
        <w:t xml:space="preserve"> various methods of data-sharing and collaboration, this is becoming a far harder task. Case numbers are increasing, variations in surgical techniques and treatment protocols are expanding</w:t>
      </w:r>
      <w:r w:rsidR="2B5FB572" w:rsidRPr="00D7648A">
        <w:rPr>
          <w:rFonts w:ascii="Garamond" w:hAnsi="Garamond"/>
          <w:sz w:val="22"/>
          <w:szCs w:val="22"/>
        </w:rPr>
        <w:t xml:space="preserve"> </w:t>
      </w:r>
      <w:r w:rsidR="2B5FB572" w:rsidRPr="00C96D58">
        <w:rPr>
          <w:rFonts w:ascii="Garamond" w:hAnsi="Garamond"/>
          <w:sz w:val="22"/>
          <w:szCs w:val="22"/>
        </w:rPr>
        <w:t>increasing the difficulty of making accurate comparisons of research conducted by different teams</w:t>
      </w:r>
      <w:r w:rsidR="00620A2C" w:rsidRPr="00C96D58">
        <w:rPr>
          <w:rFonts w:ascii="Garamond" w:hAnsi="Garamond"/>
          <w:sz w:val="22"/>
          <w:szCs w:val="22"/>
        </w:rPr>
        <w:t xml:space="preserve">, increased numbers of publications mean increased potential for reporting biases, and as UTx becomes a more established procedure (and a less novel and exciting prospect for publishers) research results </w:t>
      </w:r>
      <w:r w:rsidR="00D11DB8" w:rsidRPr="00C96D58">
        <w:rPr>
          <w:rFonts w:ascii="Garamond" w:hAnsi="Garamond"/>
          <w:sz w:val="22"/>
          <w:szCs w:val="22"/>
        </w:rPr>
        <w:t xml:space="preserve">may prove </w:t>
      </w:r>
      <w:r w:rsidR="00620A2C" w:rsidRPr="00C96D58">
        <w:rPr>
          <w:rFonts w:ascii="Garamond" w:hAnsi="Garamond"/>
          <w:sz w:val="22"/>
          <w:szCs w:val="22"/>
        </w:rPr>
        <w:t xml:space="preserve">harder to publish. </w:t>
      </w:r>
    </w:p>
    <w:p w14:paraId="03D501E1" w14:textId="77777777" w:rsidR="006F7D06" w:rsidRPr="00C96D58" w:rsidRDefault="006F7D06" w:rsidP="00FD6C10">
      <w:pPr>
        <w:jc w:val="both"/>
        <w:rPr>
          <w:rFonts w:ascii="Garamond" w:hAnsi="Garamond"/>
          <w:sz w:val="22"/>
          <w:szCs w:val="22"/>
        </w:rPr>
      </w:pPr>
    </w:p>
    <w:p w14:paraId="6CB7DAA3" w14:textId="7506D22B" w:rsidR="006037B6" w:rsidRPr="00C96D58" w:rsidRDefault="006F7D06" w:rsidP="712C3CAC">
      <w:pPr>
        <w:jc w:val="both"/>
        <w:rPr>
          <w:rFonts w:ascii="Garamond" w:hAnsi="Garamond"/>
          <w:sz w:val="22"/>
          <w:szCs w:val="22"/>
        </w:rPr>
      </w:pPr>
      <w:r w:rsidRPr="00C96D58">
        <w:rPr>
          <w:rFonts w:ascii="Garamond" w:hAnsi="Garamond"/>
          <w:sz w:val="22"/>
          <w:szCs w:val="22"/>
        </w:rPr>
        <w:t>Given such challenges, and a</w:t>
      </w:r>
      <w:r w:rsidR="4084F657" w:rsidRPr="00C96D58">
        <w:rPr>
          <w:rFonts w:ascii="Garamond" w:hAnsi="Garamond"/>
          <w:sz w:val="22"/>
          <w:szCs w:val="22"/>
        </w:rPr>
        <w:t>s</w:t>
      </w:r>
      <w:r w:rsidRPr="00C96D58">
        <w:rPr>
          <w:rFonts w:ascii="Garamond" w:hAnsi="Garamond"/>
          <w:sz w:val="22"/>
          <w:szCs w:val="22"/>
        </w:rPr>
        <w:t xml:space="preserve"> with</w:t>
      </w:r>
      <w:r w:rsidR="4084F657" w:rsidRPr="00C96D58">
        <w:rPr>
          <w:rFonts w:ascii="Garamond" w:hAnsi="Garamond"/>
          <w:sz w:val="22"/>
          <w:szCs w:val="22"/>
        </w:rPr>
        <w:t xml:space="preserve"> medical research</w:t>
      </w:r>
      <w:r w:rsidR="712384D6" w:rsidRPr="00C96D58">
        <w:rPr>
          <w:rFonts w:ascii="Garamond" w:hAnsi="Garamond"/>
          <w:sz w:val="22"/>
          <w:szCs w:val="22"/>
        </w:rPr>
        <w:t xml:space="preserve"> more</w:t>
      </w:r>
      <w:r w:rsidR="4084F657" w:rsidRPr="00C96D58">
        <w:rPr>
          <w:rFonts w:ascii="Garamond" w:hAnsi="Garamond"/>
          <w:sz w:val="22"/>
          <w:szCs w:val="22"/>
        </w:rPr>
        <w:t xml:space="preserve"> generally, questions th</w:t>
      </w:r>
      <w:r w:rsidRPr="00C96D58">
        <w:rPr>
          <w:rFonts w:ascii="Garamond" w:hAnsi="Garamond"/>
          <w:sz w:val="22"/>
          <w:szCs w:val="22"/>
        </w:rPr>
        <w:t>erefore</w:t>
      </w:r>
      <w:r w:rsidR="4084F657" w:rsidRPr="00C96D58">
        <w:rPr>
          <w:rFonts w:ascii="Garamond" w:hAnsi="Garamond"/>
          <w:sz w:val="22"/>
          <w:szCs w:val="22"/>
        </w:rPr>
        <w:t xml:space="preserve"> arise regarding the extent to which those conducting research into UTx</w:t>
      </w:r>
      <w:r w:rsidRPr="00C96D58">
        <w:rPr>
          <w:rFonts w:ascii="Garamond" w:hAnsi="Garamond"/>
          <w:sz w:val="22"/>
          <w:szCs w:val="22"/>
        </w:rPr>
        <w:t xml:space="preserve"> may be obliged to </w:t>
      </w:r>
      <w:r w:rsidR="4084F657" w:rsidRPr="00C96D58">
        <w:rPr>
          <w:rFonts w:ascii="Garamond" w:hAnsi="Garamond"/>
          <w:sz w:val="22"/>
          <w:szCs w:val="22"/>
        </w:rPr>
        <w:t>ensure that the</w:t>
      </w:r>
      <w:r w:rsidR="548F7A6E" w:rsidRPr="00C96D58">
        <w:rPr>
          <w:rFonts w:ascii="Garamond" w:hAnsi="Garamond"/>
          <w:sz w:val="22"/>
          <w:szCs w:val="22"/>
        </w:rPr>
        <w:t>ir</w:t>
      </w:r>
      <w:r w:rsidRPr="00C96D58">
        <w:rPr>
          <w:rFonts w:ascii="Garamond" w:hAnsi="Garamond"/>
          <w:sz w:val="22"/>
          <w:szCs w:val="22"/>
        </w:rPr>
        <w:t xml:space="preserve"> </w:t>
      </w:r>
      <w:r w:rsidR="548F7A6E" w:rsidRPr="00C96D58">
        <w:rPr>
          <w:rFonts w:ascii="Garamond" w:hAnsi="Garamond"/>
          <w:sz w:val="22"/>
          <w:szCs w:val="22"/>
        </w:rPr>
        <w:t>results an</w:t>
      </w:r>
      <w:r w:rsidRPr="00C96D58">
        <w:rPr>
          <w:rFonts w:ascii="Garamond" w:hAnsi="Garamond"/>
          <w:sz w:val="22"/>
          <w:szCs w:val="22"/>
        </w:rPr>
        <w:t>d</w:t>
      </w:r>
      <w:r w:rsidR="548F7A6E" w:rsidRPr="00C96D58">
        <w:rPr>
          <w:rFonts w:ascii="Garamond" w:hAnsi="Garamond"/>
          <w:sz w:val="22"/>
          <w:szCs w:val="22"/>
        </w:rPr>
        <w:t xml:space="preserve"> </w:t>
      </w:r>
      <w:r w:rsidR="4084F657" w:rsidRPr="00C96D58">
        <w:rPr>
          <w:rFonts w:ascii="Garamond" w:hAnsi="Garamond"/>
          <w:sz w:val="22"/>
          <w:szCs w:val="22"/>
        </w:rPr>
        <w:t>data</w:t>
      </w:r>
      <w:r w:rsidRPr="00C96D58">
        <w:rPr>
          <w:rFonts w:ascii="Garamond" w:hAnsi="Garamond"/>
          <w:sz w:val="22"/>
          <w:szCs w:val="22"/>
        </w:rPr>
        <w:t xml:space="preserve"> </w:t>
      </w:r>
      <w:r w:rsidR="4084F657" w:rsidRPr="00C96D58">
        <w:rPr>
          <w:rFonts w:ascii="Garamond" w:hAnsi="Garamond"/>
          <w:sz w:val="22"/>
          <w:szCs w:val="22"/>
        </w:rPr>
        <w:t xml:space="preserve">are made </w:t>
      </w:r>
      <w:r w:rsidR="548F7A6E" w:rsidRPr="00C96D58">
        <w:rPr>
          <w:rFonts w:ascii="Garamond" w:hAnsi="Garamond"/>
          <w:sz w:val="22"/>
          <w:szCs w:val="22"/>
        </w:rPr>
        <w:t xml:space="preserve">as widely </w:t>
      </w:r>
      <w:r w:rsidR="4084F657" w:rsidRPr="00C96D58">
        <w:rPr>
          <w:rFonts w:ascii="Garamond" w:hAnsi="Garamond"/>
          <w:sz w:val="22"/>
          <w:szCs w:val="22"/>
        </w:rPr>
        <w:t>available</w:t>
      </w:r>
      <w:r w:rsidR="548F7A6E" w:rsidRPr="00C96D58">
        <w:rPr>
          <w:rFonts w:ascii="Garamond" w:hAnsi="Garamond"/>
          <w:sz w:val="22"/>
          <w:szCs w:val="22"/>
        </w:rPr>
        <w:t xml:space="preserve"> as possible</w:t>
      </w:r>
      <w:r w:rsidR="4084F657" w:rsidRPr="00C96D58">
        <w:rPr>
          <w:rFonts w:ascii="Garamond" w:hAnsi="Garamond"/>
          <w:sz w:val="22"/>
          <w:szCs w:val="22"/>
        </w:rPr>
        <w:t xml:space="preserve"> to inform the</w:t>
      </w:r>
      <w:r w:rsidRPr="00C96D58">
        <w:rPr>
          <w:rFonts w:ascii="Garamond" w:hAnsi="Garamond"/>
          <w:sz w:val="22"/>
          <w:szCs w:val="22"/>
        </w:rPr>
        <w:t xml:space="preserve"> </w:t>
      </w:r>
      <w:r w:rsidR="4084F657" w:rsidRPr="00C96D58">
        <w:rPr>
          <w:rFonts w:ascii="Garamond" w:hAnsi="Garamond"/>
          <w:sz w:val="22"/>
          <w:szCs w:val="22"/>
        </w:rPr>
        <w:t xml:space="preserve">development, performance, regulation, </w:t>
      </w:r>
      <w:r w:rsidR="4084F657" w:rsidRPr="00C96D58">
        <w:rPr>
          <w:rFonts w:ascii="Garamond" w:hAnsi="Garamond"/>
          <w:i/>
          <w:iCs/>
          <w:sz w:val="22"/>
          <w:szCs w:val="22"/>
        </w:rPr>
        <w:t>and</w:t>
      </w:r>
      <w:r w:rsidR="4084F657" w:rsidRPr="00C96D58">
        <w:rPr>
          <w:rFonts w:ascii="Garamond" w:hAnsi="Garamond"/>
          <w:sz w:val="22"/>
          <w:szCs w:val="22"/>
        </w:rPr>
        <w:t xml:space="preserve"> public understanding of U</w:t>
      </w:r>
      <w:r w:rsidR="00CC1C8B" w:rsidRPr="00C96D58">
        <w:rPr>
          <w:rFonts w:ascii="Garamond" w:hAnsi="Garamond"/>
          <w:sz w:val="22"/>
          <w:szCs w:val="22"/>
        </w:rPr>
        <w:t>T</w:t>
      </w:r>
      <w:r w:rsidR="4084F657" w:rsidRPr="00C96D58">
        <w:rPr>
          <w:rFonts w:ascii="Garamond" w:hAnsi="Garamond"/>
          <w:sz w:val="22"/>
          <w:szCs w:val="22"/>
        </w:rPr>
        <w:t xml:space="preserve">x over the years to come. </w:t>
      </w:r>
      <w:r w:rsidR="09CDAF8C" w:rsidRPr="00C96D58">
        <w:rPr>
          <w:rFonts w:ascii="Garamond" w:hAnsi="Garamond"/>
          <w:sz w:val="22"/>
          <w:szCs w:val="22"/>
        </w:rPr>
        <w:t>This is especially pertinent given the novelty of UTx, its status as</w:t>
      </w:r>
      <w:r w:rsidR="4CCF36D3" w:rsidRPr="00C96D58">
        <w:rPr>
          <w:rFonts w:ascii="Garamond" w:hAnsi="Garamond"/>
          <w:sz w:val="22"/>
          <w:szCs w:val="22"/>
        </w:rPr>
        <w:t xml:space="preserve"> both transplant and reproductive technology</w:t>
      </w:r>
      <w:r w:rsidR="091DB498" w:rsidRPr="00C96D58">
        <w:rPr>
          <w:rFonts w:ascii="Garamond" w:hAnsi="Garamond"/>
          <w:sz w:val="22"/>
          <w:szCs w:val="22"/>
        </w:rPr>
        <w:t xml:space="preserve"> and the different regulatory demands of these two areas of medicine</w:t>
      </w:r>
      <w:r w:rsidR="4CCF36D3" w:rsidRPr="00C96D58">
        <w:rPr>
          <w:rFonts w:ascii="Garamond" w:hAnsi="Garamond"/>
          <w:sz w:val="22"/>
          <w:szCs w:val="22"/>
        </w:rPr>
        <w:t>,</w:t>
      </w:r>
      <w:r w:rsidR="66942A69" w:rsidRPr="00C96D58">
        <w:rPr>
          <w:rFonts w:ascii="Garamond" w:hAnsi="Garamond"/>
          <w:sz w:val="22"/>
          <w:szCs w:val="22"/>
        </w:rPr>
        <w:t xml:space="preserve"> as well as</w:t>
      </w:r>
      <w:r w:rsidR="4CCF36D3" w:rsidRPr="00C96D58">
        <w:rPr>
          <w:rFonts w:ascii="Garamond" w:hAnsi="Garamond"/>
          <w:sz w:val="22"/>
          <w:szCs w:val="22"/>
        </w:rPr>
        <w:t xml:space="preserve"> the significant</w:t>
      </w:r>
      <w:r w:rsidR="09CDAF8C" w:rsidRPr="00C96D58">
        <w:rPr>
          <w:rFonts w:ascii="Garamond" w:hAnsi="Garamond"/>
          <w:sz w:val="22"/>
          <w:szCs w:val="22"/>
        </w:rPr>
        <w:t xml:space="preserve"> risk</w:t>
      </w:r>
      <w:r w:rsidR="3F5D7675" w:rsidRPr="00C96D58">
        <w:rPr>
          <w:rFonts w:ascii="Garamond" w:hAnsi="Garamond"/>
          <w:sz w:val="22"/>
          <w:szCs w:val="22"/>
        </w:rPr>
        <w:t>s to</w:t>
      </w:r>
      <w:r w:rsidR="0781E437" w:rsidRPr="00C96D58">
        <w:rPr>
          <w:rFonts w:ascii="Garamond" w:hAnsi="Garamond"/>
          <w:sz w:val="22"/>
          <w:szCs w:val="22"/>
        </w:rPr>
        <w:t xml:space="preserve"> living</w:t>
      </w:r>
      <w:r w:rsidR="3F5D7675" w:rsidRPr="00C96D58">
        <w:rPr>
          <w:rFonts w:ascii="Garamond" w:hAnsi="Garamond"/>
          <w:sz w:val="22"/>
          <w:szCs w:val="22"/>
        </w:rPr>
        <w:t xml:space="preserve"> donors, recipients</w:t>
      </w:r>
      <w:r w:rsidR="397B1233" w:rsidRPr="00C96D58">
        <w:rPr>
          <w:rFonts w:ascii="Garamond" w:hAnsi="Garamond"/>
          <w:sz w:val="22"/>
          <w:szCs w:val="22"/>
        </w:rPr>
        <w:t>,</w:t>
      </w:r>
      <w:r w:rsidR="3F5D7675" w:rsidRPr="00C96D58">
        <w:rPr>
          <w:rFonts w:ascii="Garamond" w:hAnsi="Garamond"/>
          <w:sz w:val="22"/>
          <w:szCs w:val="22"/>
        </w:rPr>
        <w:t xml:space="preserve"> and children posed by its performance.</w:t>
      </w:r>
      <w:r w:rsidR="6A73634D" w:rsidRPr="00C96D58">
        <w:rPr>
          <w:rFonts w:ascii="Garamond" w:hAnsi="Garamond"/>
          <w:sz w:val="22"/>
          <w:szCs w:val="22"/>
        </w:rPr>
        <w:t xml:space="preserve"> UTx is currently still in its infancy and therefore</w:t>
      </w:r>
      <w:r w:rsidR="58CC3687" w:rsidRPr="00C96D58">
        <w:rPr>
          <w:rFonts w:ascii="Garamond" w:hAnsi="Garamond"/>
          <w:sz w:val="22"/>
          <w:szCs w:val="22"/>
        </w:rPr>
        <w:t xml:space="preserve"> paying</w:t>
      </w:r>
      <w:r w:rsidR="6A73634D" w:rsidRPr="00C96D58">
        <w:rPr>
          <w:rFonts w:ascii="Garamond" w:hAnsi="Garamond"/>
          <w:sz w:val="22"/>
          <w:szCs w:val="22"/>
        </w:rPr>
        <w:t xml:space="preserve"> careful attention to</w:t>
      </w:r>
      <w:r w:rsidR="2BD5AE7A" w:rsidRPr="00C96D58">
        <w:rPr>
          <w:rFonts w:ascii="Garamond" w:hAnsi="Garamond"/>
          <w:sz w:val="22"/>
          <w:szCs w:val="22"/>
        </w:rPr>
        <w:t xml:space="preserve"> the requirements underpinning</w:t>
      </w:r>
      <w:r w:rsidR="6A73634D" w:rsidRPr="00C96D58">
        <w:rPr>
          <w:rFonts w:ascii="Garamond" w:hAnsi="Garamond"/>
          <w:sz w:val="22"/>
          <w:szCs w:val="22"/>
        </w:rPr>
        <w:t xml:space="preserve"> good data sharing practices is liable to </w:t>
      </w:r>
      <w:proofErr w:type="gramStart"/>
      <w:r w:rsidR="6A73634D" w:rsidRPr="00C96D58">
        <w:rPr>
          <w:rFonts w:ascii="Garamond" w:hAnsi="Garamond"/>
          <w:sz w:val="22"/>
          <w:szCs w:val="22"/>
        </w:rPr>
        <w:t>significantl</w:t>
      </w:r>
      <w:r w:rsidR="66CA32E4" w:rsidRPr="00C96D58">
        <w:rPr>
          <w:rFonts w:ascii="Garamond" w:hAnsi="Garamond"/>
          <w:sz w:val="22"/>
          <w:szCs w:val="22"/>
        </w:rPr>
        <w:t>y and positively impact its development</w:t>
      </w:r>
      <w:proofErr w:type="gramEnd"/>
      <w:r w:rsidR="66CA32E4" w:rsidRPr="00C96D58">
        <w:rPr>
          <w:rFonts w:ascii="Garamond" w:hAnsi="Garamond"/>
          <w:sz w:val="22"/>
          <w:szCs w:val="22"/>
        </w:rPr>
        <w:t>, serv</w:t>
      </w:r>
      <w:r w:rsidR="2F1E6CD0" w:rsidRPr="00C96D58">
        <w:rPr>
          <w:rFonts w:ascii="Garamond" w:hAnsi="Garamond"/>
          <w:sz w:val="22"/>
          <w:szCs w:val="22"/>
        </w:rPr>
        <w:t>ing</w:t>
      </w:r>
      <w:r w:rsidR="66CA32E4" w:rsidRPr="00C96D58">
        <w:rPr>
          <w:rFonts w:ascii="Garamond" w:hAnsi="Garamond"/>
          <w:sz w:val="22"/>
          <w:szCs w:val="22"/>
        </w:rPr>
        <w:t xml:space="preserve"> as a model for future h</w:t>
      </w:r>
      <w:r w:rsidR="57CB02A1" w:rsidRPr="00C96D58">
        <w:rPr>
          <w:rFonts w:ascii="Garamond" w:hAnsi="Garamond"/>
          <w:sz w:val="22"/>
          <w:szCs w:val="22"/>
        </w:rPr>
        <w:t>ealth innovation and research practices.</w:t>
      </w:r>
    </w:p>
    <w:p w14:paraId="45B6AD08" w14:textId="103DA66E" w:rsidR="006037B6" w:rsidRPr="00D7648A" w:rsidRDefault="006037B6" w:rsidP="712C3CAC">
      <w:pPr>
        <w:jc w:val="both"/>
        <w:rPr>
          <w:rFonts w:ascii="Garamond" w:hAnsi="Garamond"/>
          <w:sz w:val="22"/>
          <w:szCs w:val="22"/>
        </w:rPr>
      </w:pPr>
    </w:p>
    <w:p w14:paraId="2656F889" w14:textId="5246D1B3" w:rsidR="006037B6" w:rsidRPr="00D7648A" w:rsidRDefault="5DE1ACC1" w:rsidP="712C3CAC">
      <w:pPr>
        <w:jc w:val="both"/>
        <w:rPr>
          <w:rFonts w:ascii="Garamond" w:hAnsi="Garamond"/>
          <w:sz w:val="22"/>
          <w:szCs w:val="22"/>
        </w:rPr>
      </w:pPr>
      <w:r w:rsidRPr="712C3CAC">
        <w:rPr>
          <w:rFonts w:ascii="Garamond" w:hAnsi="Garamond"/>
          <w:sz w:val="22"/>
          <w:szCs w:val="22"/>
        </w:rPr>
        <w:t xml:space="preserve">In this </w:t>
      </w:r>
      <w:r w:rsidR="3AC82538" w:rsidRPr="712C3CAC">
        <w:rPr>
          <w:rFonts w:ascii="Garamond" w:hAnsi="Garamond"/>
          <w:sz w:val="22"/>
          <w:szCs w:val="22"/>
        </w:rPr>
        <w:t>chapter</w:t>
      </w:r>
      <w:r w:rsidRPr="712C3CAC">
        <w:rPr>
          <w:rFonts w:ascii="Garamond" w:hAnsi="Garamond"/>
          <w:sz w:val="22"/>
          <w:szCs w:val="22"/>
        </w:rPr>
        <w:t xml:space="preserve"> we therefore explore the topic of data sharing in the context of U</w:t>
      </w:r>
      <w:r w:rsidR="00CC1C8B" w:rsidRPr="712C3CAC">
        <w:rPr>
          <w:rFonts w:ascii="Garamond" w:hAnsi="Garamond"/>
          <w:sz w:val="22"/>
          <w:szCs w:val="22"/>
        </w:rPr>
        <w:t>T</w:t>
      </w:r>
      <w:r w:rsidRPr="712C3CAC">
        <w:rPr>
          <w:rFonts w:ascii="Garamond" w:hAnsi="Garamond"/>
          <w:sz w:val="22"/>
          <w:szCs w:val="22"/>
        </w:rPr>
        <w:t>x, and both the benefits and challenges that may arise</w:t>
      </w:r>
      <w:r w:rsidR="1C19C5D0" w:rsidRPr="712C3CAC">
        <w:rPr>
          <w:rFonts w:ascii="Garamond" w:hAnsi="Garamond"/>
          <w:sz w:val="22"/>
          <w:szCs w:val="22"/>
        </w:rPr>
        <w:t xml:space="preserve"> </w:t>
      </w:r>
      <w:r w:rsidR="5822C6E0" w:rsidRPr="712C3CAC">
        <w:rPr>
          <w:rFonts w:ascii="Garamond" w:hAnsi="Garamond"/>
          <w:sz w:val="22"/>
          <w:szCs w:val="22"/>
        </w:rPr>
        <w:t xml:space="preserve">from </w:t>
      </w:r>
      <w:r w:rsidRPr="712C3CAC">
        <w:rPr>
          <w:rFonts w:ascii="Garamond" w:hAnsi="Garamond"/>
          <w:sz w:val="22"/>
          <w:szCs w:val="22"/>
        </w:rPr>
        <w:t xml:space="preserve">a commitment to </w:t>
      </w:r>
      <w:r w:rsidR="631424EC" w:rsidRPr="712C3CAC">
        <w:rPr>
          <w:rFonts w:ascii="Garamond" w:hAnsi="Garamond"/>
          <w:sz w:val="22"/>
          <w:szCs w:val="22"/>
        </w:rPr>
        <w:t xml:space="preserve">data sharing </w:t>
      </w:r>
      <w:r w:rsidRPr="712C3CAC">
        <w:rPr>
          <w:rFonts w:ascii="Garamond" w:hAnsi="Garamond"/>
          <w:sz w:val="22"/>
          <w:szCs w:val="22"/>
        </w:rPr>
        <w:t>in this arena.</w:t>
      </w:r>
      <w:r w:rsidR="1F43C843" w:rsidRPr="712C3CAC">
        <w:rPr>
          <w:rFonts w:ascii="Garamond" w:hAnsi="Garamond"/>
          <w:sz w:val="22"/>
          <w:szCs w:val="22"/>
        </w:rPr>
        <w:t xml:space="preserve"> In section II we explain some of the benefits that may be produced</w:t>
      </w:r>
      <w:r w:rsidR="1C19C5D0" w:rsidRPr="712C3CAC">
        <w:rPr>
          <w:rFonts w:ascii="Garamond" w:hAnsi="Garamond"/>
          <w:sz w:val="22"/>
          <w:szCs w:val="22"/>
        </w:rPr>
        <w:t xml:space="preserve"> through an open approach to data sharing</w:t>
      </w:r>
      <w:r w:rsidR="1F43C843" w:rsidRPr="712C3CAC">
        <w:rPr>
          <w:rFonts w:ascii="Garamond" w:hAnsi="Garamond"/>
          <w:sz w:val="22"/>
          <w:szCs w:val="22"/>
        </w:rPr>
        <w:t xml:space="preserve"> and</w:t>
      </w:r>
      <w:r w:rsidR="006037B6" w:rsidRPr="712C3CAC">
        <w:rPr>
          <w:rFonts w:ascii="Garamond" w:hAnsi="Garamond"/>
          <w:sz w:val="22"/>
          <w:szCs w:val="22"/>
        </w:rPr>
        <w:t xml:space="preserve"> forward</w:t>
      </w:r>
      <w:r w:rsidR="2E35F430" w:rsidRPr="712C3CAC">
        <w:rPr>
          <w:rFonts w:ascii="Garamond" w:hAnsi="Garamond"/>
          <w:sz w:val="22"/>
          <w:szCs w:val="22"/>
        </w:rPr>
        <w:t xml:space="preserve"> </w:t>
      </w:r>
      <w:r w:rsidR="1F43C843" w:rsidRPr="712C3CAC">
        <w:rPr>
          <w:rFonts w:ascii="Garamond" w:hAnsi="Garamond"/>
          <w:sz w:val="22"/>
          <w:szCs w:val="22"/>
        </w:rPr>
        <w:t>ethical arguments suggest</w:t>
      </w:r>
      <w:r w:rsidR="1C19C5D0" w:rsidRPr="712C3CAC">
        <w:rPr>
          <w:rFonts w:ascii="Garamond" w:hAnsi="Garamond"/>
          <w:sz w:val="22"/>
          <w:szCs w:val="22"/>
        </w:rPr>
        <w:t>ing</w:t>
      </w:r>
      <w:r w:rsidR="1F43C843" w:rsidRPr="712C3CAC">
        <w:rPr>
          <w:rFonts w:ascii="Garamond" w:hAnsi="Garamond"/>
          <w:sz w:val="22"/>
          <w:szCs w:val="22"/>
        </w:rPr>
        <w:t xml:space="preserve"> an obligation </w:t>
      </w:r>
      <w:r w:rsidR="1C19C5D0" w:rsidRPr="712C3CAC">
        <w:rPr>
          <w:rFonts w:ascii="Garamond" w:hAnsi="Garamond"/>
          <w:sz w:val="22"/>
          <w:szCs w:val="22"/>
        </w:rPr>
        <w:t xml:space="preserve">to share data absent compelling competing considerations. In section III, we explore several </w:t>
      </w:r>
      <w:r w:rsidR="4E63C3CA" w:rsidRPr="712C3CAC">
        <w:rPr>
          <w:rFonts w:ascii="Garamond" w:hAnsi="Garamond"/>
          <w:sz w:val="22"/>
          <w:szCs w:val="22"/>
        </w:rPr>
        <w:t>concerns</w:t>
      </w:r>
      <w:r w:rsidR="1C19C5D0" w:rsidRPr="712C3CAC">
        <w:rPr>
          <w:rFonts w:ascii="Garamond" w:hAnsi="Garamond"/>
          <w:sz w:val="22"/>
          <w:szCs w:val="22"/>
        </w:rPr>
        <w:t xml:space="preserve"> that may be expressed regarding</w:t>
      </w:r>
      <w:r w:rsidR="00D11DB8" w:rsidRPr="712C3CAC">
        <w:rPr>
          <w:rFonts w:ascii="Garamond" w:hAnsi="Garamond"/>
          <w:sz w:val="22"/>
          <w:szCs w:val="22"/>
        </w:rPr>
        <w:t xml:space="preserve"> open</w:t>
      </w:r>
      <w:r w:rsidR="1C19C5D0" w:rsidRPr="712C3CAC">
        <w:rPr>
          <w:rFonts w:ascii="Garamond" w:hAnsi="Garamond"/>
          <w:sz w:val="22"/>
          <w:szCs w:val="22"/>
        </w:rPr>
        <w:t xml:space="preserve"> data-sharing </w:t>
      </w:r>
      <w:r w:rsidR="00D11DB8" w:rsidRPr="712C3CAC">
        <w:rPr>
          <w:rFonts w:ascii="Garamond" w:hAnsi="Garamond"/>
          <w:sz w:val="22"/>
          <w:szCs w:val="22"/>
        </w:rPr>
        <w:t>(</w:t>
      </w:r>
      <w:r w:rsidR="7DC3B249" w:rsidRPr="712C3CAC">
        <w:rPr>
          <w:rFonts w:ascii="Garamond" w:hAnsi="Garamond"/>
          <w:sz w:val="22"/>
          <w:szCs w:val="22"/>
        </w:rPr>
        <w:t>e.g.,</w:t>
      </w:r>
      <w:r w:rsidR="1C19C5D0" w:rsidRPr="712C3CAC">
        <w:rPr>
          <w:rFonts w:ascii="Garamond" w:hAnsi="Garamond"/>
          <w:sz w:val="22"/>
          <w:szCs w:val="22"/>
        </w:rPr>
        <w:t xml:space="preserve"> worries regarding privacy, confidentiality, and fairness</w:t>
      </w:r>
      <w:r w:rsidR="00D11DB8" w:rsidRPr="712C3CAC">
        <w:rPr>
          <w:rFonts w:ascii="Garamond" w:hAnsi="Garamond"/>
          <w:sz w:val="22"/>
          <w:szCs w:val="22"/>
        </w:rPr>
        <w:t xml:space="preserve"> to researchers)</w:t>
      </w:r>
      <w:r w:rsidR="1C19C5D0" w:rsidRPr="712C3CAC">
        <w:rPr>
          <w:rFonts w:ascii="Garamond" w:hAnsi="Garamond"/>
          <w:sz w:val="22"/>
          <w:szCs w:val="22"/>
        </w:rPr>
        <w:t xml:space="preserve">. </w:t>
      </w:r>
      <w:r w:rsidR="50F8BFA0" w:rsidRPr="712C3CAC">
        <w:rPr>
          <w:rFonts w:ascii="Garamond" w:hAnsi="Garamond"/>
          <w:sz w:val="22"/>
          <w:szCs w:val="22"/>
        </w:rPr>
        <w:t xml:space="preserve">In section IV </w:t>
      </w:r>
      <w:r w:rsidR="4E63C3CA" w:rsidRPr="712C3CAC">
        <w:rPr>
          <w:rFonts w:ascii="Garamond" w:hAnsi="Garamond"/>
          <w:sz w:val="22"/>
          <w:szCs w:val="22"/>
        </w:rPr>
        <w:t xml:space="preserve">we explore </w:t>
      </w:r>
      <w:r w:rsidR="4E63C3CA" w:rsidRPr="712C3CAC">
        <w:rPr>
          <w:rFonts w:ascii="Garamond" w:hAnsi="Garamond"/>
          <w:i/>
          <w:iCs/>
          <w:sz w:val="22"/>
          <w:szCs w:val="22"/>
        </w:rPr>
        <w:t xml:space="preserve">how </w:t>
      </w:r>
      <w:r w:rsidR="4E63C3CA" w:rsidRPr="712C3CAC">
        <w:rPr>
          <w:rFonts w:ascii="Garamond" w:hAnsi="Garamond"/>
          <w:sz w:val="22"/>
          <w:szCs w:val="22"/>
        </w:rPr>
        <w:t>data is currently shared</w:t>
      </w:r>
      <w:r w:rsidR="006037B6" w:rsidRPr="712C3CAC">
        <w:rPr>
          <w:rFonts w:ascii="Garamond" w:hAnsi="Garamond"/>
          <w:sz w:val="22"/>
          <w:szCs w:val="22"/>
        </w:rPr>
        <w:t xml:space="preserve"> by clinicians conducting research into UTx</w:t>
      </w:r>
      <w:r w:rsidR="00E80845" w:rsidRPr="712C3CAC">
        <w:rPr>
          <w:rFonts w:ascii="Garamond" w:hAnsi="Garamond"/>
          <w:sz w:val="22"/>
          <w:szCs w:val="22"/>
        </w:rPr>
        <w:t>,</w:t>
      </w:r>
      <w:r w:rsidR="006037B6" w:rsidRPr="712C3CAC">
        <w:rPr>
          <w:rFonts w:ascii="Garamond" w:hAnsi="Garamond"/>
          <w:sz w:val="22"/>
          <w:szCs w:val="22"/>
        </w:rPr>
        <w:t xml:space="preserve"> and </w:t>
      </w:r>
      <w:r w:rsidR="008A44E5" w:rsidRPr="712C3CAC">
        <w:rPr>
          <w:rFonts w:ascii="Garamond" w:hAnsi="Garamond"/>
          <w:sz w:val="22"/>
          <w:szCs w:val="22"/>
        </w:rPr>
        <w:t xml:space="preserve">we discuss </w:t>
      </w:r>
      <w:r w:rsidR="057E4AA7" w:rsidRPr="712C3CAC">
        <w:rPr>
          <w:rFonts w:ascii="Garamond" w:hAnsi="Garamond"/>
          <w:sz w:val="22"/>
          <w:szCs w:val="22"/>
        </w:rPr>
        <w:t>several</w:t>
      </w:r>
      <w:r w:rsidR="002F186E" w:rsidRPr="712C3CAC">
        <w:rPr>
          <w:rFonts w:ascii="Garamond" w:hAnsi="Garamond"/>
          <w:sz w:val="22"/>
          <w:szCs w:val="22"/>
        </w:rPr>
        <w:t xml:space="preserve"> concerns that may be raised regarding these practices</w:t>
      </w:r>
      <w:r w:rsidR="008A44E5" w:rsidRPr="712C3CAC">
        <w:rPr>
          <w:rFonts w:ascii="Garamond" w:hAnsi="Garamond"/>
          <w:sz w:val="22"/>
          <w:szCs w:val="22"/>
        </w:rPr>
        <w:t>. I</w:t>
      </w:r>
      <w:r w:rsidR="006037B6" w:rsidRPr="712C3CAC">
        <w:rPr>
          <w:rFonts w:ascii="Garamond" w:hAnsi="Garamond"/>
          <w:sz w:val="22"/>
          <w:szCs w:val="22"/>
        </w:rPr>
        <w:t>n section V we</w:t>
      </w:r>
      <w:r w:rsidR="00C74F5A" w:rsidRPr="712C3CAC">
        <w:rPr>
          <w:rFonts w:ascii="Garamond" w:hAnsi="Garamond"/>
          <w:sz w:val="22"/>
          <w:szCs w:val="22"/>
        </w:rPr>
        <w:t xml:space="preserve"> </w:t>
      </w:r>
      <w:r w:rsidR="001B6332" w:rsidRPr="712C3CAC">
        <w:rPr>
          <w:rFonts w:ascii="Garamond" w:hAnsi="Garamond"/>
          <w:sz w:val="22"/>
          <w:szCs w:val="22"/>
        </w:rPr>
        <w:t>discuss the</w:t>
      </w:r>
      <w:r w:rsidR="572BD508" w:rsidRPr="712C3CAC">
        <w:rPr>
          <w:rFonts w:ascii="Garamond" w:hAnsi="Garamond"/>
          <w:sz w:val="22"/>
          <w:szCs w:val="22"/>
        </w:rPr>
        <w:t xml:space="preserve"> way</w:t>
      </w:r>
      <w:r w:rsidR="00C74F5A" w:rsidRPr="712C3CAC">
        <w:rPr>
          <w:rFonts w:ascii="Garamond" w:hAnsi="Garamond"/>
          <w:sz w:val="22"/>
          <w:szCs w:val="22"/>
        </w:rPr>
        <w:t xml:space="preserve"> forward for data sharing in UTx</w:t>
      </w:r>
      <w:r w:rsidR="3E432B3C" w:rsidRPr="712C3CAC">
        <w:rPr>
          <w:rFonts w:ascii="Garamond" w:hAnsi="Garamond"/>
          <w:sz w:val="22"/>
          <w:szCs w:val="22"/>
        </w:rPr>
        <w:t>, addressing the question of how data sharing practices may be improved</w:t>
      </w:r>
      <w:r w:rsidR="002F186E" w:rsidRPr="712C3CAC">
        <w:rPr>
          <w:rFonts w:ascii="Garamond" w:hAnsi="Garamond"/>
          <w:sz w:val="22"/>
          <w:szCs w:val="22"/>
        </w:rPr>
        <w:t xml:space="preserve"> in this context</w:t>
      </w:r>
      <w:r w:rsidR="006037B6" w:rsidRPr="712C3CAC">
        <w:rPr>
          <w:rFonts w:ascii="Garamond" w:hAnsi="Garamond"/>
          <w:sz w:val="22"/>
          <w:szCs w:val="22"/>
        </w:rPr>
        <w:t xml:space="preserve">. </w:t>
      </w:r>
    </w:p>
    <w:p w14:paraId="70EFB0D3" w14:textId="77777777" w:rsidR="00105083" w:rsidRPr="00D7648A" w:rsidRDefault="00105083" w:rsidP="00FD6C10">
      <w:pPr>
        <w:jc w:val="both"/>
        <w:rPr>
          <w:rFonts w:ascii="Garamond" w:hAnsi="Garamond"/>
          <w:sz w:val="22"/>
          <w:szCs w:val="22"/>
        </w:rPr>
      </w:pPr>
    </w:p>
    <w:p w14:paraId="3B655EB0" w14:textId="3AEE53DD" w:rsidR="00C32A5A" w:rsidRPr="00D7648A" w:rsidRDefault="00C32A5A" w:rsidP="00FD6C10">
      <w:pPr>
        <w:jc w:val="both"/>
        <w:rPr>
          <w:rFonts w:ascii="Garamond" w:hAnsi="Garamond"/>
          <w:sz w:val="22"/>
          <w:szCs w:val="22"/>
        </w:rPr>
      </w:pPr>
    </w:p>
    <w:p w14:paraId="64141B87" w14:textId="46637403" w:rsidR="00C32A5A" w:rsidRPr="00D7648A" w:rsidRDefault="00C32A5A" w:rsidP="00FD6C10">
      <w:pPr>
        <w:pStyle w:val="ListParagraph"/>
        <w:numPr>
          <w:ilvl w:val="0"/>
          <w:numId w:val="5"/>
        </w:numPr>
        <w:jc w:val="both"/>
        <w:rPr>
          <w:rFonts w:ascii="Garamond" w:hAnsi="Garamond"/>
          <w:b/>
          <w:bCs/>
          <w:sz w:val="22"/>
          <w:szCs w:val="22"/>
        </w:rPr>
      </w:pPr>
      <w:r w:rsidRPr="00D7648A">
        <w:rPr>
          <w:rFonts w:ascii="Garamond" w:hAnsi="Garamond"/>
          <w:b/>
          <w:bCs/>
          <w:sz w:val="22"/>
          <w:szCs w:val="22"/>
        </w:rPr>
        <w:t>Data Sharing: Benefits and Obligations</w:t>
      </w:r>
      <w:r w:rsidR="00303027" w:rsidRPr="00D7648A">
        <w:rPr>
          <w:rFonts w:ascii="Garamond" w:hAnsi="Garamond"/>
          <w:b/>
          <w:bCs/>
          <w:sz w:val="22"/>
          <w:szCs w:val="22"/>
        </w:rPr>
        <w:t>?</w:t>
      </w:r>
    </w:p>
    <w:p w14:paraId="0674AD4C" w14:textId="1B0E2D85" w:rsidR="00105083" w:rsidRPr="00D7648A" w:rsidRDefault="00105083" w:rsidP="00FD6C10">
      <w:pPr>
        <w:jc w:val="both"/>
        <w:rPr>
          <w:rFonts w:ascii="Garamond" w:hAnsi="Garamond"/>
          <w:b/>
          <w:bCs/>
          <w:sz w:val="22"/>
          <w:szCs w:val="22"/>
        </w:rPr>
      </w:pPr>
    </w:p>
    <w:p w14:paraId="2025A922" w14:textId="7B900688" w:rsidR="008011A4" w:rsidRPr="00D7648A" w:rsidRDefault="00AA5CAA" w:rsidP="00FD6C10">
      <w:pPr>
        <w:jc w:val="both"/>
        <w:rPr>
          <w:rFonts w:ascii="Garamond" w:eastAsia="Times New Roman" w:hAnsi="Garamond" w:cs="Times New Roman"/>
          <w:sz w:val="22"/>
          <w:szCs w:val="22"/>
          <w:shd w:val="clear" w:color="auto" w:fill="FFFFFF"/>
          <w:lang w:eastAsia="en-GB"/>
        </w:rPr>
      </w:pPr>
      <w:r w:rsidRPr="00D7648A">
        <w:rPr>
          <w:rFonts w:ascii="Garamond" w:hAnsi="Garamond"/>
          <w:sz w:val="22"/>
          <w:szCs w:val="22"/>
        </w:rPr>
        <w:t>Throughout this chapter we explore the practice of data sharing in medical research and thus use the</w:t>
      </w:r>
      <w:r w:rsidR="00303027" w:rsidRPr="00D7648A">
        <w:rPr>
          <w:rFonts w:ascii="Garamond" w:hAnsi="Garamond"/>
          <w:sz w:val="22"/>
          <w:szCs w:val="22"/>
        </w:rPr>
        <w:t xml:space="preserve"> term</w:t>
      </w:r>
      <w:r w:rsidRPr="00D7648A">
        <w:rPr>
          <w:rFonts w:ascii="Garamond" w:hAnsi="Garamond"/>
          <w:sz w:val="22"/>
          <w:szCs w:val="22"/>
        </w:rPr>
        <w:t xml:space="preserve"> </w:t>
      </w:r>
      <w:r w:rsidR="00D75B96" w:rsidRPr="00D7648A">
        <w:rPr>
          <w:rFonts w:ascii="Garamond" w:hAnsi="Garamond"/>
          <w:sz w:val="22"/>
          <w:szCs w:val="22"/>
        </w:rPr>
        <w:t>‘</w:t>
      </w:r>
      <w:r w:rsidRPr="00D7648A">
        <w:rPr>
          <w:rFonts w:ascii="Garamond" w:hAnsi="Garamond"/>
          <w:sz w:val="22"/>
          <w:szCs w:val="22"/>
        </w:rPr>
        <w:t>d</w:t>
      </w:r>
      <w:r w:rsidR="00D75B96" w:rsidRPr="00D7648A">
        <w:rPr>
          <w:rFonts w:ascii="Garamond" w:hAnsi="Garamond"/>
          <w:sz w:val="22"/>
          <w:szCs w:val="22"/>
        </w:rPr>
        <w:t>ata sharing’</w:t>
      </w:r>
      <w:r w:rsidRPr="00D7648A">
        <w:rPr>
          <w:rFonts w:ascii="Garamond" w:hAnsi="Garamond"/>
          <w:sz w:val="22"/>
          <w:szCs w:val="22"/>
        </w:rPr>
        <w:t xml:space="preserve"> to refer to practices (</w:t>
      </w:r>
      <w:r w:rsidR="00303027" w:rsidRPr="00D7648A">
        <w:rPr>
          <w:rFonts w:ascii="Garamond" w:hAnsi="Garamond"/>
          <w:sz w:val="22"/>
          <w:szCs w:val="22"/>
        </w:rPr>
        <w:t xml:space="preserve">both </w:t>
      </w:r>
      <w:r w:rsidRPr="00D7648A">
        <w:rPr>
          <w:rFonts w:ascii="Garamond" w:hAnsi="Garamond"/>
          <w:sz w:val="22"/>
          <w:szCs w:val="22"/>
        </w:rPr>
        <w:t>formal and informal</w:t>
      </w:r>
      <w:r w:rsidR="00303027" w:rsidRPr="00D7648A">
        <w:rPr>
          <w:rFonts w:ascii="Garamond" w:hAnsi="Garamond"/>
          <w:sz w:val="22"/>
          <w:szCs w:val="22"/>
        </w:rPr>
        <w:t xml:space="preserve">, </w:t>
      </w:r>
      <w:r w:rsidRPr="00D7648A">
        <w:rPr>
          <w:rFonts w:ascii="Garamond" w:hAnsi="Garamond"/>
          <w:sz w:val="22"/>
          <w:szCs w:val="22"/>
        </w:rPr>
        <w:t>and coordinated and uncoordinated), in which</w:t>
      </w:r>
      <w:r w:rsidR="00DD0EF0" w:rsidRPr="00D7648A">
        <w:rPr>
          <w:rFonts w:ascii="Garamond" w:hAnsi="Garamond"/>
          <w:sz w:val="22"/>
          <w:szCs w:val="22"/>
        </w:rPr>
        <w:t xml:space="preserve"> </w:t>
      </w:r>
      <w:r w:rsidRPr="00D7648A">
        <w:rPr>
          <w:rFonts w:ascii="Garamond" w:hAnsi="Garamond"/>
          <w:sz w:val="22"/>
          <w:szCs w:val="22"/>
        </w:rPr>
        <w:t xml:space="preserve">data, gathered as part of both clinical research and practice, is made </w:t>
      </w:r>
      <w:r w:rsidR="00DD0EF0" w:rsidRPr="00D7648A">
        <w:rPr>
          <w:rFonts w:ascii="Garamond" w:hAnsi="Garamond"/>
          <w:sz w:val="22"/>
          <w:szCs w:val="22"/>
        </w:rPr>
        <w:t>accessible</w:t>
      </w:r>
      <w:r w:rsidR="00303027" w:rsidRPr="00D7648A">
        <w:rPr>
          <w:rFonts w:ascii="Garamond" w:hAnsi="Garamond"/>
          <w:sz w:val="22"/>
          <w:szCs w:val="22"/>
        </w:rPr>
        <w:t xml:space="preserve"> by researchers</w:t>
      </w:r>
      <w:r w:rsidR="00DD0EF0" w:rsidRPr="00D7648A">
        <w:rPr>
          <w:rFonts w:ascii="Garamond" w:hAnsi="Garamond"/>
          <w:sz w:val="22"/>
          <w:szCs w:val="22"/>
        </w:rPr>
        <w:t xml:space="preserve"> </w:t>
      </w:r>
      <w:r w:rsidR="00B62B6B" w:rsidRPr="00D7648A">
        <w:rPr>
          <w:rFonts w:ascii="Garamond" w:hAnsi="Garamond"/>
          <w:sz w:val="22"/>
          <w:szCs w:val="22"/>
        </w:rPr>
        <w:t>for the use of others (</w:t>
      </w:r>
      <w:r w:rsidR="1EF501A5" w:rsidRPr="00D7648A">
        <w:rPr>
          <w:rFonts w:ascii="Garamond" w:hAnsi="Garamond"/>
          <w:sz w:val="22"/>
          <w:szCs w:val="22"/>
        </w:rPr>
        <w:t>e.g.,</w:t>
      </w:r>
      <w:r w:rsidR="00D15362" w:rsidRPr="00D7648A">
        <w:rPr>
          <w:rFonts w:ascii="Garamond" w:hAnsi="Garamond"/>
          <w:sz w:val="22"/>
          <w:szCs w:val="22"/>
        </w:rPr>
        <w:t xml:space="preserve"> </w:t>
      </w:r>
      <w:r w:rsidR="00B62B6B" w:rsidRPr="00D7648A">
        <w:rPr>
          <w:rFonts w:ascii="Garamond" w:hAnsi="Garamond"/>
          <w:sz w:val="22"/>
          <w:szCs w:val="22"/>
        </w:rPr>
        <w:t>named individuals, groups, or</w:t>
      </w:r>
      <w:r w:rsidR="000660FB" w:rsidRPr="00D7648A">
        <w:rPr>
          <w:rFonts w:ascii="Garamond" w:hAnsi="Garamond"/>
          <w:sz w:val="22"/>
          <w:szCs w:val="22"/>
        </w:rPr>
        <w:t xml:space="preserve"> to</w:t>
      </w:r>
      <w:r w:rsidR="00B62B6B" w:rsidRPr="00D7648A">
        <w:rPr>
          <w:rFonts w:ascii="Garamond" w:hAnsi="Garamond"/>
          <w:sz w:val="22"/>
          <w:szCs w:val="22"/>
        </w:rPr>
        <w:t xml:space="preserve"> the public more generally).</w:t>
      </w:r>
      <w:r w:rsidR="000660FB" w:rsidRPr="00D7648A">
        <w:rPr>
          <w:rFonts w:ascii="Garamond" w:hAnsi="Garamond"/>
          <w:sz w:val="22"/>
          <w:szCs w:val="22"/>
        </w:rPr>
        <w:t xml:space="preserve"> Provided it is in keeping with </w:t>
      </w:r>
      <w:r w:rsidR="006B3B6F" w:rsidRPr="00D7648A">
        <w:rPr>
          <w:rFonts w:ascii="Garamond" w:hAnsi="Garamond"/>
          <w:sz w:val="22"/>
          <w:szCs w:val="22"/>
        </w:rPr>
        <w:t xml:space="preserve">relevant legal, disciplinary, ethical, and regulatory frameworks, </w:t>
      </w:r>
      <w:r w:rsidR="002566CF" w:rsidRPr="00D7648A">
        <w:rPr>
          <w:rFonts w:ascii="Garamond" w:hAnsi="Garamond"/>
          <w:sz w:val="22"/>
          <w:szCs w:val="22"/>
        </w:rPr>
        <w:t xml:space="preserve">the practice of </w:t>
      </w:r>
      <w:r w:rsidR="000660FB" w:rsidRPr="00D7648A">
        <w:rPr>
          <w:rFonts w:ascii="Garamond" w:hAnsi="Garamond"/>
          <w:sz w:val="22"/>
          <w:szCs w:val="22"/>
        </w:rPr>
        <w:t xml:space="preserve">data sharing </w:t>
      </w:r>
      <w:r w:rsidR="005014FC" w:rsidRPr="00D7648A">
        <w:rPr>
          <w:rFonts w:ascii="Garamond" w:hAnsi="Garamond"/>
          <w:sz w:val="22"/>
          <w:szCs w:val="22"/>
        </w:rPr>
        <w:t xml:space="preserve">in medical research is </w:t>
      </w:r>
      <w:r w:rsidR="000660FB" w:rsidRPr="00D7648A">
        <w:rPr>
          <w:rFonts w:ascii="Garamond" w:hAnsi="Garamond"/>
          <w:sz w:val="22"/>
          <w:szCs w:val="22"/>
        </w:rPr>
        <w:t>widely supported by</w:t>
      </w:r>
      <w:r w:rsidR="005014FC" w:rsidRPr="00D7648A">
        <w:rPr>
          <w:rFonts w:ascii="Garamond" w:hAnsi="Garamond"/>
          <w:sz w:val="22"/>
          <w:szCs w:val="22"/>
        </w:rPr>
        <w:t xml:space="preserve"> governments</w:t>
      </w:r>
      <w:r w:rsidR="00270F30" w:rsidRPr="00D7648A">
        <w:rPr>
          <w:rFonts w:ascii="Garamond" w:hAnsi="Garamond"/>
          <w:sz w:val="22"/>
          <w:szCs w:val="22"/>
        </w:rPr>
        <w:t xml:space="preserve"> worldwide</w:t>
      </w:r>
      <w:r w:rsidR="005014FC" w:rsidRPr="00D7648A">
        <w:rPr>
          <w:rFonts w:ascii="Garamond" w:hAnsi="Garamond"/>
          <w:sz w:val="22"/>
          <w:szCs w:val="22"/>
        </w:rPr>
        <w:t xml:space="preserve"> such as</w:t>
      </w:r>
      <w:r w:rsidR="002566CF" w:rsidRPr="00D7648A">
        <w:rPr>
          <w:rFonts w:ascii="Garamond" w:hAnsi="Garamond"/>
          <w:sz w:val="22"/>
          <w:szCs w:val="22"/>
        </w:rPr>
        <w:t xml:space="preserve">: </w:t>
      </w:r>
      <w:r w:rsidR="005014FC" w:rsidRPr="00D7648A">
        <w:rPr>
          <w:rFonts w:ascii="Garamond" w:hAnsi="Garamond"/>
          <w:sz w:val="22"/>
          <w:szCs w:val="22"/>
        </w:rPr>
        <w:t xml:space="preserve"> the European Commission which </w:t>
      </w:r>
      <w:r w:rsidR="00C17D31" w:rsidRPr="00D7648A">
        <w:rPr>
          <w:rFonts w:ascii="Garamond" w:hAnsi="Garamond"/>
          <w:sz w:val="22"/>
          <w:szCs w:val="22"/>
        </w:rPr>
        <w:t>views</w:t>
      </w:r>
      <w:r w:rsidR="005014FC" w:rsidRPr="00D7648A">
        <w:rPr>
          <w:rFonts w:ascii="Garamond" w:hAnsi="Garamond"/>
          <w:sz w:val="22"/>
          <w:szCs w:val="22"/>
        </w:rPr>
        <w:t xml:space="preserve"> ‘open access to publications and research data</w:t>
      </w:r>
      <w:r w:rsidR="002D47CC" w:rsidRPr="00D7648A">
        <w:rPr>
          <w:rFonts w:ascii="Garamond" w:hAnsi="Garamond"/>
          <w:sz w:val="22"/>
          <w:szCs w:val="22"/>
        </w:rPr>
        <w:t>’</w:t>
      </w:r>
      <w:r w:rsidR="002D47CC" w:rsidRPr="00D7648A">
        <w:rPr>
          <w:rStyle w:val="FootnoteReference"/>
          <w:rFonts w:ascii="Garamond" w:hAnsi="Garamond"/>
          <w:sz w:val="22"/>
          <w:szCs w:val="22"/>
        </w:rPr>
        <w:footnoteReference w:id="3"/>
      </w:r>
      <w:r w:rsidR="002D47CC" w:rsidRPr="00D7648A">
        <w:rPr>
          <w:rFonts w:ascii="Garamond" w:hAnsi="Garamond"/>
          <w:sz w:val="22"/>
          <w:szCs w:val="22"/>
        </w:rPr>
        <w:t xml:space="preserve"> as a cornerstone of its ‘Open Science’ policy</w:t>
      </w:r>
      <w:r w:rsidR="00D14C1E" w:rsidRPr="00D7648A">
        <w:rPr>
          <w:rFonts w:ascii="Garamond" w:hAnsi="Garamond"/>
          <w:sz w:val="22"/>
          <w:szCs w:val="22"/>
        </w:rPr>
        <w:t>,</w:t>
      </w:r>
      <w:r w:rsidR="002D47CC" w:rsidRPr="00D7648A">
        <w:rPr>
          <w:rFonts w:ascii="Garamond" w:hAnsi="Garamond"/>
          <w:sz w:val="22"/>
          <w:szCs w:val="22"/>
        </w:rPr>
        <w:t xml:space="preserve"> </w:t>
      </w:r>
      <w:r w:rsidR="00D14C1E" w:rsidRPr="00D7648A">
        <w:rPr>
          <w:rFonts w:ascii="Garamond" w:hAnsi="Garamond"/>
          <w:sz w:val="22"/>
          <w:szCs w:val="22"/>
        </w:rPr>
        <w:t xml:space="preserve">and </w:t>
      </w:r>
      <w:r w:rsidR="002566CF" w:rsidRPr="00D7648A">
        <w:rPr>
          <w:rFonts w:ascii="Garamond" w:hAnsi="Garamond"/>
          <w:sz w:val="22"/>
          <w:szCs w:val="22"/>
        </w:rPr>
        <w:t>the</w:t>
      </w:r>
      <w:r w:rsidR="540E522B" w:rsidRPr="00D7648A">
        <w:rPr>
          <w:rFonts w:ascii="Garamond" w:hAnsi="Garamond"/>
          <w:sz w:val="22"/>
          <w:szCs w:val="22"/>
        </w:rPr>
        <w:t xml:space="preserve"> United Kingdom</w:t>
      </w:r>
      <w:r w:rsidR="467469BC" w:rsidRPr="00D7648A">
        <w:rPr>
          <w:rFonts w:ascii="Garamond" w:hAnsi="Garamond"/>
          <w:sz w:val="22"/>
          <w:szCs w:val="22"/>
        </w:rPr>
        <w:t xml:space="preserve"> (UK)</w:t>
      </w:r>
      <w:r w:rsidR="00B07029" w:rsidRPr="00D7648A">
        <w:rPr>
          <w:rFonts w:ascii="Garamond" w:hAnsi="Garamond"/>
          <w:sz w:val="22"/>
          <w:szCs w:val="22"/>
        </w:rPr>
        <w:t>, which</w:t>
      </w:r>
      <w:r w:rsidR="00C70494" w:rsidRPr="00D7648A">
        <w:rPr>
          <w:rFonts w:ascii="Garamond" w:hAnsi="Garamond"/>
          <w:sz w:val="22"/>
          <w:szCs w:val="22"/>
        </w:rPr>
        <w:t xml:space="preserve"> has</w:t>
      </w:r>
      <w:r w:rsidR="00B07029" w:rsidRPr="00D7648A">
        <w:rPr>
          <w:rFonts w:ascii="Garamond" w:hAnsi="Garamond"/>
          <w:sz w:val="22"/>
          <w:szCs w:val="22"/>
        </w:rPr>
        <w:t xml:space="preserve"> noted plans to mandate open publication and strongly incentivise open data sharing for government funded research</w:t>
      </w:r>
      <w:r w:rsidR="00C70494" w:rsidRPr="00D7648A">
        <w:rPr>
          <w:rFonts w:ascii="Garamond" w:hAnsi="Garamond"/>
          <w:sz w:val="22"/>
          <w:szCs w:val="22"/>
        </w:rPr>
        <w:t>.</w:t>
      </w:r>
      <w:r w:rsidR="00B07029" w:rsidRPr="00D7648A">
        <w:rPr>
          <w:rFonts w:ascii="Garamond" w:hAnsi="Garamond"/>
          <w:sz w:val="22"/>
          <w:szCs w:val="22"/>
        </w:rPr>
        <w:t>’</w:t>
      </w:r>
      <w:r w:rsidR="00B07029" w:rsidRPr="00D7648A">
        <w:rPr>
          <w:rStyle w:val="FootnoteReference"/>
          <w:rFonts w:ascii="Garamond" w:hAnsi="Garamond"/>
          <w:sz w:val="22"/>
          <w:szCs w:val="22"/>
        </w:rPr>
        <w:footnoteReference w:id="4"/>
      </w:r>
      <w:r w:rsidR="00270F30" w:rsidRPr="00D7648A">
        <w:rPr>
          <w:rFonts w:ascii="Garamond" w:hAnsi="Garamond"/>
          <w:sz w:val="22"/>
          <w:szCs w:val="22"/>
        </w:rPr>
        <w:t xml:space="preserve"> This commitment is also echoed by numerous international groups and funders of scientific research</w:t>
      </w:r>
      <w:r w:rsidR="00943F28" w:rsidRPr="00D7648A">
        <w:rPr>
          <w:rFonts w:ascii="Garamond" w:hAnsi="Garamond"/>
          <w:sz w:val="22"/>
          <w:szCs w:val="22"/>
        </w:rPr>
        <w:t xml:space="preserve">. These include: </w:t>
      </w:r>
      <w:r w:rsidR="00C70494" w:rsidRPr="00D7648A">
        <w:rPr>
          <w:rFonts w:ascii="Garamond" w:hAnsi="Garamond"/>
          <w:sz w:val="22"/>
          <w:szCs w:val="22"/>
        </w:rPr>
        <w:t xml:space="preserve"> the World Medical Association</w:t>
      </w:r>
      <w:r w:rsidR="00074B1A" w:rsidRPr="00D7648A">
        <w:rPr>
          <w:rFonts w:ascii="Garamond" w:hAnsi="Garamond"/>
          <w:sz w:val="22"/>
          <w:szCs w:val="22"/>
        </w:rPr>
        <w:t xml:space="preserve"> (WMA)</w:t>
      </w:r>
      <w:r w:rsidR="00C70494" w:rsidRPr="00D7648A">
        <w:rPr>
          <w:rFonts w:ascii="Garamond" w:hAnsi="Garamond"/>
          <w:sz w:val="22"/>
          <w:szCs w:val="22"/>
        </w:rPr>
        <w:t>, which in the 2013</w:t>
      </w:r>
      <w:r w:rsidR="00E73C2D" w:rsidRPr="00D7648A">
        <w:rPr>
          <w:rFonts w:ascii="Garamond" w:hAnsi="Garamond"/>
          <w:sz w:val="22"/>
          <w:szCs w:val="22"/>
        </w:rPr>
        <w:t xml:space="preserve"> update to the</w:t>
      </w:r>
      <w:r w:rsidR="00C70494" w:rsidRPr="00D7648A">
        <w:rPr>
          <w:rFonts w:ascii="Garamond" w:hAnsi="Garamond"/>
          <w:sz w:val="22"/>
          <w:szCs w:val="22"/>
        </w:rPr>
        <w:t xml:space="preserve"> </w:t>
      </w:r>
      <w:r w:rsidR="00207563" w:rsidRPr="00D7648A">
        <w:rPr>
          <w:rFonts w:ascii="Garamond" w:hAnsi="Garamond"/>
          <w:sz w:val="22"/>
          <w:szCs w:val="22"/>
        </w:rPr>
        <w:t>‘</w:t>
      </w:r>
      <w:r w:rsidR="00E73C2D" w:rsidRPr="00D7648A">
        <w:rPr>
          <w:rFonts w:ascii="Garamond" w:hAnsi="Garamond"/>
          <w:sz w:val="22"/>
          <w:szCs w:val="22"/>
        </w:rPr>
        <w:t>Declaration of Helsinki</w:t>
      </w:r>
      <w:r w:rsidR="00207563" w:rsidRPr="00D7648A">
        <w:rPr>
          <w:rFonts w:ascii="Garamond" w:hAnsi="Garamond"/>
          <w:sz w:val="22"/>
          <w:szCs w:val="22"/>
        </w:rPr>
        <w:t>’</w:t>
      </w:r>
      <w:r w:rsidR="00E73C2D" w:rsidRPr="00D7648A">
        <w:rPr>
          <w:rFonts w:ascii="Garamond" w:hAnsi="Garamond"/>
          <w:sz w:val="22"/>
          <w:szCs w:val="22"/>
        </w:rPr>
        <w:t xml:space="preserve"> stated </w:t>
      </w:r>
      <w:r w:rsidR="00E73C2D" w:rsidRPr="00D7648A">
        <w:rPr>
          <w:rFonts w:ascii="Garamond" w:eastAsia="Times New Roman" w:hAnsi="Garamond" w:cs="Times New Roman"/>
          <w:sz w:val="22"/>
          <w:szCs w:val="22"/>
          <w:lang w:eastAsia="en-GB"/>
        </w:rPr>
        <w:t>a duty on the part of researchers “to make publicly available the results of their research on human subjects”</w:t>
      </w:r>
      <w:r w:rsidR="00E73C2D" w:rsidRPr="00D7648A">
        <w:rPr>
          <w:rStyle w:val="FootnoteReference"/>
          <w:rFonts w:ascii="Garamond" w:eastAsia="Times New Roman" w:hAnsi="Garamond" w:cs="Times New Roman"/>
          <w:sz w:val="22"/>
          <w:szCs w:val="22"/>
          <w:lang w:eastAsia="en-GB"/>
        </w:rPr>
        <w:footnoteReference w:id="5"/>
      </w:r>
      <w:r w:rsidR="00943F28" w:rsidRPr="00D7648A">
        <w:rPr>
          <w:rFonts w:ascii="Garamond" w:eastAsia="Times New Roman" w:hAnsi="Garamond" w:cs="Times New Roman"/>
          <w:sz w:val="22"/>
          <w:szCs w:val="22"/>
          <w:lang w:eastAsia="en-GB"/>
        </w:rPr>
        <w:t>; the World Health Organisation</w:t>
      </w:r>
      <w:r w:rsidR="00074B1A" w:rsidRPr="00D7648A">
        <w:rPr>
          <w:rFonts w:ascii="Garamond" w:eastAsia="Times New Roman" w:hAnsi="Garamond" w:cs="Times New Roman"/>
          <w:sz w:val="22"/>
          <w:szCs w:val="22"/>
          <w:lang w:eastAsia="en-GB"/>
        </w:rPr>
        <w:t xml:space="preserve"> (WHO)</w:t>
      </w:r>
      <w:r w:rsidR="00943F28" w:rsidRPr="00D7648A">
        <w:rPr>
          <w:rFonts w:ascii="Garamond" w:eastAsia="Times New Roman" w:hAnsi="Garamond" w:cs="Times New Roman"/>
          <w:sz w:val="22"/>
          <w:szCs w:val="22"/>
          <w:lang w:eastAsia="en-GB"/>
        </w:rPr>
        <w:t xml:space="preserve">, which in its </w:t>
      </w:r>
      <w:r w:rsidR="00207563" w:rsidRPr="00D7648A">
        <w:rPr>
          <w:rFonts w:ascii="Garamond" w:eastAsia="Times New Roman" w:hAnsi="Garamond" w:cs="Times New Roman"/>
          <w:sz w:val="22"/>
          <w:szCs w:val="22"/>
          <w:lang w:eastAsia="en-GB"/>
        </w:rPr>
        <w:t>‘Data Principles’ note their commitment to</w:t>
      </w:r>
      <w:r w:rsidR="00093A38" w:rsidRPr="00D7648A">
        <w:rPr>
          <w:rFonts w:ascii="Garamond" w:eastAsia="Times New Roman" w:hAnsi="Garamond" w:cs="Times New Roman"/>
          <w:sz w:val="22"/>
          <w:szCs w:val="22"/>
          <w:lang w:eastAsia="en-GB"/>
        </w:rPr>
        <w:t xml:space="preserve"> </w:t>
      </w:r>
      <w:r w:rsidR="00050F8A" w:rsidRPr="00D7648A">
        <w:rPr>
          <w:rFonts w:ascii="Garamond" w:eastAsia="Times New Roman" w:hAnsi="Garamond" w:cs="Times New Roman"/>
          <w:sz w:val="22"/>
          <w:szCs w:val="22"/>
          <w:lang w:eastAsia="en-GB"/>
        </w:rPr>
        <w:t>releasing and sharing data publicly where to do so is safe and ethical</w:t>
      </w:r>
      <w:r w:rsidR="00050F8A" w:rsidRPr="00D7648A">
        <w:rPr>
          <w:rStyle w:val="FootnoteReference"/>
          <w:rFonts w:ascii="Garamond" w:eastAsia="Times New Roman" w:hAnsi="Garamond" w:cs="Times New Roman"/>
          <w:sz w:val="22"/>
          <w:szCs w:val="22"/>
          <w:lang w:eastAsia="en-GB"/>
        </w:rPr>
        <w:footnoteReference w:id="6"/>
      </w:r>
      <w:r w:rsidR="00093A38" w:rsidRPr="00D7648A">
        <w:rPr>
          <w:rFonts w:ascii="Garamond" w:eastAsia="Times New Roman" w:hAnsi="Garamond" w:cs="Times New Roman"/>
          <w:sz w:val="22"/>
          <w:szCs w:val="22"/>
          <w:lang w:eastAsia="en-GB"/>
        </w:rPr>
        <w:t xml:space="preserve">; </w:t>
      </w:r>
      <w:r w:rsidR="00344E89" w:rsidRPr="00D7648A">
        <w:rPr>
          <w:rFonts w:ascii="Garamond" w:eastAsia="Times New Roman" w:hAnsi="Garamond" w:cs="Times New Roman"/>
          <w:sz w:val="22"/>
          <w:szCs w:val="22"/>
          <w:lang w:eastAsia="en-GB"/>
        </w:rPr>
        <w:t>the UK’</w:t>
      </w:r>
      <w:r w:rsidR="000A2BD6" w:rsidRPr="00D7648A">
        <w:rPr>
          <w:rFonts w:ascii="Garamond" w:eastAsia="Times New Roman" w:hAnsi="Garamond" w:cs="Times New Roman"/>
          <w:sz w:val="22"/>
          <w:szCs w:val="22"/>
          <w:lang w:eastAsia="en-GB"/>
        </w:rPr>
        <w:t>s</w:t>
      </w:r>
      <w:r w:rsidR="00344E89" w:rsidRPr="00D7648A">
        <w:rPr>
          <w:rFonts w:ascii="Garamond" w:eastAsia="Times New Roman" w:hAnsi="Garamond" w:cs="Times New Roman"/>
          <w:sz w:val="22"/>
          <w:szCs w:val="22"/>
          <w:lang w:eastAsia="en-GB"/>
        </w:rPr>
        <w:t xml:space="preserve"> National Institute for Health Research</w:t>
      </w:r>
      <w:r w:rsidR="00074B1A" w:rsidRPr="00D7648A">
        <w:rPr>
          <w:rFonts w:ascii="Garamond" w:eastAsia="Times New Roman" w:hAnsi="Garamond" w:cs="Times New Roman"/>
          <w:sz w:val="22"/>
          <w:szCs w:val="22"/>
          <w:lang w:eastAsia="en-GB"/>
        </w:rPr>
        <w:t xml:space="preserve"> (NIHR)</w:t>
      </w:r>
      <w:r w:rsidR="00344E89" w:rsidRPr="00D7648A">
        <w:rPr>
          <w:rFonts w:ascii="Garamond" w:eastAsia="Times New Roman" w:hAnsi="Garamond" w:cs="Times New Roman"/>
          <w:sz w:val="22"/>
          <w:szCs w:val="22"/>
          <w:lang w:eastAsia="en-GB"/>
        </w:rPr>
        <w:t xml:space="preserve"> which states its “strong support” for the “appropriate” sharing of data as part of its commitment </w:t>
      </w:r>
      <w:r w:rsidR="374EB108" w:rsidRPr="00D7648A">
        <w:rPr>
          <w:rFonts w:ascii="Garamond" w:eastAsia="Times New Roman" w:hAnsi="Garamond" w:cs="Times New Roman"/>
          <w:sz w:val="22"/>
          <w:szCs w:val="22"/>
          <w:lang w:eastAsia="en-GB"/>
        </w:rPr>
        <w:t>to “</w:t>
      </w:r>
      <w:r w:rsidR="00344E89" w:rsidRPr="00D7648A">
        <w:rPr>
          <w:rFonts w:ascii="Garamond" w:eastAsia="Times New Roman" w:hAnsi="Garamond" w:cs="Times New Roman"/>
          <w:sz w:val="22"/>
          <w:szCs w:val="22"/>
          <w:lang w:eastAsia="en-GB"/>
        </w:rPr>
        <w:t>continuous improvement in the field of research openness and transparency”</w:t>
      </w:r>
      <w:r w:rsidR="00344E89" w:rsidRPr="00D7648A">
        <w:rPr>
          <w:rStyle w:val="FootnoteReference"/>
          <w:rFonts w:ascii="Garamond" w:eastAsia="Times New Roman" w:hAnsi="Garamond" w:cs="Times New Roman"/>
          <w:sz w:val="22"/>
          <w:szCs w:val="22"/>
          <w:lang w:eastAsia="en-GB"/>
        </w:rPr>
        <w:footnoteReference w:id="7"/>
      </w:r>
      <w:r w:rsidR="00E06F97" w:rsidRPr="00D7648A">
        <w:rPr>
          <w:rFonts w:ascii="Garamond" w:eastAsia="Times New Roman" w:hAnsi="Garamond" w:cs="Times New Roman"/>
          <w:sz w:val="22"/>
          <w:szCs w:val="22"/>
          <w:lang w:eastAsia="en-GB"/>
        </w:rPr>
        <w:t>,</w:t>
      </w:r>
      <w:r w:rsidR="00074B1A" w:rsidRPr="00D7648A">
        <w:rPr>
          <w:rFonts w:ascii="Garamond" w:eastAsia="Times New Roman" w:hAnsi="Garamond" w:cs="Times New Roman"/>
          <w:sz w:val="22"/>
          <w:szCs w:val="22"/>
          <w:lang w:eastAsia="en-GB"/>
        </w:rPr>
        <w:t xml:space="preserve"> and</w:t>
      </w:r>
      <w:r w:rsidR="00E06F97" w:rsidRPr="00D7648A">
        <w:rPr>
          <w:rFonts w:ascii="Garamond" w:eastAsia="Times New Roman" w:hAnsi="Garamond" w:cs="Times New Roman"/>
          <w:sz w:val="22"/>
          <w:szCs w:val="22"/>
          <w:lang w:eastAsia="en-GB"/>
        </w:rPr>
        <w:t xml:space="preserve"> </w:t>
      </w:r>
      <w:r w:rsidR="000A2BD6" w:rsidRPr="00D7648A">
        <w:rPr>
          <w:rFonts w:ascii="Garamond" w:eastAsia="Times New Roman" w:hAnsi="Garamond" w:cs="Times New Roman"/>
          <w:sz w:val="22"/>
          <w:szCs w:val="22"/>
          <w:lang w:eastAsia="en-GB"/>
        </w:rPr>
        <w:t>The US National Institutes of Health</w:t>
      </w:r>
      <w:r w:rsidR="00074B1A" w:rsidRPr="00D7648A">
        <w:rPr>
          <w:rFonts w:ascii="Garamond" w:eastAsia="Times New Roman" w:hAnsi="Garamond" w:cs="Times New Roman"/>
          <w:sz w:val="22"/>
          <w:szCs w:val="22"/>
          <w:lang w:eastAsia="en-GB"/>
        </w:rPr>
        <w:t xml:space="preserve"> (NIH) makes clear its expectation that data from NIH funded research and institutions</w:t>
      </w:r>
      <w:r w:rsidR="00925273" w:rsidRPr="00D7648A">
        <w:rPr>
          <w:rFonts w:ascii="Garamond" w:eastAsia="Times New Roman" w:hAnsi="Garamond" w:cs="Times New Roman"/>
          <w:sz w:val="22"/>
          <w:szCs w:val="22"/>
          <w:lang w:eastAsia="en-GB"/>
        </w:rPr>
        <w:t xml:space="preserve"> “</w:t>
      </w:r>
      <w:r w:rsidR="00925273" w:rsidRPr="00D7648A">
        <w:rPr>
          <w:rFonts w:ascii="Garamond" w:eastAsia="Times New Roman" w:hAnsi="Garamond" w:cs="Times New Roman"/>
          <w:sz w:val="22"/>
          <w:szCs w:val="22"/>
          <w:shd w:val="clear" w:color="auto" w:fill="FFFFFF"/>
          <w:lang w:eastAsia="en-GB"/>
        </w:rPr>
        <w:t>should be made available to the public through effective and efficient data management and data sharing practices”</w:t>
      </w:r>
      <w:r w:rsidR="00925273" w:rsidRPr="00D7648A">
        <w:rPr>
          <w:rStyle w:val="FootnoteReference"/>
          <w:rFonts w:ascii="Garamond" w:eastAsia="Times New Roman" w:hAnsi="Garamond" w:cs="Times New Roman"/>
          <w:sz w:val="22"/>
          <w:szCs w:val="22"/>
          <w:shd w:val="clear" w:color="auto" w:fill="FFFFFF"/>
          <w:lang w:eastAsia="en-GB"/>
        </w:rPr>
        <w:footnoteReference w:id="8"/>
      </w:r>
      <w:r w:rsidR="00925273" w:rsidRPr="00D7648A">
        <w:rPr>
          <w:rFonts w:ascii="Garamond" w:eastAsia="Times New Roman" w:hAnsi="Garamond" w:cs="Times New Roman"/>
          <w:sz w:val="22"/>
          <w:szCs w:val="22"/>
          <w:shd w:val="clear" w:color="auto" w:fill="FFFFFF"/>
          <w:lang w:eastAsia="en-GB"/>
        </w:rPr>
        <w:t xml:space="preserve"> where possible. </w:t>
      </w:r>
    </w:p>
    <w:p w14:paraId="1288FAD0" w14:textId="2C0AB935" w:rsidR="008011A4" w:rsidRPr="00D7648A" w:rsidRDefault="008011A4" w:rsidP="00FD6C10">
      <w:pPr>
        <w:jc w:val="both"/>
        <w:rPr>
          <w:rFonts w:ascii="Garamond" w:eastAsia="Times New Roman" w:hAnsi="Garamond" w:cs="Times New Roman"/>
          <w:sz w:val="22"/>
          <w:szCs w:val="22"/>
          <w:shd w:val="clear" w:color="auto" w:fill="FFFFFF"/>
          <w:lang w:eastAsia="en-GB"/>
        </w:rPr>
      </w:pPr>
    </w:p>
    <w:p w14:paraId="437E0914" w14:textId="77B9BA2A" w:rsidR="00304369" w:rsidRPr="00D7648A" w:rsidRDefault="2C16BE92" w:rsidP="00FD6C10">
      <w:pPr>
        <w:jc w:val="both"/>
        <w:rPr>
          <w:rFonts w:ascii="Garamond" w:eastAsia="Times New Roman" w:hAnsi="Garamond" w:cs="Times New Roman"/>
          <w:sz w:val="22"/>
          <w:szCs w:val="22"/>
          <w:lang w:eastAsia="en-GB"/>
        </w:rPr>
      </w:pPr>
      <w:r w:rsidRPr="00D7648A">
        <w:rPr>
          <w:rFonts w:ascii="Garamond" w:eastAsia="Times New Roman" w:hAnsi="Garamond" w:cs="Times New Roman"/>
          <w:sz w:val="22"/>
          <w:szCs w:val="22"/>
          <w:shd w:val="clear" w:color="auto" w:fill="FFFFFF"/>
          <w:lang w:eastAsia="en-GB"/>
        </w:rPr>
        <w:t>This position, on the desirability of data-sharing</w:t>
      </w:r>
      <w:r w:rsidR="275423E5" w:rsidRPr="00D7648A">
        <w:rPr>
          <w:rFonts w:ascii="Garamond" w:eastAsia="Times New Roman" w:hAnsi="Garamond" w:cs="Times New Roman"/>
          <w:sz w:val="22"/>
          <w:szCs w:val="22"/>
          <w:shd w:val="clear" w:color="auto" w:fill="FFFFFF"/>
          <w:lang w:eastAsia="en-GB"/>
        </w:rPr>
        <w:t xml:space="preserve">, is supported by </w:t>
      </w:r>
      <w:r w:rsidR="55CA4540" w:rsidRPr="00D7648A">
        <w:rPr>
          <w:rFonts w:ascii="Garamond" w:eastAsia="Times New Roman" w:hAnsi="Garamond" w:cs="Times New Roman"/>
          <w:sz w:val="22"/>
          <w:szCs w:val="22"/>
          <w:shd w:val="clear" w:color="auto" w:fill="FFFFFF"/>
          <w:lang w:eastAsia="en-GB"/>
        </w:rPr>
        <w:t>numerous</w:t>
      </w:r>
      <w:r w:rsidR="3402A38F" w:rsidRPr="00D7648A">
        <w:rPr>
          <w:rFonts w:ascii="Garamond" w:eastAsia="Times New Roman" w:hAnsi="Garamond" w:cs="Times New Roman"/>
          <w:sz w:val="22"/>
          <w:szCs w:val="22"/>
          <w:shd w:val="clear" w:color="auto" w:fill="FFFFFF"/>
          <w:lang w:eastAsia="en-GB"/>
        </w:rPr>
        <w:t xml:space="preserve"> practical and </w:t>
      </w:r>
      <w:r w:rsidR="275423E5" w:rsidRPr="00D7648A">
        <w:rPr>
          <w:rFonts w:ascii="Garamond" w:eastAsia="Times New Roman" w:hAnsi="Garamond" w:cs="Times New Roman"/>
          <w:sz w:val="22"/>
          <w:szCs w:val="22"/>
          <w:shd w:val="clear" w:color="auto" w:fill="FFFFFF"/>
          <w:lang w:eastAsia="en-GB"/>
        </w:rPr>
        <w:t>ethical considerations</w:t>
      </w:r>
      <w:r w:rsidR="2C15CE23" w:rsidRPr="00D7648A">
        <w:rPr>
          <w:rFonts w:ascii="Garamond" w:eastAsia="Times New Roman" w:hAnsi="Garamond" w:cs="Times New Roman"/>
          <w:sz w:val="22"/>
          <w:szCs w:val="22"/>
          <w:shd w:val="clear" w:color="auto" w:fill="FFFFFF"/>
          <w:lang w:eastAsia="en-GB"/>
        </w:rPr>
        <w:t xml:space="preserve"> which</w:t>
      </w:r>
      <w:r w:rsidR="008F44D6" w:rsidRPr="00D7648A">
        <w:rPr>
          <w:rFonts w:ascii="Garamond" w:eastAsia="Times New Roman" w:hAnsi="Garamond" w:cs="Times New Roman"/>
          <w:sz w:val="22"/>
          <w:szCs w:val="22"/>
          <w:shd w:val="clear" w:color="auto" w:fill="FFFFFF"/>
          <w:lang w:eastAsia="en-GB"/>
        </w:rPr>
        <w:t>,</w:t>
      </w:r>
      <w:r w:rsidR="2C15CE23" w:rsidRPr="00D7648A">
        <w:rPr>
          <w:rFonts w:ascii="Garamond" w:eastAsia="Times New Roman" w:hAnsi="Garamond" w:cs="Times New Roman"/>
          <w:sz w:val="22"/>
          <w:szCs w:val="22"/>
          <w:shd w:val="clear" w:color="auto" w:fill="FFFFFF"/>
          <w:lang w:eastAsia="en-GB"/>
        </w:rPr>
        <w:t xml:space="preserve"> we suggest</w:t>
      </w:r>
      <w:r w:rsidR="008F44D6" w:rsidRPr="00D7648A">
        <w:rPr>
          <w:rFonts w:ascii="Garamond" w:eastAsia="Times New Roman" w:hAnsi="Garamond" w:cs="Times New Roman"/>
          <w:sz w:val="22"/>
          <w:szCs w:val="22"/>
          <w:shd w:val="clear" w:color="auto" w:fill="FFFFFF"/>
          <w:lang w:eastAsia="en-GB"/>
        </w:rPr>
        <w:t>,</w:t>
      </w:r>
      <w:r w:rsidR="2C15CE23" w:rsidRPr="00D7648A">
        <w:rPr>
          <w:rFonts w:ascii="Garamond" w:eastAsia="Times New Roman" w:hAnsi="Garamond" w:cs="Times New Roman"/>
          <w:sz w:val="22"/>
          <w:szCs w:val="22"/>
          <w:shd w:val="clear" w:color="auto" w:fill="FFFFFF"/>
          <w:lang w:eastAsia="en-GB"/>
        </w:rPr>
        <w:t xml:space="preserve"> lead to a </w:t>
      </w:r>
      <w:r w:rsidR="2C15CE23" w:rsidRPr="00D7648A">
        <w:rPr>
          <w:rFonts w:ascii="Garamond" w:eastAsia="Times New Roman" w:hAnsi="Garamond" w:cs="Times New Roman"/>
          <w:i/>
          <w:iCs/>
          <w:sz w:val="22"/>
          <w:szCs w:val="22"/>
          <w:shd w:val="clear" w:color="auto" w:fill="FFFFFF"/>
          <w:lang w:eastAsia="en-GB"/>
        </w:rPr>
        <w:t>pro tanto</w:t>
      </w:r>
      <w:r w:rsidR="2C15CE23" w:rsidRPr="00D7648A">
        <w:rPr>
          <w:rFonts w:ascii="Garamond" w:eastAsia="Times New Roman" w:hAnsi="Garamond" w:cs="Times New Roman"/>
          <w:sz w:val="22"/>
          <w:szCs w:val="22"/>
          <w:shd w:val="clear" w:color="auto" w:fill="FFFFFF"/>
          <w:lang w:eastAsia="en-GB"/>
        </w:rPr>
        <w:t xml:space="preserve"> moral obligation on the part of researchers to share data and thus, to</w:t>
      </w:r>
      <w:r w:rsidR="435544DC" w:rsidRPr="00D7648A">
        <w:rPr>
          <w:rFonts w:ascii="Garamond" w:eastAsia="Times New Roman" w:hAnsi="Garamond" w:cs="Times New Roman"/>
          <w:sz w:val="22"/>
          <w:szCs w:val="22"/>
          <w:shd w:val="clear" w:color="auto" w:fill="FFFFFF"/>
          <w:lang w:eastAsia="en-GB"/>
        </w:rPr>
        <w:t xml:space="preserve"> adopting</w:t>
      </w:r>
      <w:r w:rsidR="2C15CE23" w:rsidRPr="00D7648A">
        <w:rPr>
          <w:rFonts w:ascii="Garamond" w:eastAsia="Times New Roman" w:hAnsi="Garamond" w:cs="Times New Roman"/>
          <w:sz w:val="22"/>
          <w:szCs w:val="22"/>
          <w:shd w:val="clear" w:color="auto" w:fill="FFFFFF"/>
          <w:lang w:eastAsia="en-GB"/>
        </w:rPr>
        <w:t xml:space="preserve"> a pro-active approach to ensuring </w:t>
      </w:r>
      <w:r w:rsidR="08F5DCBC" w:rsidRPr="00D7648A">
        <w:rPr>
          <w:rFonts w:ascii="Garamond" w:eastAsia="Times New Roman" w:hAnsi="Garamond" w:cs="Times New Roman"/>
          <w:sz w:val="22"/>
          <w:szCs w:val="22"/>
          <w:shd w:val="clear" w:color="auto" w:fill="FFFFFF"/>
          <w:lang w:eastAsia="en-GB"/>
        </w:rPr>
        <w:t>data is shared where feasible</w:t>
      </w:r>
      <w:r w:rsidR="449928E0" w:rsidRPr="00D7648A">
        <w:rPr>
          <w:rFonts w:ascii="Garamond" w:eastAsia="Times New Roman" w:hAnsi="Garamond" w:cs="Times New Roman"/>
          <w:sz w:val="22"/>
          <w:szCs w:val="22"/>
          <w:shd w:val="clear" w:color="auto" w:fill="FFFFFF"/>
          <w:lang w:eastAsia="en-GB"/>
        </w:rPr>
        <w:t xml:space="preserve">. </w:t>
      </w:r>
      <w:r w:rsidR="275423E5" w:rsidRPr="00D7648A">
        <w:rPr>
          <w:rFonts w:ascii="Garamond" w:eastAsia="Times New Roman" w:hAnsi="Garamond" w:cs="Times New Roman"/>
          <w:sz w:val="22"/>
          <w:szCs w:val="22"/>
          <w:shd w:val="clear" w:color="auto" w:fill="FFFFFF"/>
          <w:lang w:eastAsia="en-GB"/>
        </w:rPr>
        <w:t xml:space="preserve">In </w:t>
      </w:r>
      <w:r w:rsidR="08F5DCBC" w:rsidRPr="00D7648A">
        <w:rPr>
          <w:rFonts w:ascii="Garamond" w:eastAsia="Times New Roman" w:hAnsi="Garamond" w:cs="Times New Roman"/>
          <w:sz w:val="22"/>
          <w:szCs w:val="22"/>
          <w:shd w:val="clear" w:color="auto" w:fill="FFFFFF"/>
          <w:lang w:eastAsia="en-GB"/>
        </w:rPr>
        <w:t>terms of</w:t>
      </w:r>
      <w:r w:rsidR="275423E5" w:rsidRPr="00D7648A">
        <w:rPr>
          <w:rFonts w:ascii="Garamond" w:eastAsia="Times New Roman" w:hAnsi="Garamond" w:cs="Times New Roman"/>
          <w:sz w:val="22"/>
          <w:szCs w:val="22"/>
          <w:shd w:val="clear" w:color="auto" w:fill="FFFFFF"/>
          <w:lang w:eastAsia="en-GB"/>
        </w:rPr>
        <w:t xml:space="preserve"> practical </w:t>
      </w:r>
      <w:r w:rsidR="08F5DCBC" w:rsidRPr="00D7648A">
        <w:rPr>
          <w:rFonts w:ascii="Garamond" w:eastAsia="Times New Roman" w:hAnsi="Garamond" w:cs="Times New Roman"/>
          <w:sz w:val="22"/>
          <w:szCs w:val="22"/>
          <w:shd w:val="clear" w:color="auto" w:fill="FFFFFF"/>
          <w:lang w:eastAsia="en-GB"/>
        </w:rPr>
        <w:t>benefits</w:t>
      </w:r>
      <w:r w:rsidR="275423E5" w:rsidRPr="00D7648A">
        <w:rPr>
          <w:rFonts w:ascii="Garamond" w:eastAsia="Times New Roman" w:hAnsi="Garamond" w:cs="Times New Roman"/>
          <w:sz w:val="22"/>
          <w:szCs w:val="22"/>
          <w:shd w:val="clear" w:color="auto" w:fill="FFFFFF"/>
          <w:lang w:eastAsia="en-GB"/>
        </w:rPr>
        <w:t>, for exampl</w:t>
      </w:r>
      <w:r w:rsidR="5A0A3F4E" w:rsidRPr="00D7648A">
        <w:rPr>
          <w:rFonts w:ascii="Garamond" w:eastAsia="Times New Roman" w:hAnsi="Garamond" w:cs="Times New Roman"/>
          <w:sz w:val="22"/>
          <w:szCs w:val="22"/>
          <w:shd w:val="clear" w:color="auto" w:fill="FFFFFF"/>
          <w:lang w:eastAsia="en-GB"/>
        </w:rPr>
        <w:t xml:space="preserve">e, </w:t>
      </w:r>
      <w:r w:rsidR="75C4C3D2" w:rsidRPr="00D7648A">
        <w:rPr>
          <w:rFonts w:ascii="Garamond" w:eastAsia="Times New Roman" w:hAnsi="Garamond" w:cs="Times New Roman"/>
          <w:sz w:val="22"/>
          <w:szCs w:val="22"/>
          <w:shd w:val="clear" w:color="auto" w:fill="FFFFFF"/>
          <w:lang w:eastAsia="en-GB"/>
        </w:rPr>
        <w:t>data sharing</w:t>
      </w:r>
      <w:r w:rsidR="08F5DCBC" w:rsidRPr="00D7648A">
        <w:rPr>
          <w:rFonts w:ascii="Garamond" w:eastAsia="Times New Roman" w:hAnsi="Garamond" w:cs="Times New Roman"/>
          <w:sz w:val="22"/>
          <w:szCs w:val="22"/>
          <w:shd w:val="clear" w:color="auto" w:fill="FFFFFF"/>
          <w:lang w:eastAsia="en-GB"/>
        </w:rPr>
        <w:t xml:space="preserve"> is considered to</w:t>
      </w:r>
      <w:r w:rsidR="435544DC" w:rsidRPr="00D7648A">
        <w:rPr>
          <w:rFonts w:ascii="Garamond" w:eastAsia="Times New Roman" w:hAnsi="Garamond" w:cs="Times New Roman"/>
          <w:sz w:val="22"/>
          <w:szCs w:val="22"/>
          <w:shd w:val="clear" w:color="auto" w:fill="FFFFFF"/>
          <w:lang w:eastAsia="en-GB"/>
        </w:rPr>
        <w:t>:</w:t>
      </w:r>
      <w:r w:rsidR="384F13AF" w:rsidRPr="00D7648A">
        <w:rPr>
          <w:rFonts w:ascii="Garamond" w:eastAsia="Times New Roman" w:hAnsi="Garamond" w:cs="Times New Roman"/>
          <w:sz w:val="22"/>
          <w:szCs w:val="22"/>
          <w:shd w:val="clear" w:color="auto" w:fill="FFFFFF"/>
          <w:lang w:eastAsia="en-GB"/>
        </w:rPr>
        <w:t xml:space="preserve"> enable</w:t>
      </w:r>
      <w:r w:rsidR="435544DC" w:rsidRPr="00D7648A">
        <w:rPr>
          <w:rFonts w:ascii="Garamond" w:eastAsia="Times New Roman" w:hAnsi="Garamond" w:cs="Times New Roman"/>
          <w:sz w:val="22"/>
          <w:szCs w:val="22"/>
          <w:shd w:val="clear" w:color="auto" w:fill="FFFFFF"/>
          <w:lang w:eastAsia="en-GB"/>
        </w:rPr>
        <w:t xml:space="preserve"> </w:t>
      </w:r>
      <w:r w:rsidR="384F13AF" w:rsidRPr="00D7648A">
        <w:rPr>
          <w:rFonts w:ascii="Garamond" w:eastAsia="Times New Roman" w:hAnsi="Garamond" w:cs="Times New Roman"/>
          <w:sz w:val="22"/>
          <w:szCs w:val="22"/>
          <w:shd w:val="clear" w:color="auto" w:fill="FFFFFF"/>
          <w:lang w:eastAsia="en-GB"/>
        </w:rPr>
        <w:t>the independent confirmation of</w:t>
      </w:r>
      <w:r w:rsidR="3402A38F" w:rsidRPr="00D7648A">
        <w:rPr>
          <w:rFonts w:ascii="Garamond" w:eastAsia="Times New Roman" w:hAnsi="Garamond" w:cs="Times New Roman"/>
          <w:sz w:val="22"/>
          <w:szCs w:val="22"/>
          <w:shd w:val="clear" w:color="auto" w:fill="FFFFFF"/>
          <w:lang w:eastAsia="en-GB"/>
        </w:rPr>
        <w:t xml:space="preserve"> </w:t>
      </w:r>
      <w:r w:rsidR="384F13AF" w:rsidRPr="00D7648A">
        <w:rPr>
          <w:rFonts w:ascii="Garamond" w:eastAsia="Times New Roman" w:hAnsi="Garamond" w:cs="Times New Roman"/>
          <w:sz w:val="22"/>
          <w:szCs w:val="22"/>
          <w:shd w:val="clear" w:color="auto" w:fill="FFFFFF"/>
          <w:lang w:eastAsia="en-GB"/>
        </w:rPr>
        <w:t>the conclusions drawn by clinical trials</w:t>
      </w:r>
      <w:r w:rsidR="0A693DAE" w:rsidRPr="00D7648A">
        <w:rPr>
          <w:rFonts w:ascii="Garamond" w:eastAsia="Times New Roman" w:hAnsi="Garamond" w:cs="Times New Roman"/>
          <w:sz w:val="22"/>
          <w:szCs w:val="22"/>
          <w:shd w:val="clear" w:color="auto" w:fill="FFFFFF"/>
          <w:lang w:eastAsia="en-GB"/>
        </w:rPr>
        <w:t xml:space="preserve"> </w:t>
      </w:r>
      <w:r w:rsidR="08F5DCBC" w:rsidRPr="00D7648A">
        <w:rPr>
          <w:rFonts w:ascii="Garamond" w:eastAsia="Times New Roman" w:hAnsi="Garamond" w:cs="Times New Roman"/>
          <w:sz w:val="22"/>
          <w:szCs w:val="22"/>
          <w:shd w:val="clear" w:color="auto" w:fill="FFFFFF"/>
          <w:lang w:eastAsia="en-GB"/>
        </w:rPr>
        <w:t xml:space="preserve">and </w:t>
      </w:r>
      <w:r w:rsidR="5A0A3F4E" w:rsidRPr="00D7648A">
        <w:rPr>
          <w:rFonts w:ascii="Garamond" w:eastAsia="Times New Roman" w:hAnsi="Garamond" w:cs="Times New Roman"/>
          <w:sz w:val="22"/>
          <w:szCs w:val="22"/>
          <w:shd w:val="clear" w:color="auto" w:fill="FFFFFF"/>
          <w:lang w:eastAsia="en-GB"/>
        </w:rPr>
        <w:t xml:space="preserve">the easier identification of publication bias; </w:t>
      </w:r>
      <w:r w:rsidR="435544DC" w:rsidRPr="00D7648A">
        <w:rPr>
          <w:rFonts w:ascii="Garamond" w:eastAsia="Times New Roman" w:hAnsi="Garamond" w:cs="Times New Roman"/>
          <w:sz w:val="22"/>
          <w:szCs w:val="22"/>
          <w:shd w:val="clear" w:color="auto" w:fill="FFFFFF"/>
          <w:lang w:eastAsia="en-GB"/>
        </w:rPr>
        <w:t xml:space="preserve">increase the utility of data by allowing its use outside of the original research context to inform and develop new hypotheses; enable faster and more accurate meta-analyses; and lead to greater efficiency (in terms of both research time and resources) </w:t>
      </w:r>
      <w:r w:rsidR="0A693DAE" w:rsidRPr="00D7648A">
        <w:rPr>
          <w:rFonts w:ascii="Garamond" w:eastAsia="Times New Roman" w:hAnsi="Garamond" w:cs="Times New Roman"/>
          <w:sz w:val="22"/>
          <w:szCs w:val="22"/>
          <w:shd w:val="clear" w:color="auto" w:fill="FFFFFF"/>
          <w:lang w:eastAsia="en-GB"/>
        </w:rPr>
        <w:t>by avoiding unwarranted repetition which occurs as a result of failures to report</w:t>
      </w:r>
      <w:r w:rsidR="00F933B4" w:rsidRPr="00D7648A">
        <w:rPr>
          <w:rFonts w:ascii="Garamond" w:eastAsia="Times New Roman" w:hAnsi="Garamond" w:cs="Times New Roman"/>
          <w:sz w:val="22"/>
          <w:szCs w:val="22"/>
          <w:shd w:val="clear" w:color="auto" w:fill="FFFFFF"/>
          <w:lang w:eastAsia="en-GB"/>
        </w:rPr>
        <w:t xml:space="preserve"> and/or </w:t>
      </w:r>
      <w:r w:rsidR="0A693DAE" w:rsidRPr="00D7648A">
        <w:rPr>
          <w:rFonts w:ascii="Garamond" w:eastAsia="Times New Roman" w:hAnsi="Garamond" w:cs="Times New Roman"/>
          <w:sz w:val="22"/>
          <w:szCs w:val="22"/>
          <w:shd w:val="clear" w:color="auto" w:fill="FFFFFF"/>
          <w:lang w:eastAsia="en-GB"/>
        </w:rPr>
        <w:t>difficulties</w:t>
      </w:r>
      <w:r w:rsidR="00E80845" w:rsidRPr="00D7648A">
        <w:rPr>
          <w:rFonts w:ascii="Garamond" w:eastAsia="Times New Roman" w:hAnsi="Garamond" w:cs="Times New Roman"/>
          <w:sz w:val="22"/>
          <w:szCs w:val="22"/>
          <w:shd w:val="clear" w:color="auto" w:fill="FFFFFF"/>
          <w:lang w:eastAsia="en-GB"/>
        </w:rPr>
        <w:t xml:space="preserve"> associated with</w:t>
      </w:r>
      <w:r w:rsidR="0A693DAE" w:rsidRPr="00D7648A">
        <w:rPr>
          <w:rFonts w:ascii="Garamond" w:eastAsia="Times New Roman" w:hAnsi="Garamond" w:cs="Times New Roman"/>
          <w:sz w:val="22"/>
          <w:szCs w:val="22"/>
          <w:shd w:val="clear" w:color="auto" w:fill="FFFFFF"/>
          <w:lang w:eastAsia="en-GB"/>
        </w:rPr>
        <w:t xml:space="preserve"> publishing</w:t>
      </w:r>
      <w:r w:rsidR="7BCC40EA" w:rsidRPr="00D7648A">
        <w:rPr>
          <w:rFonts w:ascii="Garamond" w:eastAsia="Times New Roman" w:hAnsi="Garamond" w:cs="Times New Roman"/>
          <w:sz w:val="22"/>
          <w:szCs w:val="22"/>
          <w:shd w:val="clear" w:color="auto" w:fill="FFFFFF"/>
          <w:lang w:eastAsia="en-GB"/>
        </w:rPr>
        <w:t xml:space="preserve"> research results</w:t>
      </w:r>
      <w:r w:rsidR="384F13AF" w:rsidRPr="00D7648A">
        <w:rPr>
          <w:rFonts w:ascii="Garamond" w:eastAsia="Times New Roman" w:hAnsi="Garamond" w:cs="Times New Roman"/>
          <w:sz w:val="22"/>
          <w:szCs w:val="22"/>
          <w:shd w:val="clear" w:color="auto" w:fill="FFFFFF"/>
          <w:lang w:eastAsia="en-GB"/>
        </w:rPr>
        <w:t>.</w:t>
      </w:r>
      <w:r w:rsidR="008011A4" w:rsidRPr="00D7648A">
        <w:rPr>
          <w:rStyle w:val="FootnoteReference"/>
          <w:rFonts w:ascii="Garamond" w:eastAsia="Times New Roman" w:hAnsi="Garamond" w:cs="Times New Roman"/>
          <w:sz w:val="22"/>
          <w:szCs w:val="22"/>
          <w:lang w:eastAsia="en-GB"/>
        </w:rPr>
        <w:footnoteReference w:id="9"/>
      </w:r>
    </w:p>
    <w:p w14:paraId="41662CAE" w14:textId="04D46F6B" w:rsidR="00304369" w:rsidRPr="00D7648A" w:rsidRDefault="00304369" w:rsidP="00FD6C10">
      <w:pPr>
        <w:jc w:val="both"/>
        <w:rPr>
          <w:rFonts w:ascii="Garamond" w:eastAsia="Times New Roman" w:hAnsi="Garamond" w:cs="Times New Roman"/>
          <w:sz w:val="22"/>
          <w:szCs w:val="22"/>
          <w:lang w:eastAsia="en-GB"/>
        </w:rPr>
      </w:pPr>
    </w:p>
    <w:p w14:paraId="7EAA8ED7" w14:textId="36CE185C" w:rsidR="00304369" w:rsidRPr="00D7648A" w:rsidRDefault="135EEC7B" w:rsidP="00FD6C10">
      <w:pPr>
        <w:jc w:val="both"/>
        <w:rPr>
          <w:rFonts w:ascii="Garamond" w:eastAsia="Times New Roman" w:hAnsi="Garamond" w:cs="Times New Roman"/>
          <w:sz w:val="22"/>
          <w:szCs w:val="22"/>
          <w:shd w:val="clear" w:color="auto" w:fill="FFFFFF"/>
          <w:lang w:eastAsia="en-GB"/>
        </w:rPr>
      </w:pPr>
      <w:r w:rsidRPr="00D7648A">
        <w:rPr>
          <w:rFonts w:ascii="Garamond" w:eastAsia="Times New Roman" w:hAnsi="Garamond" w:cs="Times New Roman"/>
          <w:sz w:val="22"/>
          <w:szCs w:val="22"/>
          <w:shd w:val="clear" w:color="auto" w:fill="FFFFFF"/>
          <w:lang w:eastAsia="en-GB"/>
        </w:rPr>
        <w:t xml:space="preserve">Such benefits also have a </w:t>
      </w:r>
      <w:r w:rsidR="66EEFA3C" w:rsidRPr="00D7648A">
        <w:rPr>
          <w:rFonts w:ascii="Garamond" w:eastAsia="Times New Roman" w:hAnsi="Garamond" w:cs="Times New Roman"/>
          <w:sz w:val="22"/>
          <w:szCs w:val="22"/>
          <w:shd w:val="clear" w:color="auto" w:fill="FFFFFF"/>
          <w:lang w:eastAsia="en-GB"/>
        </w:rPr>
        <w:t>significant ethical dimension</w:t>
      </w:r>
      <w:r w:rsidR="595FF466" w:rsidRPr="00D7648A">
        <w:rPr>
          <w:rFonts w:ascii="Garamond" w:eastAsia="Times New Roman" w:hAnsi="Garamond" w:cs="Times New Roman"/>
          <w:sz w:val="22"/>
          <w:szCs w:val="22"/>
          <w:shd w:val="clear" w:color="auto" w:fill="FFFFFF"/>
          <w:lang w:eastAsia="en-GB"/>
        </w:rPr>
        <w:t>. For example, by r</w:t>
      </w:r>
      <w:r w:rsidRPr="00D7648A">
        <w:rPr>
          <w:rFonts w:ascii="Garamond" w:eastAsia="Times New Roman" w:hAnsi="Garamond" w:cs="Times New Roman"/>
          <w:sz w:val="22"/>
          <w:szCs w:val="22"/>
          <w:shd w:val="clear" w:color="auto" w:fill="FFFFFF"/>
          <w:lang w:eastAsia="en-GB"/>
        </w:rPr>
        <w:t xml:space="preserve">educing the numbers of research participants </w:t>
      </w:r>
      <w:r w:rsidR="5D690A3C" w:rsidRPr="00D7648A">
        <w:rPr>
          <w:rFonts w:ascii="Garamond" w:eastAsia="Times New Roman" w:hAnsi="Garamond" w:cs="Times New Roman"/>
          <w:sz w:val="22"/>
          <w:szCs w:val="22"/>
          <w:shd w:val="clear" w:color="auto" w:fill="FFFFFF"/>
          <w:lang w:eastAsia="en-GB"/>
        </w:rPr>
        <w:t>who may experience harm as a result of unwarranted repetition of research</w:t>
      </w:r>
      <w:r w:rsidR="595FF466" w:rsidRPr="00D7648A">
        <w:rPr>
          <w:rFonts w:ascii="Garamond" w:eastAsia="Times New Roman" w:hAnsi="Garamond" w:cs="Times New Roman"/>
          <w:sz w:val="22"/>
          <w:szCs w:val="22"/>
          <w:shd w:val="clear" w:color="auto" w:fill="FFFFFF"/>
          <w:lang w:eastAsia="en-GB"/>
        </w:rPr>
        <w:t>, researchers may better fulfil obligations to minimise</w:t>
      </w:r>
      <w:r w:rsidR="1DEEAF24" w:rsidRPr="00D7648A">
        <w:rPr>
          <w:rFonts w:ascii="Garamond" w:eastAsia="Times New Roman" w:hAnsi="Garamond" w:cs="Times New Roman"/>
          <w:sz w:val="22"/>
          <w:szCs w:val="22"/>
          <w:shd w:val="clear" w:color="auto" w:fill="FFFFFF"/>
          <w:lang w:eastAsia="en-GB"/>
        </w:rPr>
        <w:t xml:space="preserve"> the</w:t>
      </w:r>
      <w:r w:rsidR="595FF466" w:rsidRPr="00D7648A">
        <w:rPr>
          <w:rFonts w:ascii="Garamond" w:eastAsia="Times New Roman" w:hAnsi="Garamond" w:cs="Times New Roman"/>
          <w:sz w:val="22"/>
          <w:szCs w:val="22"/>
          <w:shd w:val="clear" w:color="auto" w:fill="FFFFFF"/>
          <w:lang w:eastAsia="en-GB"/>
        </w:rPr>
        <w:t xml:space="preserve"> harm</w:t>
      </w:r>
      <w:r w:rsidR="1DEEAF24" w:rsidRPr="00D7648A">
        <w:rPr>
          <w:rFonts w:ascii="Garamond" w:eastAsia="Times New Roman" w:hAnsi="Garamond" w:cs="Times New Roman"/>
          <w:sz w:val="22"/>
          <w:szCs w:val="22"/>
          <w:shd w:val="clear" w:color="auto" w:fill="FFFFFF"/>
          <w:lang w:eastAsia="en-GB"/>
        </w:rPr>
        <w:t>s</w:t>
      </w:r>
      <w:r w:rsidR="4DC17294" w:rsidRPr="00D7648A">
        <w:rPr>
          <w:rFonts w:ascii="Garamond" w:eastAsia="Times New Roman" w:hAnsi="Garamond" w:cs="Times New Roman"/>
          <w:sz w:val="22"/>
          <w:szCs w:val="22"/>
          <w:shd w:val="clear" w:color="auto" w:fill="FFFFFF"/>
          <w:lang w:eastAsia="en-GB"/>
        </w:rPr>
        <w:t xml:space="preserve"> caused</w:t>
      </w:r>
      <w:r w:rsidR="595FF466" w:rsidRPr="00D7648A">
        <w:rPr>
          <w:rFonts w:ascii="Garamond" w:eastAsia="Times New Roman" w:hAnsi="Garamond" w:cs="Times New Roman"/>
          <w:sz w:val="22"/>
          <w:szCs w:val="22"/>
          <w:shd w:val="clear" w:color="auto" w:fill="FFFFFF"/>
          <w:lang w:eastAsia="en-GB"/>
        </w:rPr>
        <w:t xml:space="preserve"> to research participant</w:t>
      </w:r>
      <w:r w:rsidR="4DC17294" w:rsidRPr="00D7648A">
        <w:rPr>
          <w:rFonts w:ascii="Garamond" w:eastAsia="Times New Roman" w:hAnsi="Garamond" w:cs="Times New Roman"/>
          <w:sz w:val="22"/>
          <w:szCs w:val="22"/>
          <w:shd w:val="clear" w:color="auto" w:fill="FFFFFF"/>
          <w:lang w:eastAsia="en-GB"/>
        </w:rPr>
        <w:t>s</w:t>
      </w:r>
      <w:r w:rsidR="595FF466" w:rsidRPr="00D7648A">
        <w:rPr>
          <w:rFonts w:ascii="Garamond" w:eastAsia="Times New Roman" w:hAnsi="Garamond" w:cs="Times New Roman"/>
          <w:sz w:val="22"/>
          <w:szCs w:val="22"/>
          <w:shd w:val="clear" w:color="auto" w:fill="FFFFFF"/>
          <w:lang w:eastAsia="en-GB"/>
        </w:rPr>
        <w:t>.</w:t>
      </w:r>
      <w:r w:rsidR="0089497A" w:rsidRPr="00D7648A">
        <w:rPr>
          <w:rStyle w:val="FootnoteReference"/>
          <w:rFonts w:ascii="Garamond" w:eastAsia="Times New Roman" w:hAnsi="Garamond" w:cs="Times New Roman"/>
          <w:sz w:val="22"/>
          <w:szCs w:val="22"/>
          <w:shd w:val="clear" w:color="auto" w:fill="FFFFFF"/>
          <w:lang w:eastAsia="en-GB"/>
        </w:rPr>
        <w:footnoteReference w:id="10"/>
      </w:r>
      <w:r w:rsidR="595FF466" w:rsidRPr="00D7648A">
        <w:rPr>
          <w:rFonts w:ascii="Garamond" w:eastAsia="Times New Roman" w:hAnsi="Garamond" w:cs="Times New Roman"/>
          <w:sz w:val="22"/>
          <w:szCs w:val="22"/>
          <w:shd w:val="clear" w:color="auto" w:fill="FFFFFF"/>
          <w:lang w:eastAsia="en-GB"/>
        </w:rPr>
        <w:t xml:space="preserve"> Through engaging in data sharing in order to reduce unnecessary replication of research, and maximise the utility of data produced, researchers can demonstrate their commitment towards responsible usage of (often public and charity) research fund</w:t>
      </w:r>
      <w:r w:rsidR="7BCC40EA" w:rsidRPr="00D7648A">
        <w:rPr>
          <w:rFonts w:ascii="Garamond" w:eastAsia="Times New Roman" w:hAnsi="Garamond" w:cs="Times New Roman"/>
          <w:sz w:val="22"/>
          <w:szCs w:val="22"/>
          <w:shd w:val="clear" w:color="auto" w:fill="FFFFFF"/>
          <w:lang w:eastAsia="en-GB"/>
        </w:rPr>
        <w:t>s</w:t>
      </w:r>
      <w:r w:rsidR="3BE3BBD3" w:rsidRPr="00D7648A">
        <w:rPr>
          <w:rFonts w:ascii="Garamond" w:eastAsia="Times New Roman" w:hAnsi="Garamond" w:cs="Times New Roman"/>
          <w:sz w:val="22"/>
          <w:szCs w:val="22"/>
          <w:shd w:val="clear" w:color="auto" w:fill="FFFFFF"/>
          <w:lang w:eastAsia="en-GB"/>
        </w:rPr>
        <w:t xml:space="preserve"> that may be wasted in the event of unnecessarily replication</w:t>
      </w:r>
      <w:r w:rsidR="008B221D" w:rsidRPr="00D7648A">
        <w:rPr>
          <w:rStyle w:val="FootnoteReference"/>
          <w:rFonts w:ascii="Garamond" w:eastAsia="Times New Roman" w:hAnsi="Garamond" w:cs="Times New Roman"/>
          <w:sz w:val="22"/>
          <w:szCs w:val="22"/>
          <w:shd w:val="clear" w:color="auto" w:fill="FFFFFF"/>
          <w:lang w:eastAsia="en-GB"/>
        </w:rPr>
        <w:footnoteReference w:id="11"/>
      </w:r>
      <w:r w:rsidR="00F319FB">
        <w:rPr>
          <w:rFonts w:ascii="Garamond" w:eastAsia="Times New Roman" w:hAnsi="Garamond" w:cs="Times New Roman"/>
          <w:sz w:val="22"/>
          <w:szCs w:val="22"/>
          <w:shd w:val="clear" w:color="auto" w:fill="FFFFFF"/>
          <w:lang w:eastAsia="en-GB"/>
        </w:rPr>
        <w:t>,</w:t>
      </w:r>
      <w:r w:rsidR="4DC17294" w:rsidRPr="00D7648A">
        <w:rPr>
          <w:rFonts w:ascii="Garamond" w:eastAsia="Times New Roman" w:hAnsi="Garamond" w:cs="Times New Roman"/>
          <w:sz w:val="22"/>
          <w:szCs w:val="22"/>
          <w:shd w:val="clear" w:color="auto" w:fill="FFFFFF"/>
          <w:lang w:eastAsia="en-GB"/>
        </w:rPr>
        <w:t xml:space="preserve"> and </w:t>
      </w:r>
      <w:r w:rsidR="7BCC40EA" w:rsidRPr="00D7648A">
        <w:rPr>
          <w:rFonts w:ascii="Garamond" w:eastAsia="Times New Roman" w:hAnsi="Garamond" w:cs="Times New Roman"/>
          <w:sz w:val="22"/>
          <w:szCs w:val="22"/>
          <w:shd w:val="clear" w:color="auto" w:fill="FFFFFF"/>
          <w:lang w:eastAsia="en-GB"/>
        </w:rPr>
        <w:t>fulfil the</w:t>
      </w:r>
      <w:r w:rsidR="7D7BCA59" w:rsidRPr="00D7648A">
        <w:rPr>
          <w:rFonts w:ascii="Garamond" w:eastAsia="Times New Roman" w:hAnsi="Garamond" w:cs="Times New Roman"/>
          <w:sz w:val="22"/>
          <w:szCs w:val="22"/>
          <w:shd w:val="clear" w:color="auto" w:fill="FFFFFF"/>
          <w:lang w:eastAsia="en-GB"/>
        </w:rPr>
        <w:t xml:space="preserve">ir social contract with research </w:t>
      </w:r>
      <w:r w:rsidR="4DC17294" w:rsidRPr="00D7648A">
        <w:rPr>
          <w:rFonts w:ascii="Garamond" w:eastAsia="Times New Roman" w:hAnsi="Garamond" w:cs="Times New Roman"/>
          <w:sz w:val="22"/>
          <w:szCs w:val="22"/>
          <w:shd w:val="clear" w:color="auto" w:fill="FFFFFF"/>
          <w:lang w:eastAsia="en-GB"/>
        </w:rPr>
        <w:t>participants who accept (sometimes significant) harms and risks in order “at least in part, to generate knowledge for the benefit of others”</w:t>
      </w:r>
      <w:r w:rsidR="1CC585C6" w:rsidRPr="00D7648A">
        <w:rPr>
          <w:rFonts w:ascii="Garamond" w:eastAsia="Times New Roman" w:hAnsi="Garamond" w:cs="Times New Roman"/>
          <w:sz w:val="22"/>
          <w:szCs w:val="22"/>
          <w:shd w:val="clear" w:color="auto" w:fill="FFFFFF"/>
          <w:lang w:eastAsia="en-GB"/>
        </w:rPr>
        <w:t>.</w:t>
      </w:r>
      <w:r w:rsidR="0044680C" w:rsidRPr="00D7648A">
        <w:rPr>
          <w:rStyle w:val="FootnoteReference"/>
          <w:rFonts w:ascii="Garamond" w:eastAsia="Times New Roman" w:hAnsi="Garamond" w:cs="Times New Roman"/>
          <w:sz w:val="22"/>
          <w:szCs w:val="22"/>
          <w:shd w:val="clear" w:color="auto" w:fill="FFFFFF"/>
          <w:lang w:eastAsia="en-GB"/>
        </w:rPr>
        <w:footnoteReference w:id="12"/>
      </w:r>
      <w:r w:rsidR="7D7BCA59" w:rsidRPr="00D7648A">
        <w:rPr>
          <w:rFonts w:ascii="Garamond" w:eastAsia="Times New Roman" w:hAnsi="Garamond" w:cs="Times New Roman"/>
          <w:sz w:val="22"/>
          <w:szCs w:val="22"/>
          <w:shd w:val="clear" w:color="auto" w:fill="FFFFFF"/>
          <w:lang w:eastAsia="en-GB"/>
        </w:rPr>
        <w:t xml:space="preserve"> Similarly, the ability of researchers to access more information regarding the outcomes of both published and unpublished research as a result of data sharing also has the potential to increase the quality of consent provided by research participants and future </w:t>
      </w:r>
      <w:r w:rsidR="3C8BE19A" w:rsidRPr="00D7648A">
        <w:rPr>
          <w:rFonts w:ascii="Garamond" w:eastAsia="Times New Roman" w:hAnsi="Garamond" w:cs="Times New Roman"/>
          <w:sz w:val="22"/>
          <w:szCs w:val="22"/>
          <w:shd w:val="clear" w:color="auto" w:fill="FFFFFF"/>
          <w:lang w:eastAsia="en-GB"/>
        </w:rPr>
        <w:t>patients and</w:t>
      </w:r>
      <w:r w:rsidR="7D7BCA59" w:rsidRPr="00D7648A">
        <w:rPr>
          <w:rFonts w:ascii="Garamond" w:eastAsia="Times New Roman" w:hAnsi="Garamond" w:cs="Times New Roman"/>
          <w:sz w:val="22"/>
          <w:szCs w:val="22"/>
          <w:shd w:val="clear" w:color="auto" w:fill="FFFFFF"/>
          <w:lang w:eastAsia="en-GB"/>
        </w:rPr>
        <w:t xml:space="preserve"> ensure that their autonomy to freely choose to participate in research </w:t>
      </w:r>
      <w:r w:rsidR="55D57553" w:rsidRPr="00D7648A">
        <w:rPr>
          <w:rFonts w:ascii="Garamond" w:eastAsia="Times New Roman" w:hAnsi="Garamond" w:cs="Times New Roman"/>
          <w:sz w:val="22"/>
          <w:szCs w:val="22"/>
          <w:shd w:val="clear" w:color="auto" w:fill="FFFFFF"/>
          <w:lang w:eastAsia="en-GB"/>
        </w:rPr>
        <w:t xml:space="preserve">and/or treatment </w:t>
      </w:r>
      <w:r w:rsidR="7D7BCA59" w:rsidRPr="00D7648A">
        <w:rPr>
          <w:rFonts w:ascii="Garamond" w:eastAsia="Times New Roman" w:hAnsi="Garamond" w:cs="Times New Roman"/>
          <w:sz w:val="22"/>
          <w:szCs w:val="22"/>
          <w:shd w:val="clear" w:color="auto" w:fill="FFFFFF"/>
          <w:lang w:eastAsia="en-GB"/>
        </w:rPr>
        <w:t>after being provided with sufficient relevant information is respected.</w:t>
      </w:r>
      <w:r w:rsidR="001B437F" w:rsidRPr="00D7648A">
        <w:rPr>
          <w:rStyle w:val="FootnoteReference"/>
          <w:rFonts w:ascii="Garamond" w:eastAsia="Times New Roman" w:hAnsi="Garamond" w:cs="Times New Roman"/>
          <w:sz w:val="22"/>
          <w:szCs w:val="22"/>
          <w:shd w:val="clear" w:color="auto" w:fill="FFFFFF"/>
          <w:lang w:eastAsia="en-GB"/>
        </w:rPr>
        <w:footnoteReference w:id="13"/>
      </w:r>
      <w:r w:rsidR="7D7BCA59" w:rsidRPr="00D7648A">
        <w:rPr>
          <w:rFonts w:ascii="Garamond" w:eastAsia="Times New Roman" w:hAnsi="Garamond" w:cs="Times New Roman"/>
          <w:sz w:val="22"/>
          <w:szCs w:val="22"/>
          <w:shd w:val="clear" w:color="auto" w:fill="FFFFFF"/>
          <w:lang w:eastAsia="en-GB"/>
        </w:rPr>
        <w:t xml:space="preserve"> Finally, it should also be noted, that an obligation to share data</w:t>
      </w:r>
      <w:r w:rsidR="3BE3BBD3" w:rsidRPr="00D7648A">
        <w:rPr>
          <w:rFonts w:ascii="Garamond" w:eastAsia="Times New Roman" w:hAnsi="Garamond" w:cs="Times New Roman"/>
          <w:sz w:val="22"/>
          <w:szCs w:val="22"/>
          <w:shd w:val="clear" w:color="auto" w:fill="FFFFFF"/>
          <w:lang w:eastAsia="en-GB"/>
        </w:rPr>
        <w:t xml:space="preserve"> </w:t>
      </w:r>
      <w:r w:rsidR="7D7BCA59" w:rsidRPr="00D7648A">
        <w:rPr>
          <w:rFonts w:ascii="Garamond" w:eastAsia="Times New Roman" w:hAnsi="Garamond" w:cs="Times New Roman"/>
          <w:sz w:val="22"/>
          <w:szCs w:val="22"/>
          <w:shd w:val="clear" w:color="auto" w:fill="FFFFFF"/>
          <w:lang w:eastAsia="en-GB"/>
        </w:rPr>
        <w:t xml:space="preserve">as </w:t>
      </w:r>
      <w:r w:rsidR="3BE3BBD3" w:rsidRPr="00D7648A">
        <w:rPr>
          <w:rFonts w:ascii="Garamond" w:eastAsia="Times New Roman" w:hAnsi="Garamond" w:cs="Times New Roman"/>
          <w:sz w:val="22"/>
          <w:szCs w:val="22"/>
          <w:shd w:val="clear" w:color="auto" w:fill="FFFFFF"/>
          <w:lang w:eastAsia="en-GB"/>
        </w:rPr>
        <w:t xml:space="preserve">widely as possible </w:t>
      </w:r>
      <w:r w:rsidR="53228CBB" w:rsidRPr="00D7648A">
        <w:rPr>
          <w:rFonts w:ascii="Garamond" w:eastAsia="Times New Roman" w:hAnsi="Garamond" w:cs="Times New Roman"/>
          <w:sz w:val="22"/>
          <w:szCs w:val="22"/>
          <w:shd w:val="clear" w:color="auto" w:fill="FFFFFF"/>
          <w:lang w:eastAsia="en-GB"/>
        </w:rPr>
        <w:t>may</w:t>
      </w:r>
      <w:r w:rsidR="3BE3BBD3" w:rsidRPr="00D7648A">
        <w:rPr>
          <w:rFonts w:ascii="Garamond" w:eastAsia="Times New Roman" w:hAnsi="Garamond" w:cs="Times New Roman"/>
          <w:sz w:val="22"/>
          <w:szCs w:val="22"/>
          <w:shd w:val="clear" w:color="auto" w:fill="FFFFFF"/>
          <w:lang w:eastAsia="en-GB"/>
        </w:rPr>
        <w:t xml:space="preserve"> also be derived from</w:t>
      </w:r>
      <w:r w:rsidR="30DE31C9" w:rsidRPr="00D7648A">
        <w:rPr>
          <w:rFonts w:ascii="Garamond" w:eastAsia="Times New Roman" w:hAnsi="Garamond" w:cs="Times New Roman"/>
          <w:sz w:val="22"/>
          <w:szCs w:val="22"/>
          <w:shd w:val="clear" w:color="auto" w:fill="FFFFFF"/>
          <w:lang w:eastAsia="en-GB"/>
        </w:rPr>
        <w:t>:</w:t>
      </w:r>
      <w:r w:rsidR="3BE3BBD3" w:rsidRPr="00D7648A">
        <w:rPr>
          <w:rFonts w:ascii="Garamond" w:eastAsia="Times New Roman" w:hAnsi="Garamond" w:cs="Times New Roman"/>
          <w:sz w:val="22"/>
          <w:szCs w:val="22"/>
          <w:shd w:val="clear" w:color="auto" w:fill="FFFFFF"/>
          <w:lang w:eastAsia="en-GB"/>
        </w:rPr>
        <w:t xml:space="preserve"> the view that</w:t>
      </w:r>
      <w:r w:rsidR="53228CBB" w:rsidRPr="00D7648A">
        <w:rPr>
          <w:rFonts w:ascii="Garamond" w:eastAsia="Times New Roman" w:hAnsi="Garamond" w:cs="Times New Roman"/>
          <w:sz w:val="22"/>
          <w:szCs w:val="22"/>
          <w:shd w:val="clear" w:color="auto" w:fill="FFFFFF"/>
          <w:lang w:eastAsia="en-GB"/>
        </w:rPr>
        <w:t xml:space="preserve"> health research constitutes a ‘public good’, both funded by </w:t>
      </w:r>
      <w:r w:rsidR="30DE31C9" w:rsidRPr="00D7648A">
        <w:rPr>
          <w:rFonts w:ascii="Garamond" w:eastAsia="Times New Roman" w:hAnsi="Garamond" w:cs="Times New Roman"/>
          <w:sz w:val="22"/>
          <w:szCs w:val="22"/>
          <w:shd w:val="clear" w:color="auto" w:fill="FFFFFF"/>
          <w:lang w:eastAsia="en-GB"/>
        </w:rPr>
        <w:t>and performed for the benefit of the public</w:t>
      </w:r>
      <w:r w:rsidR="001460C3" w:rsidRPr="00D7648A">
        <w:rPr>
          <w:rStyle w:val="FootnoteReference"/>
          <w:rFonts w:ascii="Garamond" w:eastAsia="Times New Roman" w:hAnsi="Garamond" w:cs="Times New Roman"/>
          <w:sz w:val="22"/>
          <w:szCs w:val="22"/>
          <w:shd w:val="clear" w:color="auto" w:fill="FFFFFF"/>
          <w:lang w:eastAsia="en-GB"/>
        </w:rPr>
        <w:footnoteReference w:id="14"/>
      </w:r>
      <w:r w:rsidR="30DE31C9" w:rsidRPr="00D7648A">
        <w:rPr>
          <w:rFonts w:ascii="Garamond" w:eastAsia="Times New Roman" w:hAnsi="Garamond" w:cs="Times New Roman"/>
          <w:sz w:val="22"/>
          <w:szCs w:val="22"/>
          <w:shd w:val="clear" w:color="auto" w:fill="FFFFFF"/>
          <w:lang w:eastAsia="en-GB"/>
        </w:rPr>
        <w:t>, and</w:t>
      </w:r>
      <w:r w:rsidR="53228CBB" w:rsidRPr="00D7648A">
        <w:rPr>
          <w:rFonts w:ascii="Garamond" w:eastAsia="Times New Roman" w:hAnsi="Garamond" w:cs="Times New Roman"/>
          <w:sz w:val="22"/>
          <w:szCs w:val="22"/>
          <w:shd w:val="clear" w:color="auto" w:fill="FFFFFF"/>
          <w:lang w:eastAsia="en-GB"/>
        </w:rPr>
        <w:t xml:space="preserve"> whose results should</w:t>
      </w:r>
      <w:r w:rsidR="30DE31C9" w:rsidRPr="00D7648A">
        <w:rPr>
          <w:rFonts w:ascii="Garamond" w:eastAsia="Times New Roman" w:hAnsi="Garamond" w:cs="Times New Roman"/>
          <w:sz w:val="22"/>
          <w:szCs w:val="22"/>
          <w:shd w:val="clear" w:color="auto" w:fill="FFFFFF"/>
          <w:lang w:eastAsia="en-GB"/>
        </w:rPr>
        <w:t xml:space="preserve"> therefore be shared as widely as possible; and/or a commitment to the ‘ethos’ of science, the integrity of which as an endeavour, draws significantly on replication and falsifiability.</w:t>
      </w:r>
      <w:r w:rsidR="002B6977" w:rsidRPr="00D7648A">
        <w:rPr>
          <w:rStyle w:val="FootnoteReference"/>
          <w:rFonts w:ascii="Garamond" w:eastAsia="Times New Roman" w:hAnsi="Garamond" w:cs="Times New Roman"/>
          <w:sz w:val="22"/>
          <w:szCs w:val="22"/>
          <w:shd w:val="clear" w:color="auto" w:fill="FFFFFF"/>
          <w:lang w:eastAsia="en-GB"/>
        </w:rPr>
        <w:footnoteReference w:id="15"/>
      </w:r>
      <w:r w:rsidR="30DE31C9" w:rsidRPr="00D7648A">
        <w:rPr>
          <w:rFonts w:ascii="Garamond" w:eastAsia="Times New Roman" w:hAnsi="Garamond" w:cs="Times New Roman"/>
          <w:sz w:val="22"/>
          <w:szCs w:val="22"/>
          <w:shd w:val="clear" w:color="auto" w:fill="FFFFFF"/>
          <w:lang w:eastAsia="en-GB"/>
        </w:rPr>
        <w:t xml:space="preserve">  </w:t>
      </w:r>
    </w:p>
    <w:p w14:paraId="73C42E81" w14:textId="77777777" w:rsidR="0076197A" w:rsidRPr="00D7648A" w:rsidRDefault="0076197A" w:rsidP="00FD6C10">
      <w:pPr>
        <w:jc w:val="both"/>
        <w:rPr>
          <w:rFonts w:ascii="Garamond" w:eastAsia="Times New Roman" w:hAnsi="Garamond" w:cs="Times New Roman"/>
          <w:sz w:val="22"/>
          <w:szCs w:val="22"/>
          <w:shd w:val="clear" w:color="auto" w:fill="FFFFFF"/>
          <w:lang w:eastAsia="en-GB"/>
        </w:rPr>
      </w:pPr>
    </w:p>
    <w:p w14:paraId="1B076F7F" w14:textId="2C895FFA" w:rsidR="00982C81" w:rsidRPr="00D7648A" w:rsidRDefault="00863D98" w:rsidP="00FD6C10">
      <w:pPr>
        <w:jc w:val="both"/>
        <w:rPr>
          <w:rFonts w:ascii="Garamond" w:eastAsia="Times New Roman" w:hAnsi="Garamond" w:cs="Times New Roman"/>
          <w:sz w:val="22"/>
          <w:szCs w:val="22"/>
          <w:shd w:val="clear" w:color="auto" w:fill="FFFFFF"/>
          <w:lang w:eastAsia="en-GB"/>
        </w:rPr>
      </w:pPr>
      <w:r w:rsidRPr="00D7648A">
        <w:rPr>
          <w:rFonts w:ascii="Garamond" w:eastAsia="Times New Roman" w:hAnsi="Garamond" w:cs="Times New Roman"/>
          <w:sz w:val="22"/>
          <w:szCs w:val="22"/>
          <w:shd w:val="clear" w:color="auto" w:fill="FFFFFF"/>
          <w:lang w:eastAsia="en-GB"/>
        </w:rPr>
        <w:t>In the context of UTx, therefore, a</w:t>
      </w:r>
      <w:r w:rsidR="00FF5913" w:rsidRPr="00D7648A">
        <w:rPr>
          <w:rFonts w:ascii="Garamond" w:eastAsia="Times New Roman" w:hAnsi="Garamond" w:cs="Times New Roman"/>
          <w:sz w:val="22"/>
          <w:szCs w:val="22"/>
          <w:shd w:val="clear" w:color="auto" w:fill="FFFFFF"/>
          <w:lang w:eastAsia="en-GB"/>
        </w:rPr>
        <w:t xml:space="preserve"> demonstrated and sustained</w:t>
      </w:r>
      <w:r w:rsidRPr="00D7648A">
        <w:rPr>
          <w:rFonts w:ascii="Garamond" w:eastAsia="Times New Roman" w:hAnsi="Garamond" w:cs="Times New Roman"/>
          <w:sz w:val="22"/>
          <w:szCs w:val="22"/>
          <w:shd w:val="clear" w:color="auto" w:fill="FFFFFF"/>
          <w:lang w:eastAsia="en-GB"/>
        </w:rPr>
        <w:t xml:space="preserve"> commitment to data sharing</w:t>
      </w:r>
      <w:r w:rsidR="00A3199B" w:rsidRPr="00D7648A">
        <w:rPr>
          <w:rFonts w:ascii="Garamond" w:eastAsia="Times New Roman" w:hAnsi="Garamond" w:cs="Times New Roman"/>
          <w:sz w:val="22"/>
          <w:szCs w:val="22"/>
          <w:shd w:val="clear" w:color="auto" w:fill="FFFFFF"/>
          <w:lang w:eastAsia="en-GB"/>
        </w:rPr>
        <w:t xml:space="preserve"> where feasible</w:t>
      </w:r>
      <w:r w:rsidR="00F933B4" w:rsidRPr="00D7648A">
        <w:rPr>
          <w:rFonts w:ascii="Garamond" w:eastAsia="Times New Roman" w:hAnsi="Garamond" w:cs="Times New Roman"/>
          <w:sz w:val="22"/>
          <w:szCs w:val="22"/>
          <w:shd w:val="clear" w:color="auto" w:fill="FFFFFF"/>
          <w:lang w:eastAsia="en-GB"/>
        </w:rPr>
        <w:t xml:space="preserve"> should thereby</w:t>
      </w:r>
      <w:r w:rsidR="00056A25" w:rsidRPr="00D7648A">
        <w:rPr>
          <w:rFonts w:ascii="Garamond" w:eastAsia="Times New Roman" w:hAnsi="Garamond" w:cs="Times New Roman"/>
          <w:sz w:val="22"/>
          <w:szCs w:val="22"/>
          <w:shd w:val="clear" w:color="auto" w:fill="FFFFFF"/>
          <w:lang w:eastAsia="en-GB"/>
        </w:rPr>
        <w:t xml:space="preserve">: </w:t>
      </w:r>
    </w:p>
    <w:p w14:paraId="32CBE7FC" w14:textId="77777777" w:rsidR="00982C81" w:rsidRPr="00D7648A" w:rsidRDefault="00982C81" w:rsidP="00FD6C10">
      <w:pPr>
        <w:jc w:val="both"/>
        <w:rPr>
          <w:rFonts w:ascii="Garamond" w:eastAsia="Times New Roman" w:hAnsi="Garamond" w:cs="Times New Roman"/>
          <w:sz w:val="22"/>
          <w:szCs w:val="22"/>
          <w:shd w:val="clear" w:color="auto" w:fill="FFFFFF"/>
          <w:lang w:eastAsia="en-GB"/>
        </w:rPr>
      </w:pPr>
    </w:p>
    <w:p w14:paraId="774279BB" w14:textId="2C58D575" w:rsidR="00982C81" w:rsidRPr="00D7648A" w:rsidRDefault="5F448053" w:rsidP="00FD6C10">
      <w:pPr>
        <w:pStyle w:val="ListParagraph"/>
        <w:numPr>
          <w:ilvl w:val="0"/>
          <w:numId w:val="2"/>
        </w:numPr>
        <w:jc w:val="both"/>
        <w:rPr>
          <w:rFonts w:eastAsiaTheme="minorEastAsia"/>
          <w:sz w:val="22"/>
          <w:szCs w:val="22"/>
        </w:rPr>
      </w:pPr>
      <w:r w:rsidRPr="00D7648A">
        <w:rPr>
          <w:rFonts w:ascii="Garamond" w:hAnsi="Garamond"/>
          <w:sz w:val="22"/>
          <w:szCs w:val="22"/>
        </w:rPr>
        <w:t>R</w:t>
      </w:r>
      <w:r w:rsidR="0085F11C" w:rsidRPr="00D7648A">
        <w:rPr>
          <w:rFonts w:ascii="Garamond" w:hAnsi="Garamond"/>
          <w:sz w:val="22"/>
          <w:szCs w:val="22"/>
        </w:rPr>
        <w:t>educ</w:t>
      </w:r>
      <w:r w:rsidR="5F18FA6C" w:rsidRPr="00D7648A">
        <w:rPr>
          <w:rFonts w:ascii="Garamond" w:hAnsi="Garamond"/>
          <w:sz w:val="22"/>
          <w:szCs w:val="22"/>
        </w:rPr>
        <w:t xml:space="preserve">e </w:t>
      </w:r>
      <w:r w:rsidR="0085F11C" w:rsidRPr="00D7648A">
        <w:rPr>
          <w:rFonts w:ascii="Garamond" w:hAnsi="Garamond"/>
          <w:sz w:val="22"/>
          <w:szCs w:val="22"/>
        </w:rPr>
        <w:t>challeng</w:t>
      </w:r>
      <w:r w:rsidR="5F18FA6C" w:rsidRPr="00D7648A">
        <w:rPr>
          <w:rFonts w:ascii="Garamond" w:hAnsi="Garamond"/>
          <w:sz w:val="22"/>
          <w:szCs w:val="22"/>
        </w:rPr>
        <w:t>es associated with reporting biases such as publication and time lag bias which may</w:t>
      </w:r>
      <w:r w:rsidR="366A4542" w:rsidRPr="00D7648A">
        <w:rPr>
          <w:rFonts w:ascii="Garamond" w:hAnsi="Garamond"/>
          <w:sz w:val="22"/>
          <w:szCs w:val="22"/>
        </w:rPr>
        <w:t xml:space="preserve"> </w:t>
      </w:r>
      <w:r w:rsidR="5F18FA6C" w:rsidRPr="00D7648A">
        <w:rPr>
          <w:rFonts w:ascii="Garamond" w:hAnsi="Garamond"/>
          <w:sz w:val="22"/>
          <w:szCs w:val="22"/>
        </w:rPr>
        <w:t>skew research results</w:t>
      </w:r>
      <w:r w:rsidR="366A4542" w:rsidRPr="00D7648A">
        <w:rPr>
          <w:rFonts w:ascii="Garamond" w:hAnsi="Garamond"/>
          <w:sz w:val="22"/>
          <w:szCs w:val="22"/>
        </w:rPr>
        <w:t xml:space="preserve"> and/or slow progress,</w:t>
      </w:r>
      <w:r w:rsidR="5F18FA6C" w:rsidRPr="00D7648A">
        <w:rPr>
          <w:rFonts w:ascii="Garamond" w:hAnsi="Garamond"/>
          <w:sz w:val="22"/>
          <w:szCs w:val="22"/>
        </w:rPr>
        <w:t xml:space="preserve"> and threaten patient </w:t>
      </w:r>
      <w:proofErr w:type="gramStart"/>
      <w:r w:rsidR="5F18FA6C" w:rsidRPr="00D7648A">
        <w:rPr>
          <w:rFonts w:ascii="Garamond" w:hAnsi="Garamond"/>
          <w:sz w:val="22"/>
          <w:szCs w:val="22"/>
        </w:rPr>
        <w:t>safety</w:t>
      </w:r>
      <w:r w:rsidR="0085F11C" w:rsidRPr="00D7648A">
        <w:rPr>
          <w:rFonts w:ascii="Garamond" w:hAnsi="Garamond"/>
          <w:sz w:val="22"/>
          <w:szCs w:val="22"/>
        </w:rPr>
        <w:t>;</w:t>
      </w:r>
      <w:proofErr w:type="gramEnd"/>
      <w:r w:rsidR="0085F11C" w:rsidRPr="00D7648A">
        <w:rPr>
          <w:rFonts w:ascii="Garamond" w:hAnsi="Garamond"/>
          <w:sz w:val="22"/>
          <w:szCs w:val="22"/>
        </w:rPr>
        <w:t xml:space="preserve"> </w:t>
      </w:r>
    </w:p>
    <w:p w14:paraId="6701A54B" w14:textId="57EBED29" w:rsidR="0010410C" w:rsidRPr="00D7648A" w:rsidRDefault="4581335A" w:rsidP="12F20B55">
      <w:pPr>
        <w:pStyle w:val="ListParagraph"/>
        <w:numPr>
          <w:ilvl w:val="0"/>
          <w:numId w:val="2"/>
        </w:numPr>
        <w:jc w:val="both"/>
        <w:rPr>
          <w:rFonts w:eastAsiaTheme="minorEastAsia"/>
          <w:sz w:val="22"/>
          <w:szCs w:val="22"/>
        </w:rPr>
      </w:pPr>
      <w:r w:rsidRPr="00D7648A">
        <w:rPr>
          <w:rFonts w:ascii="Garamond" w:hAnsi="Garamond"/>
          <w:sz w:val="22"/>
          <w:szCs w:val="22"/>
        </w:rPr>
        <w:t xml:space="preserve">Increase trust and confidence in uterine transplantation </w:t>
      </w:r>
      <w:bookmarkStart w:id="0" w:name="_Int_WwXqyUel"/>
      <w:r w:rsidRPr="00D7648A">
        <w:rPr>
          <w:rFonts w:ascii="Garamond" w:hAnsi="Garamond"/>
          <w:sz w:val="22"/>
          <w:szCs w:val="22"/>
        </w:rPr>
        <w:t>as a result of</w:t>
      </w:r>
      <w:bookmarkEnd w:id="0"/>
      <w:r w:rsidRPr="00D7648A">
        <w:rPr>
          <w:rFonts w:ascii="Garamond" w:hAnsi="Garamond"/>
          <w:sz w:val="22"/>
          <w:szCs w:val="22"/>
        </w:rPr>
        <w:t xml:space="preserve"> transparency in data </w:t>
      </w:r>
      <w:r w:rsidR="0076478E" w:rsidRPr="00D7648A">
        <w:rPr>
          <w:rFonts w:ascii="Garamond" w:hAnsi="Garamond"/>
          <w:sz w:val="22"/>
          <w:szCs w:val="22"/>
        </w:rPr>
        <w:t>availability.</w:t>
      </w:r>
    </w:p>
    <w:p w14:paraId="0EE46E23" w14:textId="4AE84541" w:rsidR="00982C81" w:rsidRPr="00D7648A" w:rsidRDefault="5F448053" w:rsidP="00FD6C10">
      <w:pPr>
        <w:pStyle w:val="ListParagraph"/>
        <w:numPr>
          <w:ilvl w:val="0"/>
          <w:numId w:val="2"/>
        </w:numPr>
        <w:jc w:val="both"/>
        <w:rPr>
          <w:rFonts w:eastAsiaTheme="minorEastAsia"/>
          <w:sz w:val="22"/>
          <w:szCs w:val="22"/>
        </w:rPr>
      </w:pPr>
      <w:r w:rsidRPr="00D7648A">
        <w:rPr>
          <w:rFonts w:ascii="Garamond" w:hAnsi="Garamond"/>
          <w:sz w:val="22"/>
          <w:szCs w:val="22"/>
        </w:rPr>
        <w:t>E</w:t>
      </w:r>
      <w:r w:rsidR="5F18FA6C" w:rsidRPr="00D7648A">
        <w:rPr>
          <w:rFonts w:ascii="Garamond" w:hAnsi="Garamond"/>
          <w:sz w:val="22"/>
          <w:szCs w:val="22"/>
        </w:rPr>
        <w:t xml:space="preserve">ncourage the production of more and </w:t>
      </w:r>
      <w:r w:rsidR="366A4542" w:rsidRPr="00D7648A">
        <w:rPr>
          <w:rFonts w:ascii="Garamond" w:hAnsi="Garamond"/>
          <w:sz w:val="22"/>
          <w:szCs w:val="22"/>
        </w:rPr>
        <w:t>better-informed</w:t>
      </w:r>
      <w:r w:rsidR="5F18FA6C" w:rsidRPr="00D7648A">
        <w:rPr>
          <w:rFonts w:ascii="Garamond" w:hAnsi="Garamond"/>
          <w:sz w:val="22"/>
          <w:szCs w:val="22"/>
        </w:rPr>
        <w:t xml:space="preserve"> collaborative and comparative research to develop new hypotheses and advance the </w:t>
      </w:r>
      <w:r w:rsidR="0076478E" w:rsidRPr="00D7648A">
        <w:rPr>
          <w:rFonts w:ascii="Garamond" w:hAnsi="Garamond"/>
          <w:sz w:val="22"/>
          <w:szCs w:val="22"/>
        </w:rPr>
        <w:t>field.</w:t>
      </w:r>
      <w:r w:rsidR="5F18FA6C" w:rsidRPr="00D7648A">
        <w:rPr>
          <w:rFonts w:ascii="Garamond" w:hAnsi="Garamond"/>
          <w:sz w:val="22"/>
          <w:szCs w:val="22"/>
        </w:rPr>
        <w:t xml:space="preserve"> </w:t>
      </w:r>
    </w:p>
    <w:p w14:paraId="4F0AE760" w14:textId="4B2A8B73" w:rsidR="0038082C" w:rsidRPr="00D7648A" w:rsidRDefault="5F448053" w:rsidP="12F20B55">
      <w:pPr>
        <w:pStyle w:val="ListParagraph"/>
        <w:numPr>
          <w:ilvl w:val="0"/>
          <w:numId w:val="2"/>
        </w:numPr>
        <w:jc w:val="both"/>
        <w:rPr>
          <w:rFonts w:eastAsiaTheme="minorEastAsia"/>
          <w:sz w:val="22"/>
          <w:szCs w:val="22"/>
        </w:rPr>
      </w:pPr>
      <w:r w:rsidRPr="00D7648A">
        <w:rPr>
          <w:rFonts w:ascii="Garamond" w:hAnsi="Garamond"/>
          <w:sz w:val="22"/>
          <w:szCs w:val="22"/>
        </w:rPr>
        <w:t>E</w:t>
      </w:r>
      <w:r w:rsidR="69E39439" w:rsidRPr="00D7648A">
        <w:rPr>
          <w:rFonts w:ascii="Garamond" w:hAnsi="Garamond"/>
          <w:sz w:val="22"/>
          <w:szCs w:val="22"/>
        </w:rPr>
        <w:t>nsure high quality consent from and safeguarding of donors and recipients</w:t>
      </w:r>
      <w:r w:rsidRPr="00D7648A">
        <w:rPr>
          <w:rFonts w:ascii="Garamond" w:hAnsi="Garamond"/>
          <w:sz w:val="22"/>
          <w:szCs w:val="22"/>
        </w:rPr>
        <w:t xml:space="preserve"> in UTx</w:t>
      </w:r>
      <w:r w:rsidR="366A4542" w:rsidRPr="00D7648A">
        <w:rPr>
          <w:rFonts w:ascii="Garamond" w:hAnsi="Garamond"/>
          <w:sz w:val="22"/>
          <w:szCs w:val="22"/>
        </w:rPr>
        <w:t>,</w:t>
      </w:r>
      <w:r w:rsidRPr="00D7648A">
        <w:rPr>
          <w:rFonts w:ascii="Garamond" w:hAnsi="Garamond"/>
          <w:sz w:val="22"/>
          <w:szCs w:val="22"/>
        </w:rPr>
        <w:t xml:space="preserve"> through</w:t>
      </w:r>
      <w:r w:rsidR="366A4542" w:rsidRPr="00D7648A">
        <w:rPr>
          <w:rFonts w:ascii="Garamond" w:hAnsi="Garamond"/>
          <w:sz w:val="22"/>
          <w:szCs w:val="22"/>
        </w:rPr>
        <w:t xml:space="preserve"> increased ability to inform patients of the current state of knowledge of risks and benefits of UTx </w:t>
      </w:r>
      <w:r w:rsidR="69E39439" w:rsidRPr="00D7648A">
        <w:rPr>
          <w:rFonts w:ascii="Garamond" w:hAnsi="Garamond"/>
          <w:sz w:val="22"/>
          <w:szCs w:val="22"/>
        </w:rPr>
        <w:t>based on results from both published and unpublished case studies</w:t>
      </w:r>
      <w:r w:rsidR="366A4542" w:rsidRPr="00D7648A">
        <w:rPr>
          <w:rFonts w:ascii="Garamond" w:hAnsi="Garamond"/>
          <w:sz w:val="22"/>
          <w:szCs w:val="22"/>
        </w:rPr>
        <w:t xml:space="preserve">, </w:t>
      </w:r>
      <w:r w:rsidR="69E39439" w:rsidRPr="00D7648A">
        <w:rPr>
          <w:rFonts w:ascii="Garamond" w:hAnsi="Garamond"/>
          <w:sz w:val="22"/>
          <w:szCs w:val="22"/>
        </w:rPr>
        <w:t>and</w:t>
      </w:r>
      <w:r w:rsidR="4B520A34" w:rsidRPr="00D7648A">
        <w:rPr>
          <w:rFonts w:ascii="Garamond" w:hAnsi="Garamond"/>
          <w:sz w:val="22"/>
          <w:szCs w:val="22"/>
        </w:rPr>
        <w:t xml:space="preserve"> </w:t>
      </w:r>
      <w:r w:rsidR="69E39439" w:rsidRPr="00D7648A">
        <w:rPr>
          <w:rFonts w:ascii="Garamond" w:hAnsi="Garamond"/>
          <w:sz w:val="22"/>
          <w:szCs w:val="22"/>
        </w:rPr>
        <w:t>more rapidly identify</w:t>
      </w:r>
      <w:r w:rsidRPr="00D7648A">
        <w:rPr>
          <w:rFonts w:ascii="Garamond" w:hAnsi="Garamond"/>
          <w:sz w:val="22"/>
          <w:szCs w:val="22"/>
        </w:rPr>
        <w:t xml:space="preserve"> technique variations/patient groups/teams/individual physicians etc.</w:t>
      </w:r>
      <w:r w:rsidR="366A4542" w:rsidRPr="00D7648A">
        <w:rPr>
          <w:rFonts w:ascii="Garamond" w:hAnsi="Garamond"/>
          <w:sz w:val="22"/>
          <w:szCs w:val="22"/>
        </w:rPr>
        <w:t xml:space="preserve"> </w:t>
      </w:r>
      <w:r w:rsidRPr="00D7648A">
        <w:rPr>
          <w:rFonts w:ascii="Garamond" w:hAnsi="Garamond"/>
          <w:sz w:val="22"/>
          <w:szCs w:val="22"/>
        </w:rPr>
        <w:t>demonstrating</w:t>
      </w:r>
      <w:r w:rsidR="366A4542" w:rsidRPr="00D7648A">
        <w:rPr>
          <w:rFonts w:ascii="Garamond" w:hAnsi="Garamond"/>
          <w:sz w:val="22"/>
          <w:szCs w:val="22"/>
        </w:rPr>
        <w:t xml:space="preserve"> promising/unpromising</w:t>
      </w:r>
      <w:r w:rsidRPr="00D7648A">
        <w:rPr>
          <w:rFonts w:ascii="Garamond" w:hAnsi="Garamond"/>
          <w:sz w:val="22"/>
          <w:szCs w:val="22"/>
        </w:rPr>
        <w:t xml:space="preserve"> outcomes</w:t>
      </w:r>
      <w:r w:rsidR="366A4542" w:rsidRPr="00D7648A">
        <w:rPr>
          <w:rFonts w:ascii="Garamond" w:hAnsi="Garamond"/>
          <w:sz w:val="22"/>
          <w:szCs w:val="22"/>
        </w:rPr>
        <w:t>.</w:t>
      </w:r>
    </w:p>
    <w:p w14:paraId="730E1D44" w14:textId="2C8CEC90" w:rsidR="0038082C" w:rsidRPr="00D7648A" w:rsidRDefault="0038082C" w:rsidP="00FD6C10">
      <w:pPr>
        <w:jc w:val="both"/>
        <w:rPr>
          <w:rFonts w:ascii="Garamond" w:hAnsi="Garamond"/>
          <w:sz w:val="22"/>
          <w:szCs w:val="22"/>
        </w:rPr>
      </w:pPr>
    </w:p>
    <w:p w14:paraId="355C20B6" w14:textId="77777777" w:rsidR="0038082C" w:rsidRPr="00D7648A" w:rsidRDefault="0038082C" w:rsidP="00FD6C10">
      <w:pPr>
        <w:jc w:val="both"/>
        <w:rPr>
          <w:rFonts w:ascii="Garamond" w:hAnsi="Garamond"/>
          <w:sz w:val="22"/>
          <w:szCs w:val="22"/>
        </w:rPr>
      </w:pPr>
    </w:p>
    <w:p w14:paraId="20902BE6" w14:textId="2944298F" w:rsidR="008011A4" w:rsidRPr="00D7648A" w:rsidRDefault="0038082C" w:rsidP="00FD6C10">
      <w:pPr>
        <w:pStyle w:val="ListParagraph"/>
        <w:numPr>
          <w:ilvl w:val="0"/>
          <w:numId w:val="5"/>
        </w:numPr>
        <w:jc w:val="both"/>
        <w:rPr>
          <w:rFonts w:ascii="Garamond" w:hAnsi="Garamond"/>
          <w:b/>
          <w:bCs/>
          <w:sz w:val="22"/>
          <w:szCs w:val="22"/>
        </w:rPr>
      </w:pPr>
      <w:r w:rsidRPr="00D7648A">
        <w:rPr>
          <w:rFonts w:ascii="Garamond" w:hAnsi="Garamond"/>
          <w:b/>
          <w:bCs/>
          <w:sz w:val="22"/>
          <w:szCs w:val="22"/>
        </w:rPr>
        <w:t>Data Sharing: Challenges and Concerns</w:t>
      </w:r>
    </w:p>
    <w:p w14:paraId="5908DCFF" w14:textId="4413180D" w:rsidR="0038082C" w:rsidRPr="00D7648A" w:rsidRDefault="0038082C" w:rsidP="00FD6C10">
      <w:pPr>
        <w:jc w:val="both"/>
        <w:rPr>
          <w:rFonts w:ascii="Garamond" w:hAnsi="Garamond"/>
          <w:b/>
          <w:bCs/>
          <w:sz w:val="22"/>
          <w:szCs w:val="22"/>
        </w:rPr>
      </w:pPr>
    </w:p>
    <w:p w14:paraId="060DE143" w14:textId="3436E132" w:rsidR="0068488E" w:rsidRPr="00D7648A" w:rsidRDefault="41DB9BBA" w:rsidP="00FD6C10">
      <w:pPr>
        <w:jc w:val="both"/>
        <w:rPr>
          <w:rFonts w:ascii="Garamond" w:hAnsi="Garamond"/>
          <w:sz w:val="22"/>
          <w:szCs w:val="22"/>
        </w:rPr>
      </w:pPr>
      <w:r w:rsidRPr="00D7648A">
        <w:rPr>
          <w:rFonts w:ascii="Garamond" w:hAnsi="Garamond"/>
          <w:sz w:val="22"/>
          <w:szCs w:val="22"/>
        </w:rPr>
        <w:t xml:space="preserve">While there are many benefits to reap from data sharing, </w:t>
      </w:r>
      <w:r w:rsidR="367FDD47" w:rsidRPr="00D7648A">
        <w:rPr>
          <w:rFonts w:ascii="Garamond" w:hAnsi="Garamond"/>
          <w:sz w:val="22"/>
          <w:szCs w:val="22"/>
        </w:rPr>
        <w:t>several</w:t>
      </w:r>
      <w:r w:rsidRPr="00D7648A">
        <w:rPr>
          <w:rFonts w:ascii="Garamond" w:hAnsi="Garamond"/>
          <w:sz w:val="22"/>
          <w:szCs w:val="22"/>
        </w:rPr>
        <w:t xml:space="preserve"> challenges and concerns are associated with ensuring</w:t>
      </w:r>
      <w:r w:rsidR="00312EF6" w:rsidRPr="00D7648A">
        <w:rPr>
          <w:rFonts w:ascii="Garamond" w:hAnsi="Garamond"/>
          <w:sz w:val="22"/>
          <w:szCs w:val="22"/>
        </w:rPr>
        <w:t xml:space="preserve"> </w:t>
      </w:r>
      <w:r w:rsidRPr="00D7648A">
        <w:rPr>
          <w:rFonts w:ascii="Garamond" w:hAnsi="Garamond"/>
          <w:sz w:val="22"/>
          <w:szCs w:val="22"/>
        </w:rPr>
        <w:t>that data sharing practices neither</w:t>
      </w:r>
      <w:r w:rsidR="001B75AC" w:rsidRPr="00D7648A">
        <w:rPr>
          <w:rFonts w:ascii="Garamond" w:hAnsi="Garamond"/>
          <w:sz w:val="22"/>
          <w:szCs w:val="22"/>
        </w:rPr>
        <w:t xml:space="preserve"> overburden researchers </w:t>
      </w:r>
      <w:r w:rsidRPr="00D7648A">
        <w:rPr>
          <w:rFonts w:ascii="Garamond" w:hAnsi="Garamond"/>
          <w:sz w:val="22"/>
          <w:szCs w:val="22"/>
        </w:rPr>
        <w:t xml:space="preserve">nor the privacy rights of research participants. </w:t>
      </w:r>
    </w:p>
    <w:p w14:paraId="2DE50872" w14:textId="77777777" w:rsidR="0068488E" w:rsidRPr="00D7648A" w:rsidRDefault="0068488E" w:rsidP="00FD6C10">
      <w:pPr>
        <w:jc w:val="both"/>
        <w:rPr>
          <w:rFonts w:ascii="Garamond" w:hAnsi="Garamond"/>
          <w:sz w:val="22"/>
          <w:szCs w:val="22"/>
        </w:rPr>
      </w:pPr>
    </w:p>
    <w:p w14:paraId="237A920F" w14:textId="3B384321" w:rsidR="00E365CE" w:rsidRPr="00D7648A" w:rsidRDefault="41DB9BBA" w:rsidP="00FD6C10">
      <w:pPr>
        <w:jc w:val="both"/>
        <w:rPr>
          <w:rFonts w:ascii="Garamond" w:hAnsi="Garamond"/>
          <w:sz w:val="22"/>
          <w:szCs w:val="22"/>
        </w:rPr>
      </w:pPr>
      <w:r w:rsidRPr="00D7648A">
        <w:rPr>
          <w:rFonts w:ascii="Garamond" w:hAnsi="Garamond"/>
          <w:sz w:val="22"/>
          <w:szCs w:val="22"/>
        </w:rPr>
        <w:t>With respect to intellectual property, for example,</w:t>
      </w:r>
      <w:r w:rsidR="3269CD04" w:rsidRPr="00D7648A">
        <w:rPr>
          <w:rFonts w:ascii="Garamond" w:hAnsi="Garamond"/>
          <w:sz w:val="22"/>
          <w:szCs w:val="22"/>
        </w:rPr>
        <w:t xml:space="preserve"> a key concern</w:t>
      </w:r>
      <w:r w:rsidR="4B520A34" w:rsidRPr="00D7648A">
        <w:rPr>
          <w:rFonts w:ascii="Garamond" w:hAnsi="Garamond"/>
          <w:sz w:val="22"/>
          <w:szCs w:val="22"/>
        </w:rPr>
        <w:t xml:space="preserve"> expressed by researchers</w:t>
      </w:r>
      <w:r w:rsidR="3269CD04" w:rsidRPr="00D7648A">
        <w:rPr>
          <w:rFonts w:ascii="Garamond" w:hAnsi="Garamond"/>
          <w:sz w:val="22"/>
          <w:szCs w:val="22"/>
        </w:rPr>
        <w:t xml:space="preserve"> surrounding data-sharing and ‘open research’ imperatives has been that of</w:t>
      </w:r>
      <w:r w:rsidR="00C061AD" w:rsidRPr="00D7648A">
        <w:rPr>
          <w:rFonts w:ascii="Garamond" w:hAnsi="Garamond"/>
          <w:sz w:val="22"/>
          <w:szCs w:val="22"/>
        </w:rPr>
        <w:t xml:space="preserve"> how to ensure</w:t>
      </w:r>
      <w:r w:rsidR="3269CD04" w:rsidRPr="00D7648A">
        <w:rPr>
          <w:rFonts w:ascii="Garamond" w:hAnsi="Garamond"/>
          <w:sz w:val="22"/>
          <w:szCs w:val="22"/>
        </w:rPr>
        <w:t xml:space="preserve"> ‘fairness</w:t>
      </w:r>
      <w:r w:rsidR="00C061AD" w:rsidRPr="00D7648A">
        <w:rPr>
          <w:rFonts w:ascii="Garamond" w:hAnsi="Garamond"/>
          <w:sz w:val="22"/>
          <w:szCs w:val="22"/>
        </w:rPr>
        <w:t>’</w:t>
      </w:r>
      <w:r w:rsidR="00B662C1" w:rsidRPr="00D7648A">
        <w:rPr>
          <w:rFonts w:ascii="Garamond" w:hAnsi="Garamond"/>
          <w:sz w:val="22"/>
          <w:szCs w:val="22"/>
        </w:rPr>
        <w:t xml:space="preserve"> to researchers and triallists. Worries, for example, have been expressed regarding: </w:t>
      </w:r>
      <w:r w:rsidR="009C0C89" w:rsidRPr="00D7648A">
        <w:rPr>
          <w:rFonts w:ascii="Garamond" w:hAnsi="Garamond"/>
          <w:sz w:val="22"/>
          <w:szCs w:val="22"/>
        </w:rPr>
        <w:t>the extent to which data sharing</w:t>
      </w:r>
      <w:r w:rsidR="00B662C1" w:rsidRPr="00D7648A">
        <w:rPr>
          <w:rFonts w:ascii="Garamond" w:hAnsi="Garamond"/>
          <w:sz w:val="22"/>
          <w:szCs w:val="22"/>
        </w:rPr>
        <w:t xml:space="preserve"> could</w:t>
      </w:r>
      <w:r w:rsidR="009C0C89" w:rsidRPr="00D7648A">
        <w:rPr>
          <w:rFonts w:ascii="Garamond" w:hAnsi="Garamond"/>
          <w:sz w:val="22"/>
          <w:szCs w:val="22"/>
        </w:rPr>
        <w:t xml:space="preserve"> hamper</w:t>
      </w:r>
      <w:r w:rsidR="00351AF9" w:rsidRPr="00D7648A">
        <w:rPr>
          <w:rFonts w:ascii="Garamond" w:hAnsi="Garamond"/>
          <w:sz w:val="22"/>
          <w:szCs w:val="22"/>
        </w:rPr>
        <w:t xml:space="preserve"> </w:t>
      </w:r>
      <w:r w:rsidR="009C0C89" w:rsidRPr="00D7648A">
        <w:rPr>
          <w:rFonts w:ascii="Garamond" w:hAnsi="Garamond"/>
          <w:sz w:val="22"/>
          <w:szCs w:val="22"/>
        </w:rPr>
        <w:t>researcher</w:t>
      </w:r>
      <w:r w:rsidR="00351AF9" w:rsidRPr="00D7648A">
        <w:rPr>
          <w:rFonts w:ascii="Garamond" w:hAnsi="Garamond"/>
          <w:sz w:val="22"/>
          <w:szCs w:val="22"/>
        </w:rPr>
        <w:t xml:space="preserve">s’ </w:t>
      </w:r>
      <w:r w:rsidR="009C0C89" w:rsidRPr="00D7648A">
        <w:rPr>
          <w:rFonts w:ascii="Garamond" w:hAnsi="Garamond"/>
          <w:sz w:val="22"/>
          <w:szCs w:val="22"/>
        </w:rPr>
        <w:t>ability to maximise the personal professional (and economic) benefits</w:t>
      </w:r>
      <w:r w:rsidR="00B662C1" w:rsidRPr="00D7648A">
        <w:rPr>
          <w:rFonts w:ascii="Garamond" w:hAnsi="Garamond"/>
          <w:sz w:val="22"/>
          <w:szCs w:val="22"/>
        </w:rPr>
        <w:t xml:space="preserve"> that they may generate from</w:t>
      </w:r>
      <w:r w:rsidR="009C0C89" w:rsidRPr="00D7648A">
        <w:rPr>
          <w:rFonts w:ascii="Garamond" w:hAnsi="Garamond"/>
          <w:sz w:val="22"/>
          <w:szCs w:val="22"/>
        </w:rPr>
        <w:t xml:space="preserve"> their research</w:t>
      </w:r>
      <w:r w:rsidR="009C0C89" w:rsidRPr="00D7648A">
        <w:rPr>
          <w:rStyle w:val="FootnoteReference"/>
          <w:rFonts w:ascii="Garamond" w:hAnsi="Garamond"/>
          <w:sz w:val="22"/>
          <w:szCs w:val="22"/>
        </w:rPr>
        <w:footnoteReference w:id="16"/>
      </w:r>
      <w:r w:rsidR="003444C8" w:rsidRPr="00D7648A">
        <w:rPr>
          <w:rFonts w:ascii="Garamond" w:hAnsi="Garamond"/>
          <w:sz w:val="22"/>
          <w:szCs w:val="22"/>
        </w:rPr>
        <w:t xml:space="preserve"> such as through losses of publications and product advantage resulting from competitors use of shared data</w:t>
      </w:r>
      <w:r w:rsidR="002833DA" w:rsidRPr="00D7648A">
        <w:rPr>
          <w:rStyle w:val="FootnoteReference"/>
          <w:rFonts w:ascii="Garamond" w:hAnsi="Garamond"/>
          <w:sz w:val="22"/>
          <w:szCs w:val="22"/>
        </w:rPr>
        <w:footnoteReference w:id="17"/>
      </w:r>
      <w:r w:rsidR="00B662C1" w:rsidRPr="00D7648A">
        <w:rPr>
          <w:rFonts w:ascii="Garamond" w:hAnsi="Garamond"/>
          <w:sz w:val="22"/>
          <w:szCs w:val="22"/>
        </w:rPr>
        <w:t>; whether other investigators should be permitted to benefit (and reap rewards) from work that they have not themselves conducted</w:t>
      </w:r>
      <w:r w:rsidR="001B75AC" w:rsidRPr="00D7648A">
        <w:rPr>
          <w:rStyle w:val="FootnoteReference"/>
          <w:rFonts w:ascii="Garamond" w:hAnsi="Garamond"/>
          <w:sz w:val="22"/>
          <w:szCs w:val="22"/>
          <w:shd w:val="clear" w:color="auto" w:fill="FFFFFF"/>
        </w:rPr>
        <w:footnoteReference w:id="18"/>
      </w:r>
      <w:r w:rsidR="001B75AC" w:rsidRPr="00D7648A">
        <w:rPr>
          <w:rFonts w:ascii="Garamond" w:hAnsi="Garamond"/>
          <w:sz w:val="22"/>
          <w:szCs w:val="22"/>
        </w:rPr>
        <w:t>;</w:t>
      </w:r>
      <w:r w:rsidR="001B75AC" w:rsidRPr="00D7648A">
        <w:rPr>
          <w:rFonts w:ascii="Garamond" w:hAnsi="Garamond"/>
          <w:sz w:val="22"/>
          <w:szCs w:val="22"/>
          <w:shd w:val="clear" w:color="auto" w:fill="FFFFFF"/>
        </w:rPr>
        <w:t xml:space="preserve"> </w:t>
      </w:r>
      <w:r w:rsidR="00B2253A" w:rsidRPr="00D7648A">
        <w:rPr>
          <w:rFonts w:ascii="Garamond" w:hAnsi="Garamond"/>
          <w:sz w:val="22"/>
          <w:szCs w:val="22"/>
        </w:rPr>
        <w:t>whether a move towards more open data sharing practices may</w:t>
      </w:r>
      <w:r w:rsidR="00B662C1" w:rsidRPr="00D7648A">
        <w:rPr>
          <w:rFonts w:ascii="Garamond" w:hAnsi="Garamond"/>
          <w:sz w:val="22"/>
          <w:szCs w:val="22"/>
        </w:rPr>
        <w:t xml:space="preserve">  reduce the numbers of co</w:t>
      </w:r>
      <w:r w:rsidR="00C061AD" w:rsidRPr="00D7648A">
        <w:rPr>
          <w:rFonts w:ascii="Garamond" w:hAnsi="Garamond"/>
          <w:sz w:val="22"/>
          <w:szCs w:val="22"/>
        </w:rPr>
        <w:t>-i</w:t>
      </w:r>
      <w:r w:rsidR="00B662C1" w:rsidRPr="00D7648A">
        <w:rPr>
          <w:rFonts w:ascii="Garamond" w:hAnsi="Garamond"/>
          <w:sz w:val="22"/>
          <w:szCs w:val="22"/>
        </w:rPr>
        <w:t>nvestigators and mentees willing to work on a trial as they will no longer have preferred access to data sets in return</w:t>
      </w:r>
      <w:r w:rsidR="00B2253A" w:rsidRPr="00D7648A">
        <w:rPr>
          <w:rFonts w:ascii="Garamond" w:hAnsi="Garamond"/>
          <w:sz w:val="22"/>
          <w:szCs w:val="22"/>
        </w:rPr>
        <w:t xml:space="preserve"> for their commitment</w:t>
      </w:r>
      <w:r w:rsidR="00B662C1" w:rsidRPr="00D7648A">
        <w:rPr>
          <w:rStyle w:val="FootnoteReference"/>
          <w:rFonts w:ascii="Garamond" w:hAnsi="Garamond"/>
          <w:sz w:val="22"/>
          <w:szCs w:val="22"/>
          <w:shd w:val="clear" w:color="auto" w:fill="FFFFFF"/>
        </w:rPr>
        <w:footnoteReference w:id="19"/>
      </w:r>
      <w:r w:rsidR="001B75AC" w:rsidRPr="00D7648A">
        <w:rPr>
          <w:rFonts w:ascii="Garamond" w:hAnsi="Garamond"/>
          <w:sz w:val="22"/>
          <w:szCs w:val="22"/>
          <w:shd w:val="clear" w:color="auto" w:fill="FFFFFF"/>
        </w:rPr>
        <w:t>;</w:t>
      </w:r>
      <w:r w:rsidR="009C0C89" w:rsidRPr="00D7648A">
        <w:rPr>
          <w:rFonts w:ascii="Garamond" w:hAnsi="Garamond"/>
          <w:sz w:val="22"/>
          <w:szCs w:val="22"/>
        </w:rPr>
        <w:t xml:space="preserve"> </w:t>
      </w:r>
      <w:r w:rsidR="001B75AC" w:rsidRPr="00D7648A">
        <w:rPr>
          <w:rFonts w:ascii="Garamond" w:hAnsi="Garamond"/>
          <w:sz w:val="22"/>
          <w:szCs w:val="22"/>
        </w:rPr>
        <w:t>and</w:t>
      </w:r>
      <w:r w:rsidR="00351AF9" w:rsidRPr="00D7648A">
        <w:rPr>
          <w:rFonts w:ascii="Garamond" w:hAnsi="Garamond"/>
          <w:sz w:val="22"/>
          <w:szCs w:val="22"/>
        </w:rPr>
        <w:t xml:space="preserve"> how to ensure that the costs associated with preparing data for sharing are equitably borne</w:t>
      </w:r>
      <w:r w:rsidR="00556B0D" w:rsidRPr="00D7648A">
        <w:rPr>
          <w:rFonts w:ascii="Garamond" w:hAnsi="Garamond"/>
          <w:sz w:val="22"/>
          <w:szCs w:val="22"/>
        </w:rPr>
        <w:t>.</w:t>
      </w:r>
      <w:r w:rsidR="00556B0D" w:rsidRPr="00D7648A">
        <w:rPr>
          <w:rStyle w:val="FootnoteReference"/>
          <w:rFonts w:ascii="Garamond" w:hAnsi="Garamond"/>
          <w:sz w:val="22"/>
          <w:szCs w:val="22"/>
        </w:rPr>
        <w:footnoteReference w:id="20"/>
      </w:r>
      <w:r w:rsidR="002833DA" w:rsidRPr="00D7648A">
        <w:rPr>
          <w:rFonts w:ascii="Garamond" w:hAnsi="Garamond"/>
          <w:sz w:val="22"/>
          <w:szCs w:val="22"/>
        </w:rPr>
        <w:t xml:space="preserve"> Others have also noted concerns regarding inappropriate data reuse and replication.</w:t>
      </w:r>
      <w:r w:rsidR="002833DA" w:rsidRPr="00D7648A">
        <w:rPr>
          <w:rStyle w:val="FootnoteReference"/>
          <w:rFonts w:ascii="Garamond" w:hAnsi="Garamond"/>
          <w:sz w:val="22"/>
          <w:szCs w:val="22"/>
        </w:rPr>
        <w:t xml:space="preserve"> </w:t>
      </w:r>
      <w:r w:rsidR="002833DA" w:rsidRPr="00D7648A">
        <w:rPr>
          <w:rStyle w:val="FootnoteReference"/>
          <w:rFonts w:ascii="Garamond" w:hAnsi="Garamond"/>
          <w:sz w:val="22"/>
          <w:szCs w:val="22"/>
        </w:rPr>
        <w:footnoteReference w:id="21"/>
      </w:r>
      <w:r w:rsidR="002833DA" w:rsidRPr="00D7648A">
        <w:rPr>
          <w:rFonts w:ascii="Garamond" w:hAnsi="Garamond"/>
          <w:sz w:val="22"/>
          <w:szCs w:val="22"/>
        </w:rPr>
        <w:t xml:space="preserve"> </w:t>
      </w:r>
    </w:p>
    <w:p w14:paraId="5F0C0DCF" w14:textId="77777777" w:rsidR="00E365CE" w:rsidRPr="00D7648A" w:rsidRDefault="00E365CE" w:rsidP="00FD6C10">
      <w:pPr>
        <w:jc w:val="both"/>
        <w:rPr>
          <w:rFonts w:ascii="Garamond" w:hAnsi="Garamond"/>
          <w:sz w:val="22"/>
          <w:szCs w:val="22"/>
        </w:rPr>
      </w:pPr>
    </w:p>
    <w:p w14:paraId="231E153A" w14:textId="53877FA4" w:rsidR="00850C3E" w:rsidRPr="00D7648A" w:rsidRDefault="00C061AD" w:rsidP="00FD6C10">
      <w:pPr>
        <w:jc w:val="both"/>
        <w:rPr>
          <w:rFonts w:ascii="Garamond" w:hAnsi="Garamond"/>
          <w:sz w:val="22"/>
          <w:szCs w:val="22"/>
        </w:rPr>
      </w:pPr>
      <w:r w:rsidRPr="00D7648A">
        <w:rPr>
          <w:rFonts w:ascii="Garamond" w:hAnsi="Garamond"/>
          <w:sz w:val="22"/>
          <w:szCs w:val="22"/>
        </w:rPr>
        <w:t>Yet, while such concerns are</w:t>
      </w:r>
      <w:r w:rsidR="00130647" w:rsidRPr="00D7648A">
        <w:rPr>
          <w:rFonts w:ascii="Garamond" w:hAnsi="Garamond"/>
          <w:sz w:val="22"/>
          <w:szCs w:val="22"/>
        </w:rPr>
        <w:t xml:space="preserve"> understandable</w:t>
      </w:r>
      <w:r w:rsidR="00E24619" w:rsidRPr="00D7648A">
        <w:rPr>
          <w:rFonts w:ascii="Garamond" w:hAnsi="Garamond"/>
          <w:sz w:val="22"/>
          <w:szCs w:val="22"/>
        </w:rPr>
        <w:t>, many are surmountable (through, for example, the adoption of stringent requirements regarding acknowledgment of original data used for secondary research</w:t>
      </w:r>
      <w:r w:rsidR="00E365CE" w:rsidRPr="00D7648A">
        <w:rPr>
          <w:rFonts w:ascii="Garamond" w:hAnsi="Garamond"/>
          <w:sz w:val="22"/>
          <w:szCs w:val="22"/>
        </w:rPr>
        <w:t xml:space="preserve"> and the implementation of robust procedures to screen applications for secondary data uses</w:t>
      </w:r>
      <w:r w:rsidR="00E24619" w:rsidRPr="00D7648A">
        <w:rPr>
          <w:rFonts w:ascii="Garamond" w:hAnsi="Garamond"/>
          <w:sz w:val="22"/>
          <w:szCs w:val="22"/>
        </w:rPr>
        <w:t>) and others, such as worries regarding</w:t>
      </w:r>
      <w:r w:rsidR="4ED93263" w:rsidRPr="00D7648A">
        <w:rPr>
          <w:rFonts w:ascii="Garamond" w:hAnsi="Garamond"/>
          <w:sz w:val="22"/>
          <w:szCs w:val="22"/>
        </w:rPr>
        <w:t xml:space="preserve"> Intellectual Property (</w:t>
      </w:r>
      <w:r w:rsidR="00E24619" w:rsidRPr="00D7648A">
        <w:rPr>
          <w:rFonts w:ascii="Garamond" w:hAnsi="Garamond"/>
          <w:sz w:val="22"/>
          <w:szCs w:val="22"/>
        </w:rPr>
        <w:t>IP</w:t>
      </w:r>
      <w:r w:rsidR="01A9E7C5" w:rsidRPr="00D7648A">
        <w:rPr>
          <w:rFonts w:ascii="Garamond" w:hAnsi="Garamond"/>
          <w:sz w:val="22"/>
          <w:szCs w:val="22"/>
        </w:rPr>
        <w:t>)</w:t>
      </w:r>
      <w:r w:rsidR="00E24619" w:rsidRPr="00D7648A">
        <w:rPr>
          <w:rFonts w:ascii="Garamond" w:hAnsi="Garamond"/>
          <w:sz w:val="22"/>
          <w:szCs w:val="22"/>
        </w:rPr>
        <w:t xml:space="preserve"> rights</w:t>
      </w:r>
      <w:r w:rsidR="008743CD" w:rsidRPr="00D7648A">
        <w:rPr>
          <w:rFonts w:ascii="Garamond" w:hAnsi="Garamond"/>
          <w:sz w:val="22"/>
          <w:szCs w:val="22"/>
        </w:rPr>
        <w:t>, become less convincing</w:t>
      </w:r>
      <w:r w:rsidR="00E365CE" w:rsidRPr="00D7648A">
        <w:rPr>
          <w:rFonts w:ascii="Garamond" w:hAnsi="Garamond"/>
          <w:sz w:val="22"/>
          <w:szCs w:val="22"/>
        </w:rPr>
        <w:t xml:space="preserve"> </w:t>
      </w:r>
      <w:r w:rsidR="008743CD" w:rsidRPr="00D7648A">
        <w:rPr>
          <w:rFonts w:ascii="Garamond" w:hAnsi="Garamond"/>
          <w:sz w:val="22"/>
          <w:szCs w:val="22"/>
        </w:rPr>
        <w:t>where research is facilitated through taxes and research grants from charity funders. As a result, despite such concerns</w:t>
      </w:r>
      <w:r w:rsidR="00AB634A">
        <w:rPr>
          <w:rFonts w:ascii="Garamond" w:hAnsi="Garamond"/>
          <w:sz w:val="22"/>
          <w:szCs w:val="22"/>
        </w:rPr>
        <w:t>,</w:t>
      </w:r>
      <w:r w:rsidR="1EC66D5E" w:rsidRPr="00D7648A">
        <w:rPr>
          <w:rFonts w:ascii="Garamond" w:hAnsi="Garamond"/>
          <w:sz w:val="22"/>
          <w:szCs w:val="22"/>
        </w:rPr>
        <w:t xml:space="preserve"> “responsible sharing of individual-participant data (IPD) from clinical studies has gained increasing traction…”</w:t>
      </w:r>
      <w:r w:rsidR="00B06DEF" w:rsidRPr="00D7648A">
        <w:rPr>
          <w:rStyle w:val="FootnoteReference"/>
          <w:rFonts w:ascii="Garamond" w:hAnsi="Garamond"/>
          <w:sz w:val="22"/>
          <w:szCs w:val="22"/>
        </w:rPr>
        <w:footnoteReference w:id="22"/>
      </w:r>
      <w:r w:rsidR="1EC66D5E" w:rsidRPr="00D7648A">
        <w:rPr>
          <w:rFonts w:ascii="Garamond" w:hAnsi="Garamond"/>
          <w:sz w:val="22"/>
          <w:szCs w:val="22"/>
        </w:rPr>
        <w:t xml:space="preserve"> </w:t>
      </w:r>
      <w:r w:rsidR="5F8599D5" w:rsidRPr="00D7648A">
        <w:rPr>
          <w:rFonts w:ascii="Garamond" w:hAnsi="Garamond"/>
          <w:sz w:val="22"/>
          <w:szCs w:val="22"/>
        </w:rPr>
        <w:t xml:space="preserve"> Indeed, t</w:t>
      </w:r>
      <w:r w:rsidR="7086299E" w:rsidRPr="00D7648A">
        <w:rPr>
          <w:rFonts w:ascii="Garamond" w:hAnsi="Garamond"/>
          <w:sz w:val="22"/>
          <w:szCs w:val="22"/>
        </w:rPr>
        <w:t xml:space="preserve">he International Committee of Medical Journal Editors (ICMJE) introduced a requirement that </w:t>
      </w:r>
      <w:r w:rsidR="6C2F57FF" w:rsidRPr="00D7648A">
        <w:rPr>
          <w:rFonts w:ascii="Garamond" w:hAnsi="Garamond"/>
          <w:sz w:val="22"/>
          <w:szCs w:val="22"/>
        </w:rPr>
        <w:t>from 1</w:t>
      </w:r>
      <w:r w:rsidR="6C2F57FF" w:rsidRPr="00D7648A">
        <w:rPr>
          <w:rFonts w:ascii="Garamond" w:hAnsi="Garamond"/>
          <w:sz w:val="22"/>
          <w:szCs w:val="22"/>
          <w:vertAlign w:val="superscript"/>
        </w:rPr>
        <w:t>st</w:t>
      </w:r>
      <w:r w:rsidR="6C2F57FF" w:rsidRPr="00D7648A">
        <w:rPr>
          <w:rFonts w:ascii="Garamond" w:hAnsi="Garamond"/>
          <w:sz w:val="22"/>
          <w:szCs w:val="22"/>
        </w:rPr>
        <w:t xml:space="preserve"> July 2018 </w:t>
      </w:r>
      <w:r w:rsidR="7086299E" w:rsidRPr="00D7648A">
        <w:rPr>
          <w:rFonts w:ascii="Garamond" w:hAnsi="Garamond"/>
          <w:sz w:val="22"/>
          <w:szCs w:val="22"/>
        </w:rPr>
        <w:t>all publications of clinical trials must include a data sharing statement</w:t>
      </w:r>
      <w:r w:rsidR="6C2F57FF" w:rsidRPr="00D7648A">
        <w:rPr>
          <w:rFonts w:ascii="Garamond" w:hAnsi="Garamond"/>
          <w:sz w:val="22"/>
          <w:szCs w:val="22"/>
        </w:rPr>
        <w:t>, as the ICJME “believes that there is an ethical obligation to responsibly share data generated by interventional clinical trials because trial participants have put themselves at risk”.</w:t>
      </w:r>
      <w:r w:rsidR="00504DB9" w:rsidRPr="00D7648A">
        <w:rPr>
          <w:rStyle w:val="FootnoteReference"/>
          <w:rFonts w:ascii="Garamond" w:hAnsi="Garamond"/>
          <w:sz w:val="22"/>
          <w:szCs w:val="22"/>
        </w:rPr>
        <w:footnoteReference w:id="23"/>
      </w:r>
      <w:r w:rsidR="6C2F57FF" w:rsidRPr="00D7648A">
        <w:rPr>
          <w:rFonts w:ascii="Garamond" w:hAnsi="Garamond"/>
          <w:sz w:val="22"/>
          <w:szCs w:val="22"/>
        </w:rPr>
        <w:t xml:space="preserve"> However, obstacles to access </w:t>
      </w:r>
      <w:r w:rsidR="5F8599D5" w:rsidRPr="00D7648A">
        <w:rPr>
          <w:rFonts w:ascii="Garamond" w:hAnsi="Garamond"/>
          <w:sz w:val="22"/>
          <w:szCs w:val="22"/>
        </w:rPr>
        <w:t xml:space="preserve">data from published clinical trials </w:t>
      </w:r>
      <w:r w:rsidR="6C2F57FF" w:rsidRPr="00D7648A">
        <w:rPr>
          <w:rFonts w:ascii="Garamond" w:hAnsi="Garamond"/>
          <w:sz w:val="22"/>
          <w:szCs w:val="22"/>
        </w:rPr>
        <w:t>continue</w:t>
      </w:r>
      <w:r w:rsidR="5F8599D5" w:rsidRPr="00D7648A">
        <w:rPr>
          <w:rFonts w:ascii="Garamond" w:hAnsi="Garamond"/>
          <w:sz w:val="22"/>
          <w:szCs w:val="22"/>
        </w:rPr>
        <w:t xml:space="preserve">, and </w:t>
      </w:r>
      <w:r w:rsidR="5EDDBEFB" w:rsidRPr="00D7648A">
        <w:rPr>
          <w:rFonts w:ascii="Garamond" w:hAnsi="Garamond"/>
          <w:sz w:val="22"/>
          <w:szCs w:val="22"/>
        </w:rPr>
        <w:t xml:space="preserve">while authors may declare their intent to make clinical trials data available, </w:t>
      </w:r>
      <w:r w:rsidR="5F8599D5" w:rsidRPr="00D7648A">
        <w:rPr>
          <w:rFonts w:ascii="Garamond" w:hAnsi="Garamond"/>
          <w:sz w:val="22"/>
          <w:szCs w:val="22"/>
        </w:rPr>
        <w:t xml:space="preserve">the </w:t>
      </w:r>
      <w:r w:rsidR="5EDDBEFB" w:rsidRPr="00D7648A">
        <w:rPr>
          <w:rFonts w:ascii="Garamond" w:hAnsi="Garamond"/>
          <w:sz w:val="22"/>
          <w:szCs w:val="22"/>
        </w:rPr>
        <w:t xml:space="preserve">low rate of </w:t>
      </w:r>
      <w:r w:rsidR="5F8599D5" w:rsidRPr="00D7648A">
        <w:rPr>
          <w:rFonts w:ascii="Garamond" w:hAnsi="Garamond"/>
          <w:sz w:val="22"/>
          <w:szCs w:val="22"/>
        </w:rPr>
        <w:t xml:space="preserve">public availability of </w:t>
      </w:r>
      <w:r w:rsidR="5EDDBEFB" w:rsidRPr="00D7648A">
        <w:rPr>
          <w:rFonts w:ascii="Garamond" w:hAnsi="Garamond"/>
          <w:sz w:val="22"/>
          <w:szCs w:val="22"/>
        </w:rPr>
        <w:t xml:space="preserve">that </w:t>
      </w:r>
      <w:r w:rsidR="5F8599D5" w:rsidRPr="00D7648A">
        <w:rPr>
          <w:rFonts w:ascii="Garamond" w:hAnsi="Garamond"/>
          <w:sz w:val="22"/>
          <w:szCs w:val="22"/>
        </w:rPr>
        <w:t xml:space="preserve">declared data is </w:t>
      </w:r>
      <w:r w:rsidR="5EDDBEFB" w:rsidRPr="00D7648A">
        <w:rPr>
          <w:rFonts w:ascii="Garamond" w:hAnsi="Garamond"/>
          <w:sz w:val="22"/>
          <w:szCs w:val="22"/>
        </w:rPr>
        <w:t>concerning.</w:t>
      </w:r>
      <w:r w:rsidR="00A92513" w:rsidRPr="00D7648A">
        <w:rPr>
          <w:rStyle w:val="FootnoteReference"/>
          <w:rFonts w:ascii="Garamond" w:hAnsi="Garamond"/>
          <w:sz w:val="22"/>
          <w:szCs w:val="22"/>
        </w:rPr>
        <w:footnoteReference w:id="24"/>
      </w:r>
      <w:r w:rsidR="5EDDBEFB" w:rsidRPr="00D7648A">
        <w:rPr>
          <w:rStyle w:val="FootnoteReference"/>
          <w:rFonts w:ascii="Garamond" w:hAnsi="Garamond"/>
          <w:sz w:val="22"/>
          <w:szCs w:val="22"/>
        </w:rPr>
        <w:t xml:space="preserve"> </w:t>
      </w:r>
    </w:p>
    <w:p w14:paraId="74CA78E4" w14:textId="77777777" w:rsidR="008743CD" w:rsidRPr="00D7648A" w:rsidRDefault="008743CD" w:rsidP="00FD6C10">
      <w:pPr>
        <w:jc w:val="both"/>
        <w:rPr>
          <w:rFonts w:ascii="Garamond" w:hAnsi="Garamond"/>
          <w:sz w:val="22"/>
          <w:szCs w:val="22"/>
        </w:rPr>
      </w:pPr>
    </w:p>
    <w:p w14:paraId="3FAC6BF6" w14:textId="41D52EB2" w:rsidR="004A68D8" w:rsidRPr="00D7648A" w:rsidRDefault="712D872A" w:rsidP="00FD6C10">
      <w:pPr>
        <w:jc w:val="both"/>
        <w:rPr>
          <w:rFonts w:ascii="Garamond" w:hAnsi="Garamond"/>
          <w:sz w:val="22"/>
          <w:szCs w:val="22"/>
        </w:rPr>
      </w:pPr>
      <w:r w:rsidRPr="00D7648A">
        <w:rPr>
          <w:rFonts w:ascii="Garamond" w:hAnsi="Garamond"/>
          <w:sz w:val="22"/>
          <w:szCs w:val="22"/>
        </w:rPr>
        <w:t xml:space="preserve">Another challenge with </w:t>
      </w:r>
      <w:r w:rsidR="001D67AB" w:rsidRPr="00D7648A">
        <w:rPr>
          <w:rFonts w:ascii="Garamond" w:hAnsi="Garamond"/>
          <w:sz w:val="22"/>
          <w:szCs w:val="22"/>
        </w:rPr>
        <w:t>data sharing is that of ensuring the</w:t>
      </w:r>
      <w:r w:rsidRPr="00D7648A">
        <w:rPr>
          <w:rFonts w:ascii="Garamond" w:hAnsi="Garamond"/>
          <w:sz w:val="22"/>
          <w:szCs w:val="22"/>
        </w:rPr>
        <w:t xml:space="preserve"> privacy and confidentiality</w:t>
      </w:r>
      <w:r w:rsidR="0B26CD11" w:rsidRPr="00D7648A">
        <w:rPr>
          <w:rFonts w:ascii="Garamond" w:hAnsi="Garamond"/>
          <w:sz w:val="22"/>
          <w:szCs w:val="22"/>
        </w:rPr>
        <w:t xml:space="preserve"> </w:t>
      </w:r>
      <w:r w:rsidRPr="00D7648A">
        <w:rPr>
          <w:rFonts w:ascii="Garamond" w:hAnsi="Garamond"/>
          <w:sz w:val="22"/>
          <w:szCs w:val="22"/>
        </w:rPr>
        <w:t>of patient data.</w:t>
      </w:r>
      <w:r w:rsidR="001D67AB" w:rsidRPr="00D7648A">
        <w:rPr>
          <w:rFonts w:ascii="Garamond" w:hAnsi="Garamond"/>
          <w:sz w:val="22"/>
          <w:szCs w:val="22"/>
        </w:rPr>
        <w:t xml:space="preserve"> This challenge may prove particularly acute in the context of UTx given the </w:t>
      </w:r>
      <w:r w:rsidR="5E052B22" w:rsidRPr="00D7648A">
        <w:rPr>
          <w:rFonts w:ascii="Garamond" w:hAnsi="Garamond"/>
          <w:sz w:val="22"/>
          <w:szCs w:val="22"/>
        </w:rPr>
        <w:t>small</w:t>
      </w:r>
      <w:r w:rsidR="001D67AB" w:rsidRPr="00D7648A">
        <w:rPr>
          <w:rFonts w:ascii="Garamond" w:hAnsi="Garamond"/>
          <w:sz w:val="22"/>
          <w:szCs w:val="22"/>
        </w:rPr>
        <w:t xml:space="preserve"> </w:t>
      </w:r>
      <w:r w:rsidR="0F4035F6" w:rsidRPr="00D7648A">
        <w:rPr>
          <w:rFonts w:ascii="Garamond" w:hAnsi="Garamond"/>
          <w:sz w:val="22"/>
          <w:szCs w:val="22"/>
        </w:rPr>
        <w:t xml:space="preserve">numbers of UTx </w:t>
      </w:r>
      <w:r w:rsidR="514C5834" w:rsidRPr="00D7648A">
        <w:rPr>
          <w:rFonts w:ascii="Garamond" w:hAnsi="Garamond"/>
          <w:sz w:val="22"/>
          <w:szCs w:val="22"/>
        </w:rPr>
        <w:t>procedures performed</w:t>
      </w:r>
      <w:r w:rsidR="008F44D6" w:rsidRPr="00D7648A">
        <w:rPr>
          <w:rFonts w:ascii="Garamond" w:hAnsi="Garamond"/>
          <w:sz w:val="22"/>
          <w:szCs w:val="22"/>
        </w:rPr>
        <w:t>.</w:t>
      </w:r>
      <w:r w:rsidR="001D67AB" w:rsidRPr="00D7648A">
        <w:rPr>
          <w:rFonts w:ascii="Garamond" w:hAnsi="Garamond"/>
          <w:sz w:val="22"/>
          <w:szCs w:val="22"/>
        </w:rPr>
        <w:t xml:space="preserve"> </w:t>
      </w:r>
      <w:r w:rsidR="008F44D6" w:rsidRPr="00D7648A">
        <w:rPr>
          <w:rFonts w:ascii="Garamond" w:hAnsi="Garamond"/>
          <w:sz w:val="22"/>
          <w:szCs w:val="22"/>
        </w:rPr>
        <w:t>For</w:t>
      </w:r>
      <w:r w:rsidR="2705032B" w:rsidRPr="00D7648A">
        <w:rPr>
          <w:rFonts w:ascii="Garamond" w:hAnsi="Garamond"/>
          <w:sz w:val="22"/>
          <w:szCs w:val="22"/>
        </w:rPr>
        <w:t xml:space="preserve"> </w:t>
      </w:r>
      <w:r w:rsidR="514C5834" w:rsidRPr="00D7648A">
        <w:rPr>
          <w:rFonts w:ascii="Garamond" w:hAnsi="Garamond"/>
          <w:sz w:val="22"/>
          <w:szCs w:val="22"/>
        </w:rPr>
        <w:t>there is a</w:t>
      </w:r>
      <w:r w:rsidR="2EC277C2" w:rsidRPr="00D7648A">
        <w:rPr>
          <w:rFonts w:ascii="Garamond" w:hAnsi="Garamond"/>
          <w:sz w:val="22"/>
          <w:szCs w:val="22"/>
        </w:rPr>
        <w:t xml:space="preserve"> risk “that the donors and recipients may be easily identifiable, even when data is anonymised.”</w:t>
      </w:r>
      <w:r w:rsidR="0028727A" w:rsidRPr="00D7648A">
        <w:rPr>
          <w:rStyle w:val="FootnoteReference"/>
          <w:rFonts w:ascii="Garamond" w:hAnsi="Garamond"/>
          <w:sz w:val="22"/>
          <w:szCs w:val="22"/>
        </w:rPr>
        <w:footnoteReference w:id="25"/>
      </w:r>
      <w:r w:rsidR="31F74A5F" w:rsidRPr="00D7648A">
        <w:rPr>
          <w:rFonts w:ascii="Garamond" w:hAnsi="Garamond"/>
          <w:sz w:val="22"/>
          <w:szCs w:val="22"/>
        </w:rPr>
        <w:t xml:space="preserve"> </w:t>
      </w:r>
      <w:r w:rsidR="4BDCBCD3" w:rsidRPr="00D7648A">
        <w:rPr>
          <w:rFonts w:ascii="Garamond" w:hAnsi="Garamond"/>
          <w:sz w:val="22"/>
          <w:szCs w:val="22"/>
        </w:rPr>
        <w:t>Data protection</w:t>
      </w:r>
      <w:r w:rsidR="001D67AB" w:rsidRPr="00D7648A">
        <w:rPr>
          <w:rFonts w:ascii="Garamond" w:hAnsi="Garamond"/>
          <w:sz w:val="22"/>
          <w:szCs w:val="22"/>
        </w:rPr>
        <w:t xml:space="preserve"> is heavily regulated, particularly in the </w:t>
      </w:r>
      <w:r w:rsidR="1D7555AD" w:rsidRPr="00D7648A">
        <w:rPr>
          <w:rFonts w:ascii="Garamond" w:hAnsi="Garamond"/>
          <w:sz w:val="22"/>
          <w:szCs w:val="22"/>
        </w:rPr>
        <w:t xml:space="preserve">European Union which has enacted the General Data Protection </w:t>
      </w:r>
      <w:r w:rsidR="2EDD8D0E" w:rsidRPr="00D7648A">
        <w:rPr>
          <w:rFonts w:ascii="Garamond" w:hAnsi="Garamond"/>
          <w:sz w:val="22"/>
          <w:szCs w:val="22"/>
        </w:rPr>
        <w:t>Regulation</w:t>
      </w:r>
      <w:r w:rsidR="2EAEA71A" w:rsidRPr="00D7648A">
        <w:rPr>
          <w:rFonts w:ascii="Garamond" w:hAnsi="Garamond"/>
          <w:sz w:val="22"/>
          <w:szCs w:val="22"/>
        </w:rPr>
        <w:t>.</w:t>
      </w:r>
      <w:r w:rsidR="007F26E8" w:rsidRPr="00D7648A">
        <w:rPr>
          <w:rStyle w:val="FootnoteReference"/>
          <w:rFonts w:ascii="Garamond" w:hAnsi="Garamond"/>
          <w:sz w:val="22"/>
          <w:szCs w:val="22"/>
        </w:rPr>
        <w:footnoteReference w:id="26"/>
      </w:r>
      <w:r w:rsidR="70D95DAF" w:rsidRPr="00D7648A">
        <w:rPr>
          <w:rFonts w:ascii="Garamond" w:hAnsi="Garamond"/>
          <w:sz w:val="22"/>
          <w:szCs w:val="22"/>
        </w:rPr>
        <w:t xml:space="preserve"> Whil</w:t>
      </w:r>
      <w:r w:rsidR="004A68D8" w:rsidRPr="00D7648A">
        <w:rPr>
          <w:rFonts w:ascii="Garamond" w:hAnsi="Garamond"/>
          <w:sz w:val="22"/>
          <w:szCs w:val="22"/>
        </w:rPr>
        <w:t>e</w:t>
      </w:r>
      <w:r w:rsidR="70D95DAF" w:rsidRPr="00D7648A">
        <w:rPr>
          <w:rFonts w:ascii="Garamond" w:hAnsi="Garamond"/>
          <w:sz w:val="22"/>
          <w:szCs w:val="22"/>
        </w:rPr>
        <w:t xml:space="preserve"> academic journals should </w:t>
      </w:r>
      <w:r w:rsidR="3386D5C4" w:rsidRPr="00D7648A">
        <w:rPr>
          <w:rFonts w:ascii="Garamond" w:hAnsi="Garamond"/>
          <w:sz w:val="22"/>
          <w:szCs w:val="22"/>
        </w:rPr>
        <w:t>check pre-publication for any potential</w:t>
      </w:r>
      <w:r w:rsidR="004A68D8" w:rsidRPr="00D7648A">
        <w:rPr>
          <w:rFonts w:ascii="Garamond" w:hAnsi="Garamond"/>
          <w:sz w:val="22"/>
          <w:szCs w:val="22"/>
        </w:rPr>
        <w:t xml:space="preserve"> data</w:t>
      </w:r>
      <w:r w:rsidR="3386D5C4" w:rsidRPr="00D7648A">
        <w:rPr>
          <w:rFonts w:ascii="Garamond" w:hAnsi="Garamond"/>
          <w:sz w:val="22"/>
          <w:szCs w:val="22"/>
        </w:rPr>
        <w:t xml:space="preserve"> breaches, this is a </w:t>
      </w:r>
      <w:r w:rsidR="6A9FFD08" w:rsidRPr="00D7648A">
        <w:rPr>
          <w:rFonts w:ascii="Garamond" w:hAnsi="Garamond"/>
          <w:sz w:val="22"/>
          <w:szCs w:val="22"/>
        </w:rPr>
        <w:t>particular concern where data is shared with a repository. The authors have previously highlighted the challenges of sharing data with a central</w:t>
      </w:r>
      <w:r w:rsidR="7111E028" w:rsidRPr="00D7648A">
        <w:rPr>
          <w:rFonts w:ascii="Garamond" w:hAnsi="Garamond"/>
          <w:sz w:val="22"/>
          <w:szCs w:val="22"/>
        </w:rPr>
        <w:t>ised</w:t>
      </w:r>
      <w:r w:rsidR="6A9FFD08" w:rsidRPr="00D7648A">
        <w:rPr>
          <w:rFonts w:ascii="Garamond" w:hAnsi="Garamond"/>
          <w:sz w:val="22"/>
          <w:szCs w:val="22"/>
        </w:rPr>
        <w:t xml:space="preserve"> UTx repository </w:t>
      </w:r>
      <w:r w:rsidR="7111E028" w:rsidRPr="00D7648A">
        <w:rPr>
          <w:rFonts w:ascii="Garamond" w:hAnsi="Garamond"/>
          <w:sz w:val="22"/>
          <w:szCs w:val="22"/>
        </w:rPr>
        <w:t xml:space="preserve">including the </w:t>
      </w:r>
      <w:r w:rsidR="402D8A79" w:rsidRPr="00D7648A">
        <w:rPr>
          <w:rFonts w:ascii="Garamond" w:hAnsi="Garamond"/>
          <w:sz w:val="22"/>
          <w:szCs w:val="22"/>
        </w:rPr>
        <w:t xml:space="preserve">necessity for participant consent to share data, and the </w:t>
      </w:r>
      <w:r w:rsidR="443F1BA5" w:rsidRPr="00D7648A">
        <w:rPr>
          <w:rFonts w:ascii="Garamond" w:hAnsi="Garamond"/>
          <w:sz w:val="22"/>
          <w:szCs w:val="22"/>
        </w:rPr>
        <w:t xml:space="preserve">restrictions </w:t>
      </w:r>
      <w:r w:rsidR="34785FA4" w:rsidRPr="00D7648A">
        <w:rPr>
          <w:rFonts w:ascii="Garamond" w:hAnsi="Garamond"/>
          <w:sz w:val="22"/>
          <w:szCs w:val="22"/>
        </w:rPr>
        <w:t xml:space="preserve">and protections </w:t>
      </w:r>
      <w:r w:rsidR="443F1BA5" w:rsidRPr="00D7648A">
        <w:rPr>
          <w:rFonts w:ascii="Garamond" w:hAnsi="Garamond"/>
          <w:sz w:val="22"/>
          <w:szCs w:val="22"/>
        </w:rPr>
        <w:t>that the GDPR regulations</w:t>
      </w:r>
      <w:r w:rsidR="3B4A917C" w:rsidRPr="00D7648A">
        <w:rPr>
          <w:rFonts w:ascii="Garamond" w:hAnsi="Garamond"/>
          <w:sz w:val="22"/>
          <w:szCs w:val="22"/>
        </w:rPr>
        <w:t xml:space="preserve"> impose on transferring personal data outside of the European Economic Area (EEA)</w:t>
      </w:r>
      <w:r w:rsidR="34785FA4" w:rsidRPr="00D7648A">
        <w:rPr>
          <w:rFonts w:ascii="Garamond" w:hAnsi="Garamond"/>
          <w:sz w:val="22"/>
          <w:szCs w:val="22"/>
        </w:rPr>
        <w:t>.</w:t>
      </w:r>
      <w:r w:rsidR="007B508C" w:rsidRPr="00D7648A">
        <w:rPr>
          <w:rStyle w:val="FootnoteReference"/>
          <w:rFonts w:ascii="Garamond" w:hAnsi="Garamond"/>
          <w:sz w:val="22"/>
          <w:szCs w:val="22"/>
        </w:rPr>
        <w:footnoteReference w:id="27"/>
      </w:r>
      <w:r w:rsidR="5B82F46F" w:rsidRPr="00D7648A">
        <w:rPr>
          <w:rFonts w:ascii="Garamond" w:hAnsi="Garamond"/>
          <w:sz w:val="22"/>
          <w:szCs w:val="22"/>
        </w:rPr>
        <w:t xml:space="preserve"> </w:t>
      </w:r>
    </w:p>
    <w:p w14:paraId="1B2A3139" w14:textId="3CAF208A" w:rsidR="00850C3E" w:rsidRPr="00D7648A" w:rsidRDefault="00850C3E" w:rsidP="00FD6C10">
      <w:pPr>
        <w:jc w:val="both"/>
        <w:rPr>
          <w:rFonts w:ascii="Garamond" w:hAnsi="Garamond"/>
          <w:sz w:val="22"/>
          <w:szCs w:val="22"/>
        </w:rPr>
      </w:pPr>
    </w:p>
    <w:p w14:paraId="4CE0EFAC" w14:textId="6CAE2212" w:rsidR="00612A2A" w:rsidRPr="00D7648A" w:rsidRDefault="6B6C62F1" w:rsidP="00FD6C10">
      <w:pPr>
        <w:jc w:val="both"/>
        <w:rPr>
          <w:rFonts w:ascii="Garamond" w:hAnsi="Garamond"/>
          <w:sz w:val="22"/>
          <w:szCs w:val="22"/>
        </w:rPr>
      </w:pPr>
      <w:r w:rsidRPr="00D7648A">
        <w:rPr>
          <w:rFonts w:ascii="Garamond" w:hAnsi="Garamond"/>
          <w:sz w:val="22"/>
          <w:szCs w:val="22"/>
        </w:rPr>
        <w:t xml:space="preserve">It is recognised that the legal safeguards </w:t>
      </w:r>
      <w:r w:rsidR="546D1AEA" w:rsidRPr="00D7648A">
        <w:rPr>
          <w:rFonts w:ascii="Garamond" w:hAnsi="Garamond"/>
          <w:sz w:val="22"/>
          <w:szCs w:val="22"/>
        </w:rPr>
        <w:t>for data sharing vary across jurisdictions,</w:t>
      </w:r>
      <w:r w:rsidR="6ED5E02F" w:rsidRPr="00D7648A">
        <w:rPr>
          <w:rFonts w:ascii="Garamond" w:hAnsi="Garamond"/>
          <w:sz w:val="22"/>
          <w:szCs w:val="22"/>
        </w:rPr>
        <w:t xml:space="preserve"> and this can hinder data sharing</w:t>
      </w:r>
      <w:r w:rsidR="30E615A8" w:rsidRPr="00D7648A">
        <w:rPr>
          <w:rFonts w:ascii="Garamond" w:hAnsi="Garamond"/>
          <w:sz w:val="22"/>
          <w:szCs w:val="22"/>
        </w:rPr>
        <w:t xml:space="preserve"> and/or make it difficult </w:t>
      </w:r>
      <w:r w:rsidR="2DAB0990" w:rsidRPr="00D7648A">
        <w:rPr>
          <w:rFonts w:ascii="Garamond" w:hAnsi="Garamond"/>
          <w:sz w:val="22"/>
          <w:szCs w:val="22"/>
        </w:rPr>
        <w:t>to determine on what grounds it is justified to process health-related data.</w:t>
      </w:r>
      <w:r w:rsidR="005455D1" w:rsidRPr="00D7648A">
        <w:rPr>
          <w:rStyle w:val="FootnoteReference"/>
          <w:rFonts w:ascii="Garamond" w:hAnsi="Garamond"/>
          <w:sz w:val="22"/>
          <w:szCs w:val="22"/>
        </w:rPr>
        <w:footnoteReference w:id="28"/>
      </w:r>
      <w:r w:rsidR="5BADAE54" w:rsidRPr="00D7648A">
        <w:rPr>
          <w:rFonts w:ascii="Garamond" w:hAnsi="Garamond"/>
          <w:sz w:val="22"/>
          <w:szCs w:val="22"/>
        </w:rPr>
        <w:t xml:space="preserve"> As </w:t>
      </w:r>
      <w:proofErr w:type="spellStart"/>
      <w:r w:rsidR="5BADAE54" w:rsidRPr="00D7648A">
        <w:rPr>
          <w:rFonts w:ascii="Garamond" w:hAnsi="Garamond"/>
          <w:sz w:val="22"/>
          <w:szCs w:val="22"/>
        </w:rPr>
        <w:t>Scheibner</w:t>
      </w:r>
      <w:proofErr w:type="spellEnd"/>
      <w:r w:rsidR="5BADAE54" w:rsidRPr="00D7648A">
        <w:rPr>
          <w:rFonts w:ascii="Garamond" w:hAnsi="Garamond"/>
          <w:sz w:val="22"/>
          <w:szCs w:val="22"/>
        </w:rPr>
        <w:t xml:space="preserve"> et al. note, ‘</w:t>
      </w:r>
      <w:r w:rsidR="5BADAE54" w:rsidRPr="00D7648A">
        <w:rPr>
          <w:rFonts w:ascii="Garamond" w:hAnsi="Garamond"/>
          <w:sz w:val="22"/>
          <w:szCs w:val="22"/>
          <w:shd w:val="clear" w:color="auto" w:fill="FFFFFF"/>
        </w:rPr>
        <w:t>The Clinical Trials Regulation and the European Union General Data Protection Regulation (GDPR) require different standards of consent for processing health-related data, depending on whether those data are collected as part of a clinical trial protocol or not. The effect of this difference is that data collected for one purpose, such as a trial protocol, may not be made available for a secondary research purpose if appropriate consent has not been obtained.’</w:t>
      </w:r>
      <w:r w:rsidR="006370EA" w:rsidRPr="00D7648A">
        <w:rPr>
          <w:rStyle w:val="FootnoteReference"/>
          <w:rFonts w:ascii="Garamond" w:hAnsi="Garamond"/>
          <w:sz w:val="22"/>
          <w:szCs w:val="22"/>
          <w:shd w:val="clear" w:color="auto" w:fill="FFFFFF"/>
        </w:rPr>
        <w:footnoteReference w:id="29"/>
      </w:r>
      <w:r w:rsidR="17C3D56F" w:rsidRPr="00D7648A">
        <w:rPr>
          <w:rFonts w:ascii="Garamond" w:hAnsi="Garamond"/>
          <w:sz w:val="22"/>
          <w:szCs w:val="22"/>
          <w:shd w:val="clear" w:color="auto" w:fill="FFFFFF"/>
        </w:rPr>
        <w:t xml:space="preserve"> The jurisdictional c</w:t>
      </w:r>
      <w:r w:rsidR="5E6449BD" w:rsidRPr="00D7648A">
        <w:rPr>
          <w:rFonts w:ascii="Garamond" w:hAnsi="Garamond"/>
          <w:sz w:val="22"/>
          <w:szCs w:val="22"/>
          <w:shd w:val="clear" w:color="auto" w:fill="FFFFFF"/>
        </w:rPr>
        <w:t xml:space="preserve">hallenges must not be underestimated; </w:t>
      </w:r>
      <w:r w:rsidR="1577A1B5" w:rsidRPr="00D7648A">
        <w:rPr>
          <w:rFonts w:ascii="Garamond" w:hAnsi="Garamond"/>
          <w:sz w:val="22"/>
          <w:szCs w:val="22"/>
          <w:shd w:val="clear" w:color="auto" w:fill="FFFFFF"/>
        </w:rPr>
        <w:t>there are a small number of clinicians working in UTx</w:t>
      </w:r>
      <w:r w:rsidR="6BD5D28F" w:rsidRPr="00D7648A">
        <w:rPr>
          <w:rFonts w:ascii="Garamond" w:hAnsi="Garamond"/>
          <w:sz w:val="22"/>
          <w:szCs w:val="22"/>
          <w:shd w:val="clear" w:color="auto" w:fill="FFFFFF"/>
        </w:rPr>
        <w:t xml:space="preserve"> worldwide</w:t>
      </w:r>
      <w:r w:rsidR="6AC85E0B" w:rsidRPr="00D7648A">
        <w:rPr>
          <w:rFonts w:ascii="Garamond" w:hAnsi="Garamond"/>
          <w:sz w:val="22"/>
          <w:szCs w:val="22"/>
          <w:shd w:val="clear" w:color="auto" w:fill="FFFFFF"/>
        </w:rPr>
        <w:t>,</w:t>
      </w:r>
      <w:r w:rsidR="6BD5D28F" w:rsidRPr="00D7648A">
        <w:rPr>
          <w:rFonts w:ascii="Garamond" w:hAnsi="Garamond"/>
          <w:sz w:val="22"/>
          <w:szCs w:val="22"/>
          <w:shd w:val="clear" w:color="auto" w:fill="FFFFFF"/>
        </w:rPr>
        <w:t xml:space="preserve"> as such</w:t>
      </w:r>
      <w:r w:rsidR="6AC85E0B" w:rsidRPr="00D7648A">
        <w:rPr>
          <w:rFonts w:ascii="Garamond" w:hAnsi="Garamond"/>
          <w:sz w:val="22"/>
          <w:szCs w:val="22"/>
          <w:shd w:val="clear" w:color="auto" w:fill="FFFFFF"/>
        </w:rPr>
        <w:t xml:space="preserve"> sharing data is vital to encourage </w:t>
      </w:r>
      <w:r w:rsidR="6BD5D28F" w:rsidRPr="00D7648A">
        <w:rPr>
          <w:rFonts w:ascii="Garamond" w:hAnsi="Garamond"/>
          <w:sz w:val="22"/>
          <w:szCs w:val="22"/>
          <w:shd w:val="clear" w:color="auto" w:fill="FFFFFF"/>
        </w:rPr>
        <w:t xml:space="preserve">the </w:t>
      </w:r>
      <w:r w:rsidR="1D438980" w:rsidRPr="00D7648A">
        <w:rPr>
          <w:rFonts w:ascii="Garamond" w:hAnsi="Garamond"/>
          <w:sz w:val="22"/>
          <w:szCs w:val="22"/>
          <w:shd w:val="clear" w:color="auto" w:fill="FFFFFF"/>
        </w:rPr>
        <w:t xml:space="preserve">implementation </w:t>
      </w:r>
      <w:r w:rsidR="6AC85E0B" w:rsidRPr="00D7648A">
        <w:rPr>
          <w:rFonts w:ascii="Garamond" w:hAnsi="Garamond"/>
          <w:sz w:val="22"/>
          <w:szCs w:val="22"/>
          <w:shd w:val="clear" w:color="auto" w:fill="FFFFFF"/>
        </w:rPr>
        <w:t xml:space="preserve">of best practices which benefits </w:t>
      </w:r>
      <w:r w:rsidR="1D438980" w:rsidRPr="00D7648A">
        <w:rPr>
          <w:rFonts w:ascii="Garamond" w:hAnsi="Garamond"/>
          <w:sz w:val="22"/>
          <w:szCs w:val="22"/>
          <w:shd w:val="clear" w:color="auto" w:fill="FFFFFF"/>
        </w:rPr>
        <w:t>participants and clinicians</w:t>
      </w:r>
      <w:r w:rsidR="004A68D8" w:rsidRPr="00D7648A">
        <w:rPr>
          <w:rFonts w:ascii="Garamond" w:hAnsi="Garamond"/>
          <w:sz w:val="22"/>
          <w:szCs w:val="22"/>
          <w:shd w:val="clear" w:color="auto" w:fill="FFFFFF"/>
        </w:rPr>
        <w:t>.</w:t>
      </w:r>
      <w:r w:rsidR="1D438980" w:rsidRPr="00D7648A">
        <w:rPr>
          <w:rFonts w:ascii="Garamond" w:hAnsi="Garamond"/>
          <w:sz w:val="22"/>
          <w:szCs w:val="22"/>
          <w:shd w:val="clear" w:color="auto" w:fill="FFFFFF"/>
        </w:rPr>
        <w:t xml:space="preserve"> </w:t>
      </w:r>
      <w:r w:rsidR="004A68D8" w:rsidRPr="00D7648A">
        <w:rPr>
          <w:rFonts w:ascii="Garamond" w:hAnsi="Garamond"/>
          <w:sz w:val="22"/>
          <w:szCs w:val="22"/>
          <w:shd w:val="clear" w:color="auto" w:fill="FFFFFF"/>
        </w:rPr>
        <w:t>H</w:t>
      </w:r>
      <w:r w:rsidR="1D438980" w:rsidRPr="00D7648A">
        <w:rPr>
          <w:rFonts w:ascii="Garamond" w:hAnsi="Garamond"/>
          <w:sz w:val="22"/>
          <w:szCs w:val="22"/>
          <w:shd w:val="clear" w:color="auto" w:fill="FFFFFF"/>
        </w:rPr>
        <w:t>owever</w:t>
      </w:r>
      <w:r w:rsidR="004A68D8" w:rsidRPr="00D7648A">
        <w:rPr>
          <w:rFonts w:ascii="Garamond" w:hAnsi="Garamond"/>
          <w:sz w:val="22"/>
          <w:szCs w:val="22"/>
          <w:shd w:val="clear" w:color="auto" w:fill="FFFFFF"/>
        </w:rPr>
        <w:t>,</w:t>
      </w:r>
      <w:r w:rsidR="1D438980" w:rsidRPr="00D7648A">
        <w:rPr>
          <w:rFonts w:ascii="Garamond" w:hAnsi="Garamond"/>
          <w:sz w:val="22"/>
          <w:szCs w:val="22"/>
          <w:shd w:val="clear" w:color="auto" w:fill="FFFFFF"/>
        </w:rPr>
        <w:t xml:space="preserve"> this may be hindered </w:t>
      </w:r>
      <w:r w:rsidR="210DF43D" w:rsidRPr="00D7648A">
        <w:rPr>
          <w:rFonts w:ascii="Garamond" w:hAnsi="Garamond"/>
          <w:sz w:val="22"/>
          <w:szCs w:val="22"/>
          <w:shd w:val="clear" w:color="auto" w:fill="FFFFFF"/>
        </w:rPr>
        <w:t>when jurisdictional incompatibilities arise.</w:t>
      </w:r>
    </w:p>
    <w:p w14:paraId="24AB64CF" w14:textId="5E471A16" w:rsidR="001249DE" w:rsidRPr="00D7648A" w:rsidRDefault="001249DE" w:rsidP="00FD6C10">
      <w:pPr>
        <w:jc w:val="both"/>
        <w:rPr>
          <w:rFonts w:ascii="Garamond" w:hAnsi="Garamond"/>
          <w:b/>
          <w:bCs/>
          <w:sz w:val="22"/>
          <w:szCs w:val="22"/>
        </w:rPr>
      </w:pPr>
    </w:p>
    <w:p w14:paraId="68C0A35E" w14:textId="77777777" w:rsidR="001249DE" w:rsidRPr="00D7648A" w:rsidRDefault="001249DE" w:rsidP="00FD6C10">
      <w:pPr>
        <w:jc w:val="both"/>
        <w:rPr>
          <w:rFonts w:ascii="Garamond" w:hAnsi="Garamond"/>
          <w:b/>
          <w:bCs/>
          <w:sz w:val="22"/>
          <w:szCs w:val="22"/>
        </w:rPr>
      </w:pPr>
    </w:p>
    <w:p w14:paraId="1FEEFAB9" w14:textId="15C92EC2" w:rsidR="005648FE" w:rsidRPr="00D7648A" w:rsidRDefault="005648FE" w:rsidP="00FD6C10">
      <w:pPr>
        <w:pStyle w:val="ListParagraph"/>
        <w:numPr>
          <w:ilvl w:val="0"/>
          <w:numId w:val="5"/>
        </w:numPr>
        <w:jc w:val="both"/>
        <w:rPr>
          <w:rFonts w:ascii="Garamond" w:hAnsi="Garamond"/>
          <w:b/>
          <w:bCs/>
          <w:sz w:val="22"/>
          <w:szCs w:val="22"/>
        </w:rPr>
      </w:pPr>
      <w:r w:rsidRPr="00D7648A">
        <w:rPr>
          <w:rFonts w:ascii="Garamond" w:hAnsi="Garamond"/>
          <w:b/>
          <w:bCs/>
          <w:sz w:val="22"/>
          <w:szCs w:val="22"/>
        </w:rPr>
        <w:t>Data sharing: How</w:t>
      </w:r>
      <w:r w:rsidR="008764A6" w:rsidRPr="00D7648A">
        <w:rPr>
          <w:rFonts w:ascii="Garamond" w:hAnsi="Garamond"/>
          <w:b/>
          <w:bCs/>
          <w:sz w:val="22"/>
          <w:szCs w:val="22"/>
        </w:rPr>
        <w:t xml:space="preserve"> is</w:t>
      </w:r>
      <w:r w:rsidRPr="00D7648A">
        <w:rPr>
          <w:rFonts w:ascii="Garamond" w:hAnsi="Garamond"/>
          <w:b/>
          <w:bCs/>
          <w:sz w:val="22"/>
          <w:szCs w:val="22"/>
        </w:rPr>
        <w:t xml:space="preserve"> data shared</w:t>
      </w:r>
      <w:r w:rsidR="008764A6" w:rsidRPr="00D7648A">
        <w:rPr>
          <w:rFonts w:ascii="Garamond" w:hAnsi="Garamond"/>
          <w:b/>
          <w:bCs/>
          <w:sz w:val="22"/>
          <w:szCs w:val="22"/>
        </w:rPr>
        <w:t xml:space="preserve"> in the context of UTx</w:t>
      </w:r>
      <w:r w:rsidR="00DB62B8" w:rsidRPr="00D7648A">
        <w:rPr>
          <w:rFonts w:ascii="Garamond" w:hAnsi="Garamond"/>
          <w:b/>
          <w:bCs/>
          <w:sz w:val="22"/>
          <w:szCs w:val="22"/>
        </w:rPr>
        <w:t xml:space="preserve"> Research</w:t>
      </w:r>
      <w:r w:rsidR="008764A6" w:rsidRPr="00D7648A">
        <w:rPr>
          <w:rFonts w:ascii="Garamond" w:hAnsi="Garamond"/>
          <w:b/>
          <w:bCs/>
          <w:sz w:val="22"/>
          <w:szCs w:val="22"/>
        </w:rPr>
        <w:t xml:space="preserve">? </w:t>
      </w:r>
    </w:p>
    <w:p w14:paraId="2FE89311" w14:textId="2D0151F6" w:rsidR="005648FE" w:rsidRPr="00D7648A" w:rsidRDefault="005648FE" w:rsidP="00FD6C10">
      <w:pPr>
        <w:jc w:val="both"/>
        <w:rPr>
          <w:rFonts w:ascii="Garamond" w:hAnsi="Garamond"/>
          <w:sz w:val="22"/>
          <w:szCs w:val="22"/>
        </w:rPr>
      </w:pPr>
    </w:p>
    <w:p w14:paraId="2B528C35" w14:textId="7FF1B7D6" w:rsidR="0067754B" w:rsidRPr="00D7648A" w:rsidRDefault="0067754B" w:rsidP="4E2276DB">
      <w:pPr>
        <w:pStyle w:val="paragraph"/>
        <w:spacing w:before="0" w:beforeAutospacing="0" w:after="0" w:afterAutospacing="0"/>
        <w:jc w:val="both"/>
        <w:textAlignment w:val="baseline"/>
        <w:rPr>
          <w:rStyle w:val="eop"/>
          <w:rFonts w:ascii="Garamond" w:hAnsi="Garamond" w:cs="Segoe UI"/>
          <w:sz w:val="22"/>
          <w:szCs w:val="22"/>
        </w:rPr>
      </w:pPr>
      <w:r w:rsidRPr="00D7648A">
        <w:rPr>
          <w:rFonts w:ascii="Garamond" w:hAnsi="Garamond" w:cs="Segoe UI"/>
          <w:sz w:val="22"/>
          <w:szCs w:val="22"/>
        </w:rPr>
        <w:t>Data sharing</w:t>
      </w:r>
      <w:r w:rsidRPr="00D7648A">
        <w:rPr>
          <w:rStyle w:val="normaltextrun"/>
          <w:rFonts w:ascii="Garamond" w:hAnsi="Garamond" w:cs="Segoe UI"/>
          <w:sz w:val="22"/>
          <w:szCs w:val="22"/>
        </w:rPr>
        <w:t xml:space="preserve"> is an important aspect of innovative medical research and clinical practice, and as highlighted above</w:t>
      </w:r>
      <w:r w:rsidR="008F44D6" w:rsidRPr="00D7648A">
        <w:rPr>
          <w:rStyle w:val="normaltextrun"/>
          <w:rFonts w:ascii="Garamond" w:hAnsi="Garamond" w:cs="Segoe UI"/>
          <w:sz w:val="22"/>
          <w:szCs w:val="22"/>
        </w:rPr>
        <w:t xml:space="preserve"> is </w:t>
      </w:r>
      <w:r w:rsidRPr="00D7648A">
        <w:rPr>
          <w:rStyle w:val="normaltextrun"/>
          <w:rFonts w:ascii="Garamond" w:hAnsi="Garamond" w:cs="Segoe UI"/>
          <w:sz w:val="22"/>
          <w:szCs w:val="22"/>
        </w:rPr>
        <w:t>subject to</w:t>
      </w:r>
      <w:r w:rsidR="008F44D6" w:rsidRPr="00D7648A">
        <w:rPr>
          <w:rStyle w:val="normaltextrun"/>
          <w:rFonts w:ascii="Garamond" w:hAnsi="Garamond" w:cs="Segoe UI"/>
          <w:sz w:val="22"/>
          <w:szCs w:val="22"/>
        </w:rPr>
        <w:t xml:space="preserve"> significant</w:t>
      </w:r>
      <w:r w:rsidRPr="00D7648A">
        <w:rPr>
          <w:rStyle w:val="normaltextrun"/>
          <w:rFonts w:ascii="Garamond" w:hAnsi="Garamond" w:cs="Segoe UI"/>
          <w:sz w:val="22"/>
          <w:szCs w:val="22"/>
        </w:rPr>
        <w:t xml:space="preserve"> regulatory control. However,</w:t>
      </w:r>
      <w:r w:rsidR="008F44D6" w:rsidRPr="00D7648A">
        <w:rPr>
          <w:rStyle w:val="normaltextrun"/>
          <w:rFonts w:ascii="Garamond" w:hAnsi="Garamond" w:cs="Segoe UI"/>
          <w:sz w:val="22"/>
          <w:szCs w:val="22"/>
        </w:rPr>
        <w:t xml:space="preserve"> while it is easy to focus on formal mechanisms for data sharing</w:t>
      </w:r>
      <w:r w:rsidRPr="00D7648A">
        <w:rPr>
          <w:rStyle w:val="normaltextrun"/>
          <w:rFonts w:ascii="Garamond" w:hAnsi="Garamond" w:cs="Segoe UI"/>
          <w:sz w:val="22"/>
          <w:szCs w:val="22"/>
        </w:rPr>
        <w:t xml:space="preserve"> not all data is shared in </w:t>
      </w:r>
      <w:r w:rsidR="008F44D6" w:rsidRPr="00D7648A">
        <w:rPr>
          <w:rStyle w:val="normaltextrun"/>
          <w:rFonts w:ascii="Garamond" w:hAnsi="Garamond" w:cs="Segoe UI"/>
          <w:sz w:val="22"/>
          <w:szCs w:val="22"/>
        </w:rPr>
        <w:t>this manner.</w:t>
      </w:r>
      <w:r w:rsidRPr="00D7648A">
        <w:rPr>
          <w:rStyle w:val="normaltextrun"/>
          <w:rFonts w:ascii="Garamond" w:hAnsi="Garamond" w:cs="Segoe UI"/>
          <w:sz w:val="22"/>
          <w:szCs w:val="22"/>
        </w:rPr>
        <w:t xml:space="preserve"> Instead, data sharing may be categorised as ‘formal’ and ‘informal</w:t>
      </w:r>
      <w:r w:rsidR="4A24CA83" w:rsidRPr="00D7648A">
        <w:rPr>
          <w:rStyle w:val="normaltextrun"/>
          <w:rFonts w:ascii="Garamond" w:hAnsi="Garamond" w:cs="Segoe UI"/>
          <w:sz w:val="22"/>
          <w:szCs w:val="22"/>
        </w:rPr>
        <w:t>,’</w:t>
      </w:r>
      <w:r w:rsidRPr="00D7648A">
        <w:rPr>
          <w:rStyle w:val="normaltextrun"/>
          <w:rFonts w:ascii="Garamond" w:hAnsi="Garamond" w:cs="Segoe UI"/>
          <w:sz w:val="22"/>
          <w:szCs w:val="22"/>
        </w:rPr>
        <w:t xml:space="preserve"> ‘coordinated’ and ‘’uncoordinated</w:t>
      </w:r>
      <w:r w:rsidR="799432F1" w:rsidRPr="00D7648A">
        <w:rPr>
          <w:rStyle w:val="normaltextrun"/>
          <w:rFonts w:ascii="Garamond" w:hAnsi="Garamond" w:cs="Segoe UI"/>
          <w:sz w:val="22"/>
          <w:szCs w:val="22"/>
        </w:rPr>
        <w:t>.’</w:t>
      </w:r>
      <w:r w:rsidRPr="00D7648A">
        <w:rPr>
          <w:rStyle w:val="normaltextrun"/>
          <w:rFonts w:ascii="Garamond" w:hAnsi="Garamond" w:cs="Segoe UI"/>
          <w:sz w:val="22"/>
          <w:szCs w:val="22"/>
        </w:rPr>
        <w:t xml:space="preserve"> Formal coordinated communications include publications in scientific journals, presentations at conferences, reports from registries, newsletters and websites, and inter-team training. Informal uncoordinated data sharing can occur in conversations between clinicians and interested parties, for example, conversations at conferences and/or during training sessions, email communication, and through the media. This includes information sharing between prospective and actual recipients, donors, and other interested people</w:t>
      </w:r>
      <w:r w:rsidR="00420A5B" w:rsidRPr="00D7648A">
        <w:rPr>
          <w:rStyle w:val="normaltextrun"/>
          <w:rFonts w:ascii="Garamond" w:hAnsi="Garamond" w:cs="Segoe UI"/>
          <w:sz w:val="22"/>
          <w:szCs w:val="22"/>
        </w:rPr>
        <w:t>. I</w:t>
      </w:r>
      <w:r w:rsidRPr="00D7648A">
        <w:rPr>
          <w:rStyle w:val="normaltextrun"/>
          <w:rFonts w:ascii="Garamond" w:hAnsi="Garamond" w:cs="Segoe UI"/>
          <w:sz w:val="22"/>
          <w:szCs w:val="22"/>
        </w:rPr>
        <w:t xml:space="preserve">nformal coordinated data sharing may also occur, </w:t>
      </w:r>
      <w:r w:rsidR="00684478" w:rsidRPr="00D7648A">
        <w:rPr>
          <w:rStyle w:val="normaltextrun"/>
          <w:rFonts w:ascii="Garamond" w:hAnsi="Garamond" w:cs="Segoe UI"/>
          <w:sz w:val="22"/>
          <w:szCs w:val="22"/>
        </w:rPr>
        <w:t xml:space="preserve">such as </w:t>
      </w:r>
      <w:r w:rsidRPr="00D7648A">
        <w:rPr>
          <w:rStyle w:val="normaltextrun"/>
          <w:rFonts w:ascii="Garamond" w:hAnsi="Garamond" w:cs="Segoe UI"/>
          <w:sz w:val="22"/>
          <w:szCs w:val="22"/>
        </w:rPr>
        <w:t>when clinicians</w:t>
      </w:r>
      <w:r w:rsidR="00684478" w:rsidRPr="00D7648A">
        <w:rPr>
          <w:rStyle w:val="normaltextrun"/>
          <w:rFonts w:ascii="Garamond" w:hAnsi="Garamond" w:cs="Segoe UI"/>
          <w:sz w:val="22"/>
          <w:szCs w:val="22"/>
        </w:rPr>
        <w:t xml:space="preserve"> arrange to</w:t>
      </w:r>
      <w:r w:rsidRPr="00D7648A">
        <w:rPr>
          <w:rStyle w:val="normaltextrun"/>
          <w:rFonts w:ascii="Garamond" w:hAnsi="Garamond" w:cs="Segoe UI"/>
          <w:sz w:val="22"/>
          <w:szCs w:val="22"/>
        </w:rPr>
        <w:t xml:space="preserve"> meet </w:t>
      </w:r>
      <w:r w:rsidR="00684478" w:rsidRPr="00D7648A">
        <w:rPr>
          <w:rStyle w:val="normaltextrun"/>
          <w:rFonts w:ascii="Garamond" w:hAnsi="Garamond" w:cs="Segoe UI"/>
          <w:sz w:val="22"/>
          <w:szCs w:val="22"/>
        </w:rPr>
        <w:t>on an</w:t>
      </w:r>
      <w:r w:rsidRPr="00D7648A">
        <w:rPr>
          <w:rStyle w:val="normaltextrun"/>
          <w:rFonts w:ascii="Garamond" w:hAnsi="Garamond" w:cs="Segoe UI"/>
          <w:sz w:val="22"/>
          <w:szCs w:val="22"/>
        </w:rPr>
        <w:t xml:space="preserve"> informal basis to discuss cases and outcomes.</w:t>
      </w:r>
      <w:r w:rsidR="009B1BD2" w:rsidRPr="00D7648A">
        <w:rPr>
          <w:rStyle w:val="FootnoteReference"/>
          <w:rFonts w:ascii="Garamond" w:hAnsi="Garamond" w:cs="Segoe UI"/>
          <w:sz w:val="22"/>
          <w:szCs w:val="22"/>
        </w:rPr>
        <w:footnoteReference w:id="30"/>
      </w:r>
      <w:r w:rsidRPr="00D7648A">
        <w:rPr>
          <w:rStyle w:val="eop"/>
          <w:rFonts w:ascii="Garamond" w:hAnsi="Garamond" w:cs="Segoe UI"/>
          <w:sz w:val="22"/>
          <w:szCs w:val="22"/>
        </w:rPr>
        <w:t> </w:t>
      </w:r>
    </w:p>
    <w:p w14:paraId="2E1E278B" w14:textId="7D7CE1EB" w:rsidR="0067754B" w:rsidRPr="00D7648A" w:rsidRDefault="0067754B" w:rsidP="00FD6C10">
      <w:pPr>
        <w:jc w:val="both"/>
        <w:rPr>
          <w:rFonts w:ascii="Garamond" w:hAnsi="Garamond"/>
          <w:sz w:val="22"/>
          <w:szCs w:val="22"/>
        </w:rPr>
      </w:pPr>
    </w:p>
    <w:p w14:paraId="5A405344" w14:textId="31124EED" w:rsidR="00DB62B8" w:rsidRPr="00D7648A" w:rsidRDefault="78845984" w:rsidP="6E17E365">
      <w:pPr>
        <w:pStyle w:val="paragraph"/>
        <w:spacing w:before="0" w:beforeAutospacing="0" w:after="0" w:afterAutospacing="0"/>
        <w:jc w:val="both"/>
        <w:textAlignment w:val="baseline"/>
        <w:rPr>
          <w:rStyle w:val="normaltextrun"/>
          <w:rFonts w:ascii="Garamond" w:hAnsi="Garamond" w:cs="Segoe UI"/>
          <w:sz w:val="22"/>
          <w:szCs w:val="22"/>
        </w:rPr>
      </w:pPr>
      <w:r w:rsidRPr="00D7648A">
        <w:rPr>
          <w:rStyle w:val="eop"/>
          <w:rFonts w:ascii="Garamond" w:hAnsi="Garamond" w:cs="Segoe UI"/>
          <w:sz w:val="22"/>
          <w:szCs w:val="22"/>
        </w:rPr>
        <w:t xml:space="preserve">In the context of UTx, numerous examples of formal and coordinated, informal </w:t>
      </w:r>
      <w:r w:rsidR="00235AE2">
        <w:rPr>
          <w:rStyle w:val="eop"/>
          <w:rFonts w:ascii="Garamond" w:hAnsi="Garamond" w:cs="Segoe UI"/>
          <w:sz w:val="22"/>
          <w:szCs w:val="22"/>
        </w:rPr>
        <w:t xml:space="preserve">and </w:t>
      </w:r>
      <w:r w:rsidRPr="00D7648A">
        <w:rPr>
          <w:rStyle w:val="eop"/>
          <w:rFonts w:ascii="Garamond" w:hAnsi="Garamond" w:cs="Segoe UI"/>
          <w:sz w:val="22"/>
          <w:szCs w:val="22"/>
        </w:rPr>
        <w:t>coordinated</w:t>
      </w:r>
      <w:r w:rsidR="00235AE2">
        <w:rPr>
          <w:rStyle w:val="eop"/>
          <w:rFonts w:ascii="Garamond" w:hAnsi="Garamond" w:cs="Segoe UI"/>
          <w:sz w:val="22"/>
          <w:szCs w:val="22"/>
        </w:rPr>
        <w:t>,</w:t>
      </w:r>
      <w:r w:rsidRPr="00D7648A">
        <w:rPr>
          <w:rStyle w:val="eop"/>
          <w:rFonts w:ascii="Garamond" w:hAnsi="Garamond" w:cs="Segoe UI"/>
          <w:sz w:val="22"/>
          <w:szCs w:val="22"/>
        </w:rPr>
        <w:t xml:space="preserve"> and informal and uncoordinated data sharing can be identified</w:t>
      </w:r>
      <w:r w:rsidR="6FE46B34" w:rsidRPr="00D7648A">
        <w:rPr>
          <w:rStyle w:val="eop"/>
          <w:rFonts w:ascii="Garamond" w:hAnsi="Garamond" w:cs="Segoe UI"/>
          <w:sz w:val="22"/>
          <w:szCs w:val="22"/>
        </w:rPr>
        <w:t xml:space="preserve"> (or expected) among researchers</w:t>
      </w:r>
      <w:r w:rsidRPr="00D7648A">
        <w:rPr>
          <w:rStyle w:val="eop"/>
          <w:rFonts w:ascii="Garamond" w:hAnsi="Garamond" w:cs="Segoe UI"/>
          <w:sz w:val="22"/>
          <w:szCs w:val="22"/>
        </w:rPr>
        <w:t>. Formal and co-ordinated data sharing can</w:t>
      </w:r>
      <w:r w:rsidR="12CE3317" w:rsidRPr="00D7648A">
        <w:rPr>
          <w:rStyle w:val="eop"/>
          <w:rFonts w:ascii="Garamond" w:hAnsi="Garamond" w:cs="Segoe UI"/>
          <w:sz w:val="22"/>
          <w:szCs w:val="22"/>
        </w:rPr>
        <w:t>, for example,</w:t>
      </w:r>
      <w:r w:rsidRPr="00D7648A">
        <w:rPr>
          <w:rStyle w:val="eop"/>
          <w:rFonts w:ascii="Garamond" w:hAnsi="Garamond" w:cs="Segoe UI"/>
          <w:sz w:val="22"/>
          <w:szCs w:val="22"/>
        </w:rPr>
        <w:t xml:space="preserve"> be seen in the wealth of publications focussed on UTx trial outcomes since the early 2000’s; through teams’ presentation of their data</w:t>
      </w:r>
      <w:r w:rsidR="7F31821F" w:rsidRPr="00D7648A">
        <w:rPr>
          <w:rStyle w:val="eop"/>
          <w:rFonts w:ascii="Garamond" w:hAnsi="Garamond" w:cs="Segoe UI"/>
          <w:sz w:val="22"/>
          <w:szCs w:val="22"/>
        </w:rPr>
        <w:t xml:space="preserve"> and case studies</w:t>
      </w:r>
      <w:r w:rsidRPr="00D7648A">
        <w:rPr>
          <w:rStyle w:val="eop"/>
          <w:rFonts w:ascii="Garamond" w:hAnsi="Garamond" w:cs="Segoe UI"/>
          <w:sz w:val="22"/>
          <w:szCs w:val="22"/>
        </w:rPr>
        <w:t xml:space="preserve"> at conferences such as that of the International Society of Uterus Transplantation (ISUTx), The British Transplantation Society (BTS), The European Society of Transplantation (ESOT), The Transplantation Society (TTS) etc;</w:t>
      </w:r>
      <w:r w:rsidR="4A2525BD" w:rsidRPr="00D7648A">
        <w:rPr>
          <w:rStyle w:val="eop"/>
          <w:rFonts w:ascii="Garamond" w:hAnsi="Garamond" w:cs="Segoe UI"/>
          <w:sz w:val="22"/>
          <w:szCs w:val="22"/>
        </w:rPr>
        <w:t xml:space="preserve"> </w:t>
      </w:r>
      <w:proofErr w:type="spellStart"/>
      <w:r w:rsidR="4A2525BD" w:rsidRPr="00D7648A">
        <w:rPr>
          <w:rStyle w:val="eop"/>
          <w:rFonts w:ascii="Garamond" w:hAnsi="Garamond" w:cs="Segoe UI"/>
          <w:sz w:val="22"/>
          <w:szCs w:val="22"/>
        </w:rPr>
        <w:t>ISUTx’s</w:t>
      </w:r>
      <w:proofErr w:type="spellEnd"/>
      <w:r w:rsidRPr="00D7648A">
        <w:rPr>
          <w:rStyle w:val="eop"/>
          <w:rFonts w:ascii="Garamond" w:hAnsi="Garamond" w:cs="Segoe UI"/>
          <w:sz w:val="22"/>
          <w:szCs w:val="22"/>
        </w:rPr>
        <w:t xml:space="preserve"> creation</w:t>
      </w:r>
      <w:r w:rsidR="4A2525BD" w:rsidRPr="00D7648A">
        <w:rPr>
          <w:rStyle w:val="eop"/>
          <w:rFonts w:ascii="Garamond" w:hAnsi="Garamond" w:cs="Segoe UI"/>
          <w:sz w:val="22"/>
          <w:szCs w:val="22"/>
        </w:rPr>
        <w:t xml:space="preserve"> and maintenance</w:t>
      </w:r>
      <w:r w:rsidRPr="00D7648A">
        <w:rPr>
          <w:rStyle w:val="eop"/>
          <w:rFonts w:ascii="Garamond" w:hAnsi="Garamond" w:cs="Segoe UI"/>
          <w:sz w:val="22"/>
          <w:szCs w:val="22"/>
        </w:rPr>
        <w:t xml:space="preserve"> of an International Registry of UTx cases and outcomes; a centralised website for the ISUTx (now hosted by TTS)</w:t>
      </w:r>
      <w:r w:rsidR="0067754B" w:rsidRPr="00D7648A">
        <w:rPr>
          <w:rStyle w:val="FootnoteReference"/>
          <w:rFonts w:ascii="Garamond" w:eastAsiaTheme="majorEastAsia" w:hAnsi="Garamond" w:cs="Segoe UI"/>
          <w:sz w:val="22"/>
          <w:szCs w:val="22"/>
        </w:rPr>
        <w:footnoteReference w:id="31"/>
      </w:r>
      <w:r w:rsidRPr="00D7648A">
        <w:rPr>
          <w:rStyle w:val="eop"/>
          <w:rFonts w:ascii="Garamond" w:hAnsi="Garamond" w:cs="Segoe UI"/>
          <w:sz w:val="22"/>
          <w:szCs w:val="22"/>
        </w:rPr>
        <w:t xml:space="preserve">; the dissemination of newsletters focussed on UTx outcomes </w:t>
      </w:r>
      <w:r w:rsidRPr="00D7648A">
        <w:rPr>
          <w:rStyle w:val="normaltextrun"/>
          <w:rFonts w:ascii="Garamond" w:hAnsi="Garamond" w:cs="Segoe UI"/>
          <w:sz w:val="22"/>
          <w:szCs w:val="22"/>
        </w:rPr>
        <w:t>to its members</w:t>
      </w:r>
      <w:r w:rsidR="0067754B" w:rsidRPr="00D7648A">
        <w:rPr>
          <w:rStyle w:val="FootnoteReference"/>
          <w:rFonts w:ascii="Garamond" w:eastAsiaTheme="majorEastAsia" w:hAnsi="Garamond" w:cs="Segoe UI"/>
          <w:sz w:val="22"/>
          <w:szCs w:val="22"/>
        </w:rPr>
        <w:footnoteReference w:id="32"/>
      </w:r>
      <w:r w:rsidRPr="00D7648A">
        <w:rPr>
          <w:rStyle w:val="eop"/>
          <w:rFonts w:ascii="Garamond" w:hAnsi="Garamond" w:cs="Segoe UI"/>
          <w:sz w:val="22"/>
          <w:szCs w:val="22"/>
        </w:rPr>
        <w:t>; published interviews with digital and traditional media outlets</w:t>
      </w:r>
      <w:r w:rsidR="0067754B" w:rsidRPr="00D7648A">
        <w:rPr>
          <w:rStyle w:val="FootnoteReference"/>
          <w:rFonts w:ascii="Garamond" w:eastAsiaTheme="majorEastAsia" w:hAnsi="Garamond" w:cs="Segoe UI"/>
          <w:sz w:val="22"/>
          <w:szCs w:val="22"/>
        </w:rPr>
        <w:footnoteReference w:id="33"/>
      </w:r>
      <w:r w:rsidRPr="00D7648A">
        <w:rPr>
          <w:rStyle w:val="eop"/>
          <w:rFonts w:ascii="Garamond" w:hAnsi="Garamond" w:cs="Segoe UI"/>
          <w:sz w:val="22"/>
          <w:szCs w:val="22"/>
        </w:rPr>
        <w:t xml:space="preserve">, </w:t>
      </w:r>
      <w:r w:rsidRPr="00D7648A">
        <w:rPr>
          <w:rStyle w:val="normaltextrun"/>
          <w:rFonts w:ascii="Garamond" w:hAnsi="Garamond" w:cs="Segoe UI"/>
          <w:sz w:val="22"/>
          <w:szCs w:val="22"/>
        </w:rPr>
        <w:t xml:space="preserve">and partnerships and training between different UTx teams worldwide such as </w:t>
      </w:r>
      <w:r w:rsidR="5A200368" w:rsidRPr="00D7648A">
        <w:rPr>
          <w:rStyle w:val="normaltextrun"/>
          <w:rFonts w:ascii="Garamond" w:hAnsi="Garamond" w:cs="Segoe UI"/>
          <w:sz w:val="22"/>
          <w:szCs w:val="22"/>
        </w:rPr>
        <w:t>in visits</w:t>
      </w:r>
      <w:r w:rsidRPr="00D7648A">
        <w:rPr>
          <w:rStyle w:val="normaltextrun"/>
          <w:rFonts w:ascii="Garamond" w:hAnsi="Garamond" w:cs="Segoe UI"/>
          <w:sz w:val="22"/>
          <w:szCs w:val="22"/>
        </w:rPr>
        <w:t xml:space="preserve"> by members of the Brazilian UTx team to</w:t>
      </w:r>
      <w:r w:rsidR="3631110E" w:rsidRPr="00D7648A">
        <w:rPr>
          <w:rStyle w:val="normaltextrun"/>
          <w:rFonts w:ascii="Garamond" w:hAnsi="Garamond" w:cs="Segoe UI"/>
          <w:sz w:val="22"/>
          <w:szCs w:val="22"/>
        </w:rPr>
        <w:t xml:space="preserve"> Sahlgrenska University Hospital to work with Mats Br</w:t>
      </w:r>
      <w:r w:rsidR="4310347E" w:rsidRPr="00D7648A">
        <w:rPr>
          <w:rStyle w:val="normaltextrun"/>
          <w:rFonts w:ascii="Garamond" w:hAnsi="Garamond" w:cs="Segoe UI"/>
          <w:sz w:val="22"/>
          <w:szCs w:val="22"/>
        </w:rPr>
        <w:t>ä</w:t>
      </w:r>
      <w:r w:rsidR="3631110E" w:rsidRPr="00D7648A">
        <w:rPr>
          <w:rStyle w:val="normaltextrun"/>
          <w:rFonts w:ascii="Garamond" w:hAnsi="Garamond" w:cs="Segoe UI"/>
          <w:sz w:val="22"/>
          <w:szCs w:val="22"/>
        </w:rPr>
        <w:t>nnstr</w:t>
      </w:r>
      <w:r w:rsidR="4310347E" w:rsidRPr="00D7648A">
        <w:rPr>
          <w:rStyle w:val="normaltextrun"/>
          <w:rFonts w:ascii="Garamond" w:hAnsi="Garamond" w:cs="Segoe UI"/>
          <w:sz w:val="22"/>
          <w:szCs w:val="22"/>
        </w:rPr>
        <w:t>ö</w:t>
      </w:r>
      <w:r w:rsidR="3631110E" w:rsidRPr="00D7648A">
        <w:rPr>
          <w:rStyle w:val="normaltextrun"/>
          <w:rFonts w:ascii="Garamond" w:hAnsi="Garamond" w:cs="Segoe UI"/>
          <w:sz w:val="22"/>
          <w:szCs w:val="22"/>
        </w:rPr>
        <w:t>m and the Swedish UTx team</w:t>
      </w:r>
      <w:r w:rsidRPr="00D7648A">
        <w:rPr>
          <w:rStyle w:val="normaltextrun"/>
          <w:rFonts w:ascii="Garamond" w:hAnsi="Garamond" w:cs="Segoe UI"/>
          <w:sz w:val="22"/>
          <w:szCs w:val="22"/>
        </w:rPr>
        <w:t>.</w:t>
      </w:r>
      <w:r w:rsidR="0067754B" w:rsidRPr="00D7648A">
        <w:rPr>
          <w:rStyle w:val="FootnoteReference"/>
          <w:rFonts w:ascii="Garamond" w:eastAsiaTheme="majorEastAsia" w:hAnsi="Garamond" w:cs="Segoe UI"/>
          <w:sz w:val="22"/>
          <w:szCs w:val="22"/>
        </w:rPr>
        <w:footnoteReference w:id="34"/>
      </w:r>
      <w:r w:rsidRPr="00D7648A">
        <w:rPr>
          <w:rStyle w:val="normaltextrun"/>
          <w:rFonts w:ascii="Garamond" w:hAnsi="Garamond" w:cs="Segoe UI"/>
          <w:sz w:val="22"/>
          <w:szCs w:val="22"/>
        </w:rPr>
        <w:t xml:space="preserve"> </w:t>
      </w:r>
    </w:p>
    <w:p w14:paraId="1AAF9C94" w14:textId="5E1693D5" w:rsidR="006F61AF" w:rsidRPr="00D7648A" w:rsidRDefault="006F61AF" w:rsidP="00FD6C10">
      <w:pPr>
        <w:jc w:val="both"/>
        <w:rPr>
          <w:rFonts w:ascii="Garamond" w:hAnsi="Garamond"/>
          <w:sz w:val="22"/>
          <w:szCs w:val="22"/>
        </w:rPr>
      </w:pPr>
    </w:p>
    <w:p w14:paraId="1A636ED6" w14:textId="3EFD0585" w:rsidR="00316FEF" w:rsidRPr="00D7648A" w:rsidRDefault="37B6F85B" w:rsidP="00FD6C10">
      <w:pPr>
        <w:jc w:val="both"/>
        <w:rPr>
          <w:rFonts w:ascii="Garamond" w:hAnsi="Garamond"/>
          <w:sz w:val="22"/>
          <w:szCs w:val="22"/>
        </w:rPr>
      </w:pPr>
      <w:r w:rsidRPr="00D7648A">
        <w:rPr>
          <w:rFonts w:ascii="Garamond" w:hAnsi="Garamond"/>
          <w:sz w:val="22"/>
          <w:szCs w:val="22"/>
        </w:rPr>
        <w:t>Formal coordinated data sharing</w:t>
      </w:r>
      <w:r w:rsidR="001B5D3D" w:rsidRPr="00D7648A">
        <w:rPr>
          <w:rFonts w:ascii="Garamond" w:hAnsi="Garamond"/>
          <w:sz w:val="22"/>
          <w:szCs w:val="22"/>
        </w:rPr>
        <w:t xml:space="preserve"> activities are</w:t>
      </w:r>
      <w:r w:rsidRPr="00D7648A">
        <w:rPr>
          <w:rFonts w:ascii="Garamond" w:hAnsi="Garamond"/>
          <w:sz w:val="22"/>
          <w:szCs w:val="22"/>
        </w:rPr>
        <w:t xml:space="preserve"> well regulated</w:t>
      </w:r>
      <w:r w:rsidR="001B5D3D" w:rsidRPr="00D7648A">
        <w:rPr>
          <w:rFonts w:ascii="Garamond" w:hAnsi="Garamond"/>
          <w:sz w:val="22"/>
          <w:szCs w:val="22"/>
        </w:rPr>
        <w:t xml:space="preserve"> with clear requirements regarding obtaining informed consent from research participants/</w:t>
      </w:r>
      <w:r w:rsidR="730A3549" w:rsidRPr="00D7648A">
        <w:rPr>
          <w:rFonts w:ascii="Garamond" w:hAnsi="Garamond"/>
          <w:sz w:val="22"/>
          <w:szCs w:val="22"/>
        </w:rPr>
        <w:t>patients and</w:t>
      </w:r>
      <w:r w:rsidR="001B5D3D" w:rsidRPr="00D7648A">
        <w:rPr>
          <w:rFonts w:ascii="Garamond" w:hAnsi="Garamond"/>
          <w:sz w:val="22"/>
          <w:szCs w:val="22"/>
        </w:rPr>
        <w:t xml:space="preserve"> maintaining</w:t>
      </w:r>
      <w:r w:rsidRPr="00D7648A">
        <w:rPr>
          <w:rFonts w:ascii="Garamond" w:hAnsi="Garamond"/>
          <w:sz w:val="22"/>
          <w:szCs w:val="22"/>
        </w:rPr>
        <w:t xml:space="preserve"> privacy </w:t>
      </w:r>
      <w:r w:rsidR="035ACA8C" w:rsidRPr="00D7648A">
        <w:rPr>
          <w:rFonts w:ascii="Garamond" w:hAnsi="Garamond"/>
          <w:sz w:val="22"/>
          <w:szCs w:val="22"/>
        </w:rPr>
        <w:t xml:space="preserve">and confidentiality </w:t>
      </w:r>
      <w:r w:rsidR="005C7D57" w:rsidRPr="00D7648A">
        <w:rPr>
          <w:rFonts w:ascii="Garamond" w:hAnsi="Garamond"/>
          <w:sz w:val="22"/>
          <w:szCs w:val="22"/>
        </w:rPr>
        <w:t xml:space="preserve">which </w:t>
      </w:r>
      <w:r w:rsidRPr="00D7648A">
        <w:rPr>
          <w:rFonts w:ascii="Garamond" w:hAnsi="Garamond"/>
          <w:sz w:val="22"/>
          <w:szCs w:val="22"/>
        </w:rPr>
        <w:t>must be respected when discussing</w:t>
      </w:r>
      <w:r w:rsidR="001B5D3D" w:rsidRPr="00D7648A">
        <w:rPr>
          <w:rFonts w:ascii="Garamond" w:hAnsi="Garamond"/>
          <w:sz w:val="22"/>
          <w:szCs w:val="22"/>
        </w:rPr>
        <w:t xml:space="preserve"> the</w:t>
      </w:r>
      <w:r w:rsidRPr="00D7648A">
        <w:rPr>
          <w:rFonts w:ascii="Garamond" w:hAnsi="Garamond"/>
          <w:sz w:val="22"/>
          <w:szCs w:val="22"/>
        </w:rPr>
        <w:t xml:space="preserve"> </w:t>
      </w:r>
      <w:r w:rsidR="516763D0" w:rsidRPr="00D7648A">
        <w:rPr>
          <w:rFonts w:ascii="Garamond" w:hAnsi="Garamond"/>
          <w:sz w:val="22"/>
          <w:szCs w:val="22"/>
        </w:rPr>
        <w:t xml:space="preserve">results of clinical trials whether in scientific </w:t>
      </w:r>
      <w:r w:rsidR="0032404D" w:rsidRPr="00D7648A">
        <w:rPr>
          <w:rFonts w:ascii="Garamond" w:hAnsi="Garamond"/>
          <w:sz w:val="22"/>
          <w:szCs w:val="22"/>
        </w:rPr>
        <w:t>publications,</w:t>
      </w:r>
      <w:r w:rsidR="516763D0" w:rsidRPr="00D7648A">
        <w:rPr>
          <w:rFonts w:ascii="Garamond" w:hAnsi="Garamond"/>
          <w:sz w:val="22"/>
          <w:szCs w:val="22"/>
        </w:rPr>
        <w:t xml:space="preserve"> conference presen</w:t>
      </w:r>
      <w:r w:rsidR="65B1DBFD" w:rsidRPr="00D7648A">
        <w:rPr>
          <w:rFonts w:ascii="Garamond" w:hAnsi="Garamond"/>
          <w:sz w:val="22"/>
          <w:szCs w:val="22"/>
        </w:rPr>
        <w:t>t</w:t>
      </w:r>
      <w:r w:rsidR="516763D0" w:rsidRPr="00D7648A">
        <w:rPr>
          <w:rFonts w:ascii="Garamond" w:hAnsi="Garamond"/>
          <w:sz w:val="22"/>
          <w:szCs w:val="22"/>
        </w:rPr>
        <w:t>ations</w:t>
      </w:r>
      <w:r w:rsidR="001B5D3D" w:rsidRPr="00D7648A">
        <w:rPr>
          <w:rFonts w:ascii="Garamond" w:hAnsi="Garamond"/>
          <w:sz w:val="22"/>
          <w:szCs w:val="22"/>
        </w:rPr>
        <w:t xml:space="preserve"> or depositing</w:t>
      </w:r>
      <w:r w:rsidR="001A3B97" w:rsidRPr="00D7648A">
        <w:rPr>
          <w:rFonts w:ascii="Garamond" w:hAnsi="Garamond"/>
          <w:sz w:val="22"/>
          <w:szCs w:val="22"/>
        </w:rPr>
        <w:t xml:space="preserve"> data in a repository such as the International Registry of UTx</w:t>
      </w:r>
      <w:r w:rsidR="00312EF6" w:rsidRPr="00D7648A">
        <w:rPr>
          <w:rFonts w:ascii="Garamond" w:hAnsi="Garamond"/>
          <w:sz w:val="22"/>
          <w:szCs w:val="22"/>
        </w:rPr>
        <w:t xml:space="preserve"> cases</w:t>
      </w:r>
      <w:r w:rsidR="001A3B97" w:rsidRPr="00D7648A">
        <w:rPr>
          <w:rFonts w:ascii="Garamond" w:hAnsi="Garamond"/>
          <w:sz w:val="22"/>
          <w:szCs w:val="22"/>
        </w:rPr>
        <w:t>.</w:t>
      </w:r>
      <w:r w:rsidR="0040678F" w:rsidRPr="00D7648A">
        <w:rPr>
          <w:rStyle w:val="FootnoteReference"/>
          <w:rFonts w:ascii="Garamond" w:hAnsi="Garamond"/>
          <w:sz w:val="22"/>
          <w:szCs w:val="22"/>
        </w:rPr>
        <w:footnoteReference w:id="35"/>
      </w:r>
      <w:r w:rsidR="002B1029" w:rsidRPr="00D7648A">
        <w:rPr>
          <w:rFonts w:ascii="Garamond" w:hAnsi="Garamond"/>
          <w:sz w:val="22"/>
          <w:szCs w:val="22"/>
        </w:rPr>
        <w:t xml:space="preserve"> </w:t>
      </w:r>
    </w:p>
    <w:p w14:paraId="52CF9A27" w14:textId="77777777" w:rsidR="00316FEF" w:rsidRPr="00D7648A" w:rsidRDefault="00316FEF" w:rsidP="00FD6C10">
      <w:pPr>
        <w:jc w:val="both"/>
        <w:rPr>
          <w:rFonts w:ascii="Garamond" w:hAnsi="Garamond"/>
          <w:sz w:val="22"/>
          <w:szCs w:val="22"/>
        </w:rPr>
      </w:pPr>
    </w:p>
    <w:p w14:paraId="3E668DBB" w14:textId="2981C7AD" w:rsidR="002469BB" w:rsidRPr="00D7648A" w:rsidRDefault="0887EDDC" w:rsidP="00FD6C10">
      <w:pPr>
        <w:jc w:val="both"/>
        <w:rPr>
          <w:rFonts w:ascii="Garamond" w:hAnsi="Garamond"/>
          <w:sz w:val="22"/>
          <w:szCs w:val="22"/>
        </w:rPr>
      </w:pPr>
      <w:r w:rsidRPr="00D7648A">
        <w:rPr>
          <w:rFonts w:ascii="Garamond" w:hAnsi="Garamond"/>
          <w:sz w:val="22"/>
          <w:szCs w:val="22"/>
        </w:rPr>
        <w:t>The presentation of case studies</w:t>
      </w:r>
      <w:r w:rsidR="003A0A31" w:rsidRPr="00D7648A">
        <w:rPr>
          <w:rFonts w:ascii="Garamond" w:hAnsi="Garamond"/>
          <w:sz w:val="22"/>
          <w:szCs w:val="22"/>
        </w:rPr>
        <w:t xml:space="preserve"> at conferences</w:t>
      </w:r>
      <w:r w:rsidRPr="00D7648A">
        <w:rPr>
          <w:rFonts w:ascii="Garamond" w:hAnsi="Garamond"/>
          <w:sz w:val="22"/>
          <w:szCs w:val="22"/>
        </w:rPr>
        <w:t xml:space="preserve"> by </w:t>
      </w:r>
      <w:r w:rsidR="00C907D4" w:rsidRPr="00D7648A">
        <w:rPr>
          <w:rFonts w:ascii="Garamond" w:hAnsi="Garamond"/>
          <w:sz w:val="22"/>
          <w:szCs w:val="22"/>
        </w:rPr>
        <w:t xml:space="preserve">research </w:t>
      </w:r>
      <w:r w:rsidRPr="00D7648A">
        <w:rPr>
          <w:rFonts w:ascii="Garamond" w:hAnsi="Garamond"/>
          <w:sz w:val="22"/>
          <w:szCs w:val="22"/>
        </w:rPr>
        <w:t xml:space="preserve">teams </w:t>
      </w:r>
      <w:r w:rsidR="00C907D4" w:rsidRPr="00D7648A">
        <w:rPr>
          <w:rFonts w:ascii="Garamond" w:hAnsi="Garamond"/>
          <w:sz w:val="22"/>
          <w:szCs w:val="22"/>
        </w:rPr>
        <w:t>(</w:t>
      </w:r>
      <w:r w:rsidR="0C2B0817" w:rsidRPr="00D7648A">
        <w:rPr>
          <w:rFonts w:ascii="Garamond" w:hAnsi="Garamond"/>
          <w:sz w:val="22"/>
          <w:szCs w:val="22"/>
        </w:rPr>
        <w:t>e.g.,</w:t>
      </w:r>
      <w:r w:rsidR="00C907D4" w:rsidRPr="00D7648A">
        <w:rPr>
          <w:rFonts w:ascii="Garamond" w:hAnsi="Garamond"/>
          <w:sz w:val="22"/>
          <w:szCs w:val="22"/>
        </w:rPr>
        <w:t xml:space="preserve"> </w:t>
      </w:r>
      <w:r w:rsidRPr="00D7648A">
        <w:rPr>
          <w:rFonts w:ascii="Garamond" w:hAnsi="Garamond"/>
          <w:sz w:val="22"/>
          <w:szCs w:val="22"/>
        </w:rPr>
        <w:t>at the annual ISUTx conference</w:t>
      </w:r>
      <w:r w:rsidR="00C907D4" w:rsidRPr="00D7648A">
        <w:rPr>
          <w:rFonts w:ascii="Garamond" w:hAnsi="Garamond"/>
          <w:sz w:val="22"/>
          <w:szCs w:val="22"/>
        </w:rPr>
        <w:t>)</w:t>
      </w:r>
      <w:r w:rsidRPr="00D7648A">
        <w:rPr>
          <w:rFonts w:ascii="Garamond" w:hAnsi="Garamond"/>
          <w:sz w:val="22"/>
          <w:szCs w:val="22"/>
        </w:rPr>
        <w:t xml:space="preserve"> is a valuable</w:t>
      </w:r>
      <w:r w:rsidR="00C907D4" w:rsidRPr="00D7648A">
        <w:rPr>
          <w:rFonts w:ascii="Garamond" w:hAnsi="Garamond"/>
          <w:sz w:val="22"/>
          <w:szCs w:val="22"/>
        </w:rPr>
        <w:t xml:space="preserve"> means of</w:t>
      </w:r>
      <w:r w:rsidRPr="00D7648A">
        <w:rPr>
          <w:rFonts w:ascii="Garamond" w:hAnsi="Garamond"/>
          <w:sz w:val="22"/>
          <w:szCs w:val="22"/>
        </w:rPr>
        <w:t xml:space="preserve"> disseminat</w:t>
      </w:r>
      <w:r w:rsidR="00C907D4" w:rsidRPr="00D7648A">
        <w:rPr>
          <w:rFonts w:ascii="Garamond" w:hAnsi="Garamond"/>
          <w:sz w:val="22"/>
          <w:szCs w:val="22"/>
        </w:rPr>
        <w:t>ing</w:t>
      </w:r>
      <w:r w:rsidRPr="00D7648A">
        <w:rPr>
          <w:rFonts w:ascii="Garamond" w:hAnsi="Garamond"/>
          <w:sz w:val="22"/>
          <w:szCs w:val="22"/>
        </w:rPr>
        <w:t xml:space="preserve"> data</w:t>
      </w:r>
      <w:r w:rsidR="011134B7" w:rsidRPr="00D7648A">
        <w:rPr>
          <w:rFonts w:ascii="Garamond" w:hAnsi="Garamond"/>
          <w:sz w:val="22"/>
          <w:szCs w:val="22"/>
        </w:rPr>
        <w:t>, some of which will</w:t>
      </w:r>
      <w:r w:rsidR="002B1029" w:rsidRPr="00D7648A">
        <w:rPr>
          <w:rFonts w:ascii="Garamond" w:hAnsi="Garamond"/>
          <w:sz w:val="22"/>
          <w:szCs w:val="22"/>
        </w:rPr>
        <w:t>, as noted previously,</w:t>
      </w:r>
      <w:r w:rsidR="011134B7" w:rsidRPr="00D7648A">
        <w:rPr>
          <w:rFonts w:ascii="Garamond" w:hAnsi="Garamond"/>
          <w:sz w:val="22"/>
          <w:szCs w:val="22"/>
        </w:rPr>
        <w:t xml:space="preserve"> remain unpublishe</w:t>
      </w:r>
      <w:r w:rsidR="00C907D4" w:rsidRPr="00D7648A">
        <w:rPr>
          <w:rFonts w:ascii="Garamond" w:hAnsi="Garamond"/>
          <w:sz w:val="22"/>
          <w:szCs w:val="22"/>
        </w:rPr>
        <w:t>d</w:t>
      </w:r>
      <w:r w:rsidR="00C04DF9" w:rsidRPr="00D7648A">
        <w:rPr>
          <w:rFonts w:ascii="Garamond" w:hAnsi="Garamond"/>
          <w:sz w:val="22"/>
          <w:szCs w:val="22"/>
        </w:rPr>
        <w:t xml:space="preserve"> in scientific journals/books</w:t>
      </w:r>
      <w:r w:rsidR="00C907D4" w:rsidRPr="00D7648A">
        <w:rPr>
          <w:rFonts w:ascii="Garamond" w:hAnsi="Garamond"/>
          <w:sz w:val="22"/>
          <w:szCs w:val="22"/>
        </w:rPr>
        <w:t xml:space="preserve">. </w:t>
      </w:r>
      <w:r w:rsidR="011134B7" w:rsidRPr="00D7648A">
        <w:rPr>
          <w:rFonts w:ascii="Garamond" w:hAnsi="Garamond"/>
          <w:sz w:val="22"/>
          <w:szCs w:val="22"/>
        </w:rPr>
        <w:t>The</w:t>
      </w:r>
      <w:r w:rsidR="3087A620" w:rsidRPr="00D7648A">
        <w:rPr>
          <w:rFonts w:ascii="Garamond" w:hAnsi="Garamond"/>
          <w:sz w:val="22"/>
          <w:szCs w:val="22"/>
        </w:rPr>
        <w:t>re are</w:t>
      </w:r>
      <w:r w:rsidR="16EAD1AB" w:rsidRPr="00D7648A">
        <w:rPr>
          <w:rFonts w:ascii="Garamond" w:hAnsi="Garamond"/>
          <w:sz w:val="22"/>
          <w:szCs w:val="22"/>
        </w:rPr>
        <w:t>,</w:t>
      </w:r>
      <w:r w:rsidR="3087A620" w:rsidRPr="00D7648A">
        <w:rPr>
          <w:rFonts w:ascii="Garamond" w:hAnsi="Garamond"/>
          <w:sz w:val="22"/>
          <w:szCs w:val="22"/>
        </w:rPr>
        <w:t xml:space="preserve"> </w:t>
      </w:r>
      <w:r w:rsidR="16EAD1AB" w:rsidRPr="00D7648A">
        <w:rPr>
          <w:rFonts w:ascii="Garamond" w:hAnsi="Garamond"/>
          <w:sz w:val="22"/>
          <w:szCs w:val="22"/>
        </w:rPr>
        <w:t>nevertheless,</w:t>
      </w:r>
      <w:r w:rsidR="011134B7" w:rsidRPr="00D7648A">
        <w:rPr>
          <w:rFonts w:ascii="Garamond" w:hAnsi="Garamond"/>
          <w:sz w:val="22"/>
          <w:szCs w:val="22"/>
        </w:rPr>
        <w:t xml:space="preserve"> challenges</w:t>
      </w:r>
      <w:r w:rsidR="00AF75E0" w:rsidRPr="00D7648A">
        <w:rPr>
          <w:rFonts w:ascii="Garamond" w:hAnsi="Garamond"/>
          <w:sz w:val="22"/>
          <w:szCs w:val="22"/>
        </w:rPr>
        <w:t xml:space="preserve"> associated with the</w:t>
      </w:r>
      <w:r w:rsidR="011134B7" w:rsidRPr="00D7648A">
        <w:rPr>
          <w:rFonts w:ascii="Garamond" w:hAnsi="Garamond"/>
          <w:sz w:val="22"/>
          <w:szCs w:val="22"/>
        </w:rPr>
        <w:t xml:space="preserve"> present</w:t>
      </w:r>
      <w:r w:rsidR="00AF75E0" w:rsidRPr="00D7648A">
        <w:rPr>
          <w:rFonts w:ascii="Garamond" w:hAnsi="Garamond"/>
          <w:sz w:val="22"/>
          <w:szCs w:val="22"/>
        </w:rPr>
        <w:t>ation of</w:t>
      </w:r>
      <w:r w:rsidR="011134B7" w:rsidRPr="00D7648A">
        <w:rPr>
          <w:rFonts w:ascii="Garamond" w:hAnsi="Garamond"/>
          <w:sz w:val="22"/>
          <w:szCs w:val="22"/>
        </w:rPr>
        <w:t xml:space="preserve"> data in this way</w:t>
      </w:r>
      <w:r w:rsidR="00AF75E0" w:rsidRPr="00D7648A">
        <w:rPr>
          <w:rFonts w:ascii="Garamond" w:hAnsi="Garamond"/>
          <w:sz w:val="22"/>
          <w:szCs w:val="22"/>
        </w:rPr>
        <w:t>. These include limited time for both presentation and discussion</w:t>
      </w:r>
      <w:r w:rsidR="0032404D" w:rsidRPr="00D7648A">
        <w:rPr>
          <w:rFonts w:ascii="Garamond" w:hAnsi="Garamond"/>
          <w:sz w:val="22"/>
          <w:szCs w:val="22"/>
        </w:rPr>
        <w:t xml:space="preserve">; </w:t>
      </w:r>
      <w:r w:rsidR="00AF75E0" w:rsidRPr="00D7648A">
        <w:rPr>
          <w:rFonts w:ascii="Garamond" w:hAnsi="Garamond"/>
          <w:sz w:val="22"/>
          <w:szCs w:val="22"/>
        </w:rPr>
        <w:t xml:space="preserve">incomplete information as not all data/cases will be presented </w:t>
      </w:r>
      <w:r w:rsidR="0032404D" w:rsidRPr="00D7648A">
        <w:rPr>
          <w:rFonts w:ascii="Garamond" w:hAnsi="Garamond"/>
          <w:sz w:val="22"/>
          <w:szCs w:val="22"/>
        </w:rPr>
        <w:t>(</w:t>
      </w:r>
      <w:r w:rsidR="00AF75E0" w:rsidRPr="00D7648A">
        <w:rPr>
          <w:rFonts w:ascii="Garamond" w:hAnsi="Garamond"/>
          <w:sz w:val="22"/>
          <w:szCs w:val="22"/>
        </w:rPr>
        <w:t>particularly as the volume of transplant</w:t>
      </w:r>
      <w:r w:rsidR="004A5311" w:rsidRPr="00D7648A">
        <w:rPr>
          <w:rFonts w:ascii="Garamond" w:hAnsi="Garamond"/>
          <w:sz w:val="22"/>
          <w:szCs w:val="22"/>
        </w:rPr>
        <w:t>s increase</w:t>
      </w:r>
      <w:r w:rsidR="0032404D" w:rsidRPr="00D7648A">
        <w:rPr>
          <w:rFonts w:ascii="Garamond" w:hAnsi="Garamond"/>
          <w:sz w:val="22"/>
          <w:szCs w:val="22"/>
        </w:rPr>
        <w:t>); limited audience (only those with the time/money to attend); and lack of public access</w:t>
      </w:r>
      <w:r w:rsidR="1E0F340F" w:rsidRPr="00D7648A">
        <w:rPr>
          <w:rFonts w:ascii="Garamond" w:hAnsi="Garamond"/>
          <w:sz w:val="22"/>
          <w:szCs w:val="22"/>
        </w:rPr>
        <w:t xml:space="preserve"> (either in the short or long term).</w:t>
      </w:r>
    </w:p>
    <w:p w14:paraId="33B2A068" w14:textId="31D42F44" w:rsidR="00C44148" w:rsidRPr="00D7648A" w:rsidRDefault="00C44148" w:rsidP="00FD6C10">
      <w:pPr>
        <w:jc w:val="both"/>
        <w:rPr>
          <w:rFonts w:ascii="Garamond" w:hAnsi="Garamond"/>
          <w:sz w:val="22"/>
          <w:szCs w:val="22"/>
        </w:rPr>
      </w:pPr>
    </w:p>
    <w:p w14:paraId="5BA46555" w14:textId="4647FA73" w:rsidR="00F50D3E" w:rsidRPr="00D7648A" w:rsidRDefault="00C04DF9" w:rsidP="00356312">
      <w:pPr>
        <w:jc w:val="both"/>
        <w:rPr>
          <w:rFonts w:ascii="Garamond" w:hAnsi="Garamond"/>
          <w:sz w:val="22"/>
          <w:szCs w:val="22"/>
        </w:rPr>
      </w:pPr>
      <w:r w:rsidRPr="00D7648A">
        <w:rPr>
          <w:rFonts w:ascii="Garamond" w:hAnsi="Garamond"/>
          <w:sz w:val="22"/>
          <w:szCs w:val="22"/>
        </w:rPr>
        <w:t>As noted previously,</w:t>
      </w:r>
      <w:r w:rsidR="002469BB" w:rsidRPr="00D7648A">
        <w:rPr>
          <w:rFonts w:ascii="Garamond" w:hAnsi="Garamond"/>
          <w:sz w:val="22"/>
          <w:szCs w:val="22"/>
        </w:rPr>
        <w:t xml:space="preserve"> the</w:t>
      </w:r>
      <w:r w:rsidR="007D64A5" w:rsidRPr="00D7648A">
        <w:rPr>
          <w:rFonts w:ascii="Garamond" w:hAnsi="Garamond"/>
          <w:sz w:val="22"/>
          <w:szCs w:val="22"/>
        </w:rPr>
        <w:t xml:space="preserve"> </w:t>
      </w:r>
      <w:r w:rsidRPr="00D7648A">
        <w:rPr>
          <w:rFonts w:ascii="Garamond" w:hAnsi="Garamond"/>
          <w:sz w:val="22"/>
          <w:szCs w:val="22"/>
        </w:rPr>
        <w:t>use of data repositories,</w:t>
      </w:r>
      <w:r w:rsidR="00906F7F" w:rsidRPr="00D7648A">
        <w:rPr>
          <w:rFonts w:ascii="Garamond" w:hAnsi="Garamond"/>
          <w:sz w:val="22"/>
          <w:szCs w:val="22"/>
        </w:rPr>
        <w:t xml:space="preserve"> which may be either open or closed access, </w:t>
      </w:r>
      <w:r w:rsidRPr="00D7648A">
        <w:rPr>
          <w:rFonts w:ascii="Garamond" w:hAnsi="Garamond"/>
          <w:sz w:val="22"/>
          <w:szCs w:val="22"/>
        </w:rPr>
        <w:t>is an excellent means of ensuring that</w:t>
      </w:r>
      <w:r w:rsidR="00356312" w:rsidRPr="00D7648A">
        <w:rPr>
          <w:rFonts w:ascii="Garamond" w:hAnsi="Garamond"/>
          <w:sz w:val="22"/>
          <w:szCs w:val="22"/>
        </w:rPr>
        <w:t xml:space="preserve"> the knowledge and other benefits that may be generated from a particular study/trial are maximised</w:t>
      </w:r>
      <w:r w:rsidR="00F50D3E" w:rsidRPr="00D7648A">
        <w:rPr>
          <w:rFonts w:ascii="Garamond" w:hAnsi="Garamond"/>
          <w:sz w:val="22"/>
          <w:szCs w:val="22"/>
        </w:rPr>
        <w:t xml:space="preserve"> and is</w:t>
      </w:r>
      <w:r w:rsidR="006A1A72" w:rsidRPr="00D7648A">
        <w:rPr>
          <w:rFonts w:ascii="Garamond" w:hAnsi="Garamond"/>
          <w:sz w:val="22"/>
          <w:szCs w:val="22"/>
        </w:rPr>
        <w:t xml:space="preserve"> now strongly</w:t>
      </w:r>
      <w:r w:rsidR="00897253" w:rsidRPr="00D7648A">
        <w:rPr>
          <w:rFonts w:ascii="Garamond" w:hAnsi="Garamond"/>
          <w:sz w:val="22"/>
          <w:szCs w:val="22"/>
        </w:rPr>
        <w:t xml:space="preserve"> encouraged by governments, research funders and </w:t>
      </w:r>
      <w:r w:rsidR="30F06411" w:rsidRPr="00D7648A">
        <w:rPr>
          <w:rFonts w:ascii="Garamond" w:hAnsi="Garamond"/>
          <w:sz w:val="22"/>
          <w:szCs w:val="22"/>
        </w:rPr>
        <w:t>NGOs</w:t>
      </w:r>
      <w:r w:rsidR="00897253" w:rsidRPr="00D7648A">
        <w:rPr>
          <w:rFonts w:ascii="Garamond" w:hAnsi="Garamond"/>
          <w:sz w:val="22"/>
          <w:szCs w:val="22"/>
        </w:rPr>
        <w:t xml:space="preserve"> worldwide. However, while this is so</w:t>
      </w:r>
      <w:r w:rsidR="006A1A72" w:rsidRPr="00D7648A">
        <w:rPr>
          <w:rFonts w:ascii="Garamond" w:hAnsi="Garamond"/>
          <w:sz w:val="22"/>
          <w:szCs w:val="22"/>
        </w:rPr>
        <w:t>, and as in many areas of clinical research, information on data sharing policies</w:t>
      </w:r>
      <w:r w:rsidR="00316FEF" w:rsidRPr="00D7648A">
        <w:rPr>
          <w:rFonts w:ascii="Garamond" w:hAnsi="Garamond"/>
          <w:sz w:val="22"/>
          <w:szCs w:val="22"/>
        </w:rPr>
        <w:t xml:space="preserve"> and processes</w:t>
      </w:r>
      <w:r w:rsidR="006A1A72" w:rsidRPr="00D7648A">
        <w:rPr>
          <w:rFonts w:ascii="Garamond" w:hAnsi="Garamond"/>
          <w:sz w:val="22"/>
          <w:szCs w:val="22"/>
        </w:rPr>
        <w:t xml:space="preserve"> is missing from many registered clinical trials regarding UT</w:t>
      </w:r>
      <w:r w:rsidR="00316FEF" w:rsidRPr="00D7648A">
        <w:rPr>
          <w:rFonts w:ascii="Garamond" w:hAnsi="Garamond"/>
          <w:sz w:val="22"/>
          <w:szCs w:val="22"/>
        </w:rPr>
        <w:t>x</w:t>
      </w:r>
      <w:r w:rsidR="006A1A72" w:rsidRPr="00D7648A">
        <w:rPr>
          <w:rFonts w:ascii="Garamond" w:hAnsi="Garamond"/>
          <w:sz w:val="22"/>
          <w:szCs w:val="22"/>
        </w:rPr>
        <w:t xml:space="preserve">. For example, of the </w:t>
      </w:r>
      <w:r w:rsidR="00F50D3E" w:rsidRPr="00D7648A">
        <w:rPr>
          <w:rFonts w:ascii="Garamond" w:hAnsi="Garamond"/>
          <w:sz w:val="22"/>
          <w:szCs w:val="22"/>
        </w:rPr>
        <w:t>2</w:t>
      </w:r>
      <w:r w:rsidR="38B1CB6B" w:rsidRPr="00D7648A">
        <w:rPr>
          <w:rFonts w:ascii="Garamond" w:hAnsi="Garamond"/>
          <w:sz w:val="22"/>
          <w:szCs w:val="22"/>
        </w:rPr>
        <w:t>6</w:t>
      </w:r>
      <w:r w:rsidR="00F50D3E" w:rsidRPr="00D7648A">
        <w:rPr>
          <w:rFonts w:ascii="Garamond" w:hAnsi="Garamond"/>
          <w:sz w:val="22"/>
          <w:szCs w:val="22"/>
        </w:rPr>
        <w:t xml:space="preserve"> trials</w:t>
      </w:r>
      <w:r w:rsidR="006A1A72" w:rsidRPr="00D7648A">
        <w:rPr>
          <w:rFonts w:ascii="Garamond" w:hAnsi="Garamond"/>
          <w:sz w:val="22"/>
          <w:szCs w:val="22"/>
        </w:rPr>
        <w:t xml:space="preserve"> regarding </w:t>
      </w:r>
      <w:r w:rsidR="00316FEF" w:rsidRPr="00D7648A">
        <w:rPr>
          <w:rFonts w:ascii="Garamond" w:hAnsi="Garamond"/>
          <w:sz w:val="22"/>
          <w:szCs w:val="22"/>
        </w:rPr>
        <w:t>UTx</w:t>
      </w:r>
      <w:r w:rsidR="006A1A72" w:rsidRPr="00D7648A">
        <w:rPr>
          <w:rFonts w:ascii="Garamond" w:hAnsi="Garamond"/>
          <w:sz w:val="22"/>
          <w:szCs w:val="22"/>
        </w:rPr>
        <w:t xml:space="preserve"> that are</w:t>
      </w:r>
      <w:r w:rsidR="00316FEF" w:rsidRPr="00D7648A">
        <w:rPr>
          <w:rFonts w:ascii="Garamond" w:hAnsi="Garamond"/>
          <w:sz w:val="22"/>
          <w:szCs w:val="22"/>
        </w:rPr>
        <w:t xml:space="preserve"> currently</w:t>
      </w:r>
      <w:r w:rsidR="00F50D3E" w:rsidRPr="00D7648A">
        <w:rPr>
          <w:rFonts w:ascii="Garamond" w:hAnsi="Garamond"/>
          <w:sz w:val="22"/>
          <w:szCs w:val="22"/>
        </w:rPr>
        <w:t xml:space="preserve"> registered on clinicaltrials.gov 1</w:t>
      </w:r>
      <w:r w:rsidR="4B615C75" w:rsidRPr="00D7648A">
        <w:rPr>
          <w:rFonts w:ascii="Garamond" w:hAnsi="Garamond"/>
          <w:sz w:val="22"/>
          <w:szCs w:val="22"/>
        </w:rPr>
        <w:t>2</w:t>
      </w:r>
      <w:r w:rsidR="00F50D3E" w:rsidRPr="00D7648A">
        <w:rPr>
          <w:rFonts w:ascii="Garamond" w:hAnsi="Garamond"/>
          <w:sz w:val="22"/>
          <w:szCs w:val="22"/>
        </w:rPr>
        <w:t>/2</w:t>
      </w:r>
      <w:r w:rsidR="0EC3127D" w:rsidRPr="00D7648A">
        <w:rPr>
          <w:rFonts w:ascii="Garamond" w:hAnsi="Garamond"/>
          <w:sz w:val="22"/>
          <w:szCs w:val="22"/>
        </w:rPr>
        <w:t>6</w:t>
      </w:r>
      <w:r w:rsidR="00F50D3E" w:rsidRPr="00D7648A">
        <w:rPr>
          <w:rFonts w:ascii="Garamond" w:hAnsi="Garamond"/>
          <w:sz w:val="22"/>
          <w:szCs w:val="22"/>
        </w:rPr>
        <w:t xml:space="preserve"> lack</w:t>
      </w:r>
      <w:r w:rsidR="006A1A72" w:rsidRPr="00D7648A">
        <w:rPr>
          <w:rFonts w:ascii="Garamond" w:hAnsi="Garamond"/>
          <w:sz w:val="22"/>
          <w:szCs w:val="22"/>
        </w:rPr>
        <w:t xml:space="preserve"> a</w:t>
      </w:r>
      <w:r w:rsidR="00AA4DC7" w:rsidRPr="00D7648A">
        <w:rPr>
          <w:rFonts w:ascii="Garamond" w:hAnsi="Garamond"/>
          <w:sz w:val="22"/>
          <w:szCs w:val="22"/>
        </w:rPr>
        <w:t xml:space="preserve"> published</w:t>
      </w:r>
      <w:r w:rsidR="00F50D3E" w:rsidRPr="00D7648A">
        <w:rPr>
          <w:rFonts w:ascii="Garamond" w:hAnsi="Garamond"/>
          <w:sz w:val="22"/>
          <w:szCs w:val="22"/>
        </w:rPr>
        <w:t xml:space="preserve"> data sharing polic</w:t>
      </w:r>
      <w:r w:rsidR="006A1A72" w:rsidRPr="00D7648A">
        <w:rPr>
          <w:rFonts w:ascii="Garamond" w:hAnsi="Garamond"/>
          <w:sz w:val="22"/>
          <w:szCs w:val="22"/>
        </w:rPr>
        <w:t>y/statement</w:t>
      </w:r>
      <w:r w:rsidR="00316FEF" w:rsidRPr="00D7648A">
        <w:rPr>
          <w:rFonts w:ascii="Garamond" w:hAnsi="Garamond"/>
          <w:sz w:val="22"/>
          <w:szCs w:val="22"/>
        </w:rPr>
        <w:t xml:space="preserve"> with respect to individual participant data</w:t>
      </w:r>
      <w:r w:rsidR="00F50D3E" w:rsidRPr="00D7648A">
        <w:rPr>
          <w:rFonts w:ascii="Garamond" w:hAnsi="Garamond"/>
          <w:sz w:val="22"/>
          <w:szCs w:val="22"/>
        </w:rPr>
        <w:t xml:space="preserve"> </w:t>
      </w:r>
      <w:r w:rsidR="000C081B" w:rsidRPr="00D7648A">
        <w:rPr>
          <w:rFonts w:ascii="Garamond" w:hAnsi="Garamond"/>
          <w:sz w:val="22"/>
          <w:szCs w:val="22"/>
        </w:rPr>
        <w:t xml:space="preserve">(IPD) </w:t>
      </w:r>
      <w:r w:rsidR="00F50D3E" w:rsidRPr="00D7648A">
        <w:rPr>
          <w:rFonts w:ascii="Garamond" w:hAnsi="Garamond"/>
          <w:sz w:val="22"/>
          <w:szCs w:val="22"/>
        </w:rPr>
        <w:t>entirely,</w:t>
      </w:r>
      <w:r w:rsidR="00316FEF" w:rsidRPr="00D7648A">
        <w:rPr>
          <w:rFonts w:ascii="Garamond" w:hAnsi="Garamond"/>
          <w:sz w:val="22"/>
          <w:szCs w:val="22"/>
        </w:rPr>
        <w:t xml:space="preserve"> 8 of 2</w:t>
      </w:r>
      <w:r w:rsidR="30EE19B0" w:rsidRPr="00D7648A">
        <w:rPr>
          <w:rFonts w:ascii="Garamond" w:hAnsi="Garamond"/>
          <w:sz w:val="22"/>
          <w:szCs w:val="22"/>
        </w:rPr>
        <w:t>6</w:t>
      </w:r>
      <w:r w:rsidR="003A0A31" w:rsidRPr="00D7648A">
        <w:rPr>
          <w:rFonts w:ascii="Garamond" w:hAnsi="Garamond"/>
          <w:sz w:val="22"/>
          <w:szCs w:val="22"/>
        </w:rPr>
        <w:t xml:space="preserve"> do not plan to share IPD, 3/2</w:t>
      </w:r>
      <w:r w:rsidR="01283E02" w:rsidRPr="00D7648A">
        <w:rPr>
          <w:rFonts w:ascii="Garamond" w:hAnsi="Garamond"/>
          <w:sz w:val="22"/>
          <w:szCs w:val="22"/>
        </w:rPr>
        <w:t>6</w:t>
      </w:r>
      <w:r w:rsidR="003A0A31" w:rsidRPr="00D7648A">
        <w:rPr>
          <w:rFonts w:ascii="Garamond" w:hAnsi="Garamond"/>
          <w:sz w:val="22"/>
          <w:szCs w:val="22"/>
        </w:rPr>
        <w:t xml:space="preserve"> are ‘undecided’, and only 3/2</w:t>
      </w:r>
      <w:r w:rsidR="3CE96E39" w:rsidRPr="00D7648A">
        <w:rPr>
          <w:rFonts w:ascii="Garamond" w:hAnsi="Garamond"/>
          <w:sz w:val="22"/>
          <w:szCs w:val="22"/>
        </w:rPr>
        <w:t>6</w:t>
      </w:r>
      <w:r w:rsidR="003A0A31" w:rsidRPr="00D7648A">
        <w:rPr>
          <w:rFonts w:ascii="Garamond" w:hAnsi="Garamond"/>
          <w:sz w:val="22"/>
          <w:szCs w:val="22"/>
        </w:rPr>
        <w:t xml:space="preserve"> make clear an intention to share </w:t>
      </w:r>
      <w:r w:rsidR="003A0A31" w:rsidRPr="3EA05ED7">
        <w:rPr>
          <w:rFonts w:ascii="Garamond" w:hAnsi="Garamond"/>
          <w:i/>
          <w:iCs/>
          <w:sz w:val="22"/>
          <w:szCs w:val="22"/>
        </w:rPr>
        <w:t xml:space="preserve">any research data </w:t>
      </w:r>
      <w:r w:rsidR="003A0A31" w:rsidRPr="00D7648A">
        <w:rPr>
          <w:rFonts w:ascii="Garamond" w:hAnsi="Garamond"/>
          <w:sz w:val="22"/>
          <w:szCs w:val="22"/>
        </w:rPr>
        <w:t>related to the trial</w:t>
      </w:r>
      <w:r w:rsidR="00F50D3E" w:rsidRPr="00D7648A">
        <w:rPr>
          <w:rFonts w:ascii="Garamond" w:hAnsi="Garamond"/>
          <w:sz w:val="22"/>
          <w:szCs w:val="22"/>
        </w:rPr>
        <w:t>.</w:t>
      </w:r>
      <w:r w:rsidR="00F50D3E" w:rsidRPr="00D7648A">
        <w:rPr>
          <w:rStyle w:val="FootnoteReference"/>
          <w:rFonts w:ascii="Garamond" w:hAnsi="Garamond"/>
          <w:sz w:val="22"/>
          <w:szCs w:val="22"/>
        </w:rPr>
        <w:footnoteReference w:id="36"/>
      </w:r>
      <w:r w:rsidR="00F50D3E" w:rsidRPr="00D7648A">
        <w:rPr>
          <w:rFonts w:ascii="Garamond" w:hAnsi="Garamond"/>
          <w:sz w:val="22"/>
          <w:szCs w:val="22"/>
        </w:rPr>
        <w:t xml:space="preserve">  </w:t>
      </w:r>
    </w:p>
    <w:p w14:paraId="5E180B80" w14:textId="77777777" w:rsidR="00F50D3E" w:rsidRPr="00D7648A" w:rsidRDefault="00F50D3E" w:rsidP="00356312">
      <w:pPr>
        <w:jc w:val="both"/>
        <w:rPr>
          <w:rFonts w:ascii="Garamond" w:hAnsi="Garamond"/>
          <w:sz w:val="22"/>
          <w:szCs w:val="22"/>
        </w:rPr>
      </w:pPr>
    </w:p>
    <w:p w14:paraId="0F2D565C" w14:textId="21723ED5" w:rsidR="00100941" w:rsidRPr="00D7648A" w:rsidRDefault="48C4AA57" w:rsidP="00356312">
      <w:pPr>
        <w:jc w:val="both"/>
        <w:rPr>
          <w:rFonts w:ascii="Garamond" w:hAnsi="Garamond"/>
          <w:sz w:val="22"/>
          <w:szCs w:val="22"/>
        </w:rPr>
      </w:pPr>
      <w:r w:rsidRPr="00D7648A">
        <w:rPr>
          <w:rFonts w:ascii="Garamond" w:hAnsi="Garamond"/>
          <w:sz w:val="22"/>
          <w:szCs w:val="22"/>
        </w:rPr>
        <w:t>An International Registry of</w:t>
      </w:r>
      <w:r w:rsidR="2539C340" w:rsidRPr="00D7648A">
        <w:rPr>
          <w:rFonts w:ascii="Garamond" w:hAnsi="Garamond"/>
          <w:sz w:val="22"/>
          <w:szCs w:val="22"/>
        </w:rPr>
        <w:t xml:space="preserve"> UTx</w:t>
      </w:r>
      <w:r w:rsidRPr="00D7648A">
        <w:rPr>
          <w:rFonts w:ascii="Garamond" w:hAnsi="Garamond"/>
          <w:sz w:val="22"/>
          <w:szCs w:val="22"/>
        </w:rPr>
        <w:t xml:space="preserve"> cases</w:t>
      </w:r>
      <w:r w:rsidR="5462E390" w:rsidRPr="00D7648A">
        <w:rPr>
          <w:rFonts w:ascii="Garamond" w:hAnsi="Garamond"/>
          <w:sz w:val="22"/>
          <w:szCs w:val="22"/>
        </w:rPr>
        <w:t>, voluntarily set up by the ISUTx (under then president, Mats Bra</w:t>
      </w:r>
      <w:r w:rsidR="5462E390" w:rsidRPr="00D7648A">
        <w:rPr>
          <w:rFonts w:ascii="Times New Roman" w:hAnsi="Times New Roman" w:cs="Times New Roman"/>
          <w:sz w:val="22"/>
          <w:szCs w:val="22"/>
        </w:rPr>
        <w:t>̈</w:t>
      </w:r>
      <w:r w:rsidR="5462E390" w:rsidRPr="00D7648A">
        <w:rPr>
          <w:rFonts w:ascii="Garamond" w:hAnsi="Garamond"/>
          <w:sz w:val="22"/>
          <w:szCs w:val="22"/>
        </w:rPr>
        <w:t>nnstro</w:t>
      </w:r>
      <w:r w:rsidR="5462E390" w:rsidRPr="00D7648A">
        <w:rPr>
          <w:rFonts w:ascii="Times New Roman" w:hAnsi="Times New Roman" w:cs="Times New Roman"/>
          <w:sz w:val="22"/>
          <w:szCs w:val="22"/>
        </w:rPr>
        <w:t>̈</w:t>
      </w:r>
      <w:r w:rsidR="5462E390" w:rsidRPr="00D7648A">
        <w:rPr>
          <w:rFonts w:ascii="Garamond" w:hAnsi="Garamond"/>
          <w:sz w:val="22"/>
          <w:szCs w:val="22"/>
        </w:rPr>
        <w:t>m</w:t>
      </w:r>
      <w:r w:rsidR="22FC67F7" w:rsidRPr="00D7648A">
        <w:rPr>
          <w:rFonts w:ascii="Garamond" w:hAnsi="Garamond"/>
          <w:sz w:val="22"/>
          <w:szCs w:val="22"/>
        </w:rPr>
        <w:t>)</w:t>
      </w:r>
      <w:r w:rsidR="5462E390" w:rsidRPr="00D7648A">
        <w:rPr>
          <w:rFonts w:ascii="Garamond" w:hAnsi="Garamond"/>
          <w:sz w:val="22"/>
          <w:szCs w:val="22"/>
        </w:rPr>
        <w:t xml:space="preserve"> has been operating </w:t>
      </w:r>
      <w:r w:rsidRPr="00D7648A">
        <w:rPr>
          <w:rFonts w:ascii="Garamond" w:hAnsi="Garamond"/>
          <w:sz w:val="22"/>
          <w:szCs w:val="22"/>
        </w:rPr>
        <w:t>since 2020</w:t>
      </w:r>
      <w:r w:rsidR="22FC67F7" w:rsidRPr="00D7648A">
        <w:rPr>
          <w:rFonts w:ascii="Garamond" w:hAnsi="Garamond"/>
          <w:sz w:val="22"/>
          <w:szCs w:val="22"/>
        </w:rPr>
        <w:t xml:space="preserve"> with the aim of</w:t>
      </w:r>
      <w:r w:rsidR="3631110E" w:rsidRPr="00D7648A">
        <w:rPr>
          <w:rFonts w:ascii="Garamond" w:hAnsi="Garamond"/>
          <w:sz w:val="22"/>
          <w:szCs w:val="22"/>
        </w:rPr>
        <w:t xml:space="preserve"> “collecting and analysing data on characteristics and outcomes of UTx procedures</w:t>
      </w:r>
      <w:r w:rsidR="0A491BD7" w:rsidRPr="00D7648A">
        <w:rPr>
          <w:rFonts w:ascii="Garamond" w:hAnsi="Garamond"/>
          <w:sz w:val="22"/>
          <w:szCs w:val="22"/>
        </w:rPr>
        <w:t>, [and] confirming best practices for the rapidly expanding field”</w:t>
      </w:r>
      <w:r w:rsidR="00FC2F3E" w:rsidRPr="00D7648A">
        <w:rPr>
          <w:rStyle w:val="FootnoteReference"/>
          <w:rFonts w:ascii="Garamond" w:hAnsi="Garamond"/>
          <w:sz w:val="22"/>
          <w:szCs w:val="22"/>
        </w:rPr>
        <w:footnoteReference w:id="37"/>
      </w:r>
      <w:r w:rsidR="0A491BD7" w:rsidRPr="00D7648A">
        <w:rPr>
          <w:rFonts w:ascii="Garamond" w:hAnsi="Garamond"/>
          <w:sz w:val="22"/>
          <w:szCs w:val="22"/>
        </w:rPr>
        <w:t xml:space="preserve"> through for example, the production of reports and</w:t>
      </w:r>
      <w:r w:rsidR="1320CD2A" w:rsidRPr="00D7648A">
        <w:rPr>
          <w:rFonts w:ascii="Garamond" w:hAnsi="Garamond"/>
          <w:sz w:val="22"/>
          <w:szCs w:val="22"/>
        </w:rPr>
        <w:t xml:space="preserve"> providing a repository for</w:t>
      </w:r>
      <w:r w:rsidR="0A491BD7" w:rsidRPr="00D7648A">
        <w:rPr>
          <w:rFonts w:ascii="Garamond" w:hAnsi="Garamond"/>
          <w:sz w:val="22"/>
          <w:szCs w:val="22"/>
        </w:rPr>
        <w:t xml:space="preserve"> registry</w:t>
      </w:r>
      <w:r w:rsidRPr="00D7648A">
        <w:rPr>
          <w:rFonts w:ascii="Garamond" w:hAnsi="Garamond"/>
          <w:sz w:val="22"/>
          <w:szCs w:val="22"/>
        </w:rPr>
        <w:t>-</w:t>
      </w:r>
      <w:r w:rsidR="0A491BD7" w:rsidRPr="00D7648A">
        <w:rPr>
          <w:rFonts w:ascii="Garamond" w:hAnsi="Garamond"/>
          <w:sz w:val="22"/>
          <w:szCs w:val="22"/>
        </w:rPr>
        <w:t>based</w:t>
      </w:r>
      <w:r w:rsidR="1320CD2A" w:rsidRPr="00D7648A">
        <w:rPr>
          <w:rFonts w:ascii="Garamond" w:hAnsi="Garamond"/>
          <w:sz w:val="22"/>
          <w:szCs w:val="22"/>
        </w:rPr>
        <w:t xml:space="preserve"> research</w:t>
      </w:r>
      <w:r w:rsidRPr="00D7648A">
        <w:rPr>
          <w:rFonts w:ascii="Garamond" w:hAnsi="Garamond"/>
          <w:sz w:val="22"/>
          <w:szCs w:val="22"/>
        </w:rPr>
        <w:t>.</w:t>
      </w:r>
      <w:r w:rsidR="00FC2F3E" w:rsidRPr="00D7648A">
        <w:rPr>
          <w:rStyle w:val="FootnoteReference"/>
          <w:rFonts w:ascii="Garamond" w:hAnsi="Garamond"/>
          <w:sz w:val="22"/>
          <w:szCs w:val="22"/>
        </w:rPr>
        <w:footnoteReference w:id="38"/>
      </w:r>
      <w:r w:rsidR="413EFFA8" w:rsidRPr="00D7648A">
        <w:rPr>
          <w:rFonts w:ascii="Garamond" w:hAnsi="Garamond"/>
          <w:sz w:val="22"/>
          <w:szCs w:val="22"/>
        </w:rPr>
        <w:t xml:space="preserve"> </w:t>
      </w:r>
      <w:r w:rsidR="3ED16E9C" w:rsidRPr="00D7648A">
        <w:rPr>
          <w:rFonts w:ascii="Garamond" w:hAnsi="Garamond"/>
          <w:sz w:val="22"/>
          <w:szCs w:val="22"/>
        </w:rPr>
        <w:t>The establishment of a UTx Registry was an important part of the evolution of the field of UTx and has the potential to play a</w:t>
      </w:r>
      <w:r w:rsidR="51612C10" w:rsidRPr="00D7648A">
        <w:rPr>
          <w:rFonts w:ascii="Garamond" w:hAnsi="Garamond"/>
          <w:sz w:val="22"/>
          <w:szCs w:val="22"/>
        </w:rPr>
        <w:t xml:space="preserve"> key</w:t>
      </w:r>
      <w:r w:rsidR="3ED16E9C" w:rsidRPr="00D7648A">
        <w:rPr>
          <w:rFonts w:ascii="Garamond" w:hAnsi="Garamond"/>
          <w:sz w:val="22"/>
          <w:szCs w:val="22"/>
        </w:rPr>
        <w:t xml:space="preserve"> role in</w:t>
      </w:r>
      <w:r w:rsidR="481364B0" w:rsidRPr="00D7648A">
        <w:rPr>
          <w:rFonts w:ascii="Garamond" w:hAnsi="Garamond"/>
          <w:sz w:val="22"/>
          <w:szCs w:val="22"/>
        </w:rPr>
        <w:t xml:space="preserve"> achieving </w:t>
      </w:r>
      <w:r w:rsidR="06876F85" w:rsidRPr="00D7648A">
        <w:rPr>
          <w:rFonts w:ascii="Garamond" w:hAnsi="Garamond"/>
          <w:sz w:val="22"/>
          <w:szCs w:val="22"/>
        </w:rPr>
        <w:t>many of the benefits</w:t>
      </w:r>
      <w:r w:rsidR="481364B0" w:rsidRPr="00D7648A">
        <w:rPr>
          <w:rFonts w:ascii="Garamond" w:hAnsi="Garamond"/>
          <w:sz w:val="22"/>
          <w:szCs w:val="22"/>
        </w:rPr>
        <w:t xml:space="preserve"> associated with data sharing</w:t>
      </w:r>
      <w:r w:rsidR="50866430" w:rsidRPr="00D7648A">
        <w:rPr>
          <w:rFonts w:ascii="Garamond" w:hAnsi="Garamond"/>
          <w:sz w:val="22"/>
          <w:szCs w:val="22"/>
        </w:rPr>
        <w:t xml:space="preserve"> provided that the data</w:t>
      </w:r>
      <w:r w:rsidR="5955B48D" w:rsidRPr="00D7648A">
        <w:rPr>
          <w:rFonts w:ascii="Garamond" w:hAnsi="Garamond"/>
          <w:sz w:val="22"/>
          <w:szCs w:val="22"/>
        </w:rPr>
        <w:t>sets</w:t>
      </w:r>
      <w:r w:rsidR="50866430" w:rsidRPr="00D7648A">
        <w:rPr>
          <w:rFonts w:ascii="Garamond" w:hAnsi="Garamond"/>
          <w:sz w:val="22"/>
          <w:szCs w:val="22"/>
        </w:rPr>
        <w:t xml:space="preserve"> collected and collated in the registry are sufficiently complete, accurate, and relevant to the stakeholders it serves</w:t>
      </w:r>
      <w:r w:rsidR="17AE884F" w:rsidRPr="00D7648A">
        <w:rPr>
          <w:rFonts w:ascii="Garamond" w:hAnsi="Garamond"/>
          <w:sz w:val="22"/>
          <w:szCs w:val="22"/>
        </w:rPr>
        <w:t>;</w:t>
      </w:r>
      <w:r w:rsidR="7441DB9D" w:rsidRPr="00D7648A">
        <w:rPr>
          <w:rFonts w:ascii="Garamond" w:hAnsi="Garamond"/>
          <w:sz w:val="22"/>
          <w:szCs w:val="22"/>
        </w:rPr>
        <w:t xml:space="preserve"> registry reports and/or data </w:t>
      </w:r>
      <w:r w:rsidR="413EFFA8" w:rsidRPr="00D7648A">
        <w:rPr>
          <w:rFonts w:ascii="Garamond" w:hAnsi="Garamond"/>
          <w:sz w:val="22"/>
          <w:szCs w:val="22"/>
        </w:rPr>
        <w:t xml:space="preserve">for registry based research </w:t>
      </w:r>
      <w:r w:rsidR="7441DB9D" w:rsidRPr="00D7648A">
        <w:rPr>
          <w:rFonts w:ascii="Garamond" w:hAnsi="Garamond"/>
          <w:sz w:val="22"/>
          <w:szCs w:val="22"/>
        </w:rPr>
        <w:t>are</w:t>
      </w:r>
      <w:r w:rsidR="50866430" w:rsidRPr="00D7648A">
        <w:rPr>
          <w:rFonts w:ascii="Garamond" w:hAnsi="Garamond"/>
          <w:sz w:val="22"/>
          <w:szCs w:val="22"/>
        </w:rPr>
        <w:t xml:space="preserve"> accessib</w:t>
      </w:r>
      <w:r w:rsidR="17AE884F" w:rsidRPr="00D7648A">
        <w:rPr>
          <w:rFonts w:ascii="Garamond" w:hAnsi="Garamond"/>
          <w:sz w:val="22"/>
          <w:szCs w:val="22"/>
        </w:rPr>
        <w:t>le to stakeholders</w:t>
      </w:r>
      <w:r w:rsidR="50866430" w:rsidRPr="00D7648A">
        <w:rPr>
          <w:rFonts w:ascii="Garamond" w:hAnsi="Garamond"/>
          <w:sz w:val="22"/>
          <w:szCs w:val="22"/>
        </w:rPr>
        <w:t xml:space="preserve">; </w:t>
      </w:r>
      <w:r w:rsidR="17AE884F" w:rsidRPr="00D7648A">
        <w:rPr>
          <w:rFonts w:ascii="Garamond" w:hAnsi="Garamond"/>
          <w:sz w:val="22"/>
          <w:szCs w:val="22"/>
        </w:rPr>
        <w:t>and</w:t>
      </w:r>
      <w:r w:rsidR="7441DB9D" w:rsidRPr="00D7648A">
        <w:rPr>
          <w:rFonts w:ascii="Garamond" w:hAnsi="Garamond"/>
          <w:sz w:val="22"/>
          <w:szCs w:val="22"/>
        </w:rPr>
        <w:t xml:space="preserve"> the registry is</w:t>
      </w:r>
      <w:r w:rsidR="17AE884F" w:rsidRPr="00D7648A">
        <w:rPr>
          <w:rFonts w:ascii="Garamond" w:hAnsi="Garamond"/>
          <w:sz w:val="22"/>
          <w:szCs w:val="22"/>
        </w:rPr>
        <w:t xml:space="preserve"> </w:t>
      </w:r>
      <w:r w:rsidR="17AE884F" w:rsidRPr="00D7648A">
        <w:rPr>
          <w:rFonts w:ascii="Garamond" w:hAnsi="Garamond"/>
          <w:i/>
          <w:iCs/>
          <w:sz w:val="22"/>
          <w:szCs w:val="22"/>
        </w:rPr>
        <w:t xml:space="preserve">wholly compliant </w:t>
      </w:r>
      <w:r w:rsidR="17AE884F" w:rsidRPr="00D7648A">
        <w:rPr>
          <w:rFonts w:ascii="Garamond" w:hAnsi="Garamond"/>
          <w:sz w:val="22"/>
          <w:szCs w:val="22"/>
        </w:rPr>
        <w:t>with national and international guidelines regarding data protection and privacy.</w:t>
      </w:r>
      <w:r w:rsidR="009D42BF" w:rsidRPr="00D7648A">
        <w:rPr>
          <w:rStyle w:val="FootnoteReference"/>
          <w:rFonts w:ascii="Garamond" w:hAnsi="Garamond"/>
          <w:sz w:val="22"/>
          <w:szCs w:val="22"/>
        </w:rPr>
        <w:footnoteReference w:id="39"/>
      </w:r>
      <w:r w:rsidR="0C52252A" w:rsidRPr="00D7648A">
        <w:rPr>
          <w:rFonts w:ascii="Garamond" w:hAnsi="Garamond"/>
          <w:sz w:val="22"/>
          <w:szCs w:val="22"/>
        </w:rPr>
        <w:t xml:space="preserve"> </w:t>
      </w:r>
    </w:p>
    <w:p w14:paraId="0A44E0A4" w14:textId="77777777" w:rsidR="00100941" w:rsidRPr="00D7648A" w:rsidRDefault="00100941" w:rsidP="00FD6C10">
      <w:pPr>
        <w:autoSpaceDE w:val="0"/>
        <w:autoSpaceDN w:val="0"/>
        <w:adjustRightInd w:val="0"/>
        <w:jc w:val="both"/>
        <w:rPr>
          <w:rFonts w:ascii="Garamond" w:hAnsi="Garamond"/>
          <w:sz w:val="22"/>
          <w:szCs w:val="22"/>
        </w:rPr>
      </w:pPr>
    </w:p>
    <w:p w14:paraId="58E30A68" w14:textId="669B9208" w:rsidR="009F57DD" w:rsidRDefault="00100941" w:rsidP="712C3CAC">
      <w:pPr>
        <w:autoSpaceDE w:val="0"/>
        <w:autoSpaceDN w:val="0"/>
        <w:adjustRightInd w:val="0"/>
        <w:jc w:val="both"/>
        <w:rPr>
          <w:rFonts w:ascii="Garamond" w:hAnsi="Garamond" w:cs="Times New Roman"/>
          <w:sz w:val="22"/>
          <w:szCs w:val="22"/>
        </w:rPr>
      </w:pPr>
      <w:r w:rsidRPr="00D7648A">
        <w:rPr>
          <w:rFonts w:ascii="Garamond" w:hAnsi="Garamond"/>
          <w:sz w:val="22"/>
          <w:szCs w:val="22"/>
        </w:rPr>
        <w:t>Such requirements, however, are not easy</w:t>
      </w:r>
      <w:r w:rsidR="009D42BF" w:rsidRPr="00D7648A">
        <w:rPr>
          <w:rFonts w:ascii="Garamond" w:hAnsi="Garamond"/>
          <w:sz w:val="22"/>
          <w:szCs w:val="22"/>
        </w:rPr>
        <w:t xml:space="preserve"> to meet, and </w:t>
      </w:r>
      <w:r w:rsidR="00A52EA2" w:rsidRPr="00D7648A">
        <w:rPr>
          <w:rFonts w:ascii="Garamond" w:hAnsi="Garamond"/>
          <w:sz w:val="22"/>
          <w:szCs w:val="22"/>
        </w:rPr>
        <w:t>it is</w:t>
      </w:r>
      <w:r w:rsidR="061DBE7A" w:rsidRPr="00D7648A">
        <w:rPr>
          <w:rFonts w:ascii="Garamond" w:hAnsi="Garamond"/>
          <w:sz w:val="22"/>
          <w:szCs w:val="22"/>
        </w:rPr>
        <w:t xml:space="preserve"> currently</w:t>
      </w:r>
      <w:r w:rsidR="00A52EA2" w:rsidRPr="00D7648A">
        <w:rPr>
          <w:rFonts w:ascii="Garamond" w:hAnsi="Garamond"/>
          <w:sz w:val="22"/>
          <w:szCs w:val="22"/>
        </w:rPr>
        <w:t xml:space="preserve"> </w:t>
      </w:r>
      <w:r w:rsidR="00FD6C10" w:rsidRPr="00D7648A">
        <w:rPr>
          <w:rFonts w:ascii="Garamond" w:hAnsi="Garamond"/>
          <w:sz w:val="22"/>
          <w:szCs w:val="22"/>
        </w:rPr>
        <w:t xml:space="preserve">clear </w:t>
      </w:r>
      <w:r w:rsidR="00A52EA2" w:rsidRPr="00D7648A">
        <w:rPr>
          <w:rFonts w:ascii="Garamond" w:hAnsi="Garamond"/>
          <w:sz w:val="22"/>
          <w:szCs w:val="22"/>
        </w:rPr>
        <w:t xml:space="preserve">that the UTx registry faces </w:t>
      </w:r>
      <w:bookmarkStart w:id="1" w:name="_Int_7wAMQ9a9"/>
      <w:r w:rsidR="00A52EA2" w:rsidRPr="00D7648A">
        <w:rPr>
          <w:rFonts w:ascii="Garamond" w:hAnsi="Garamond"/>
          <w:sz w:val="22"/>
          <w:szCs w:val="22"/>
        </w:rPr>
        <w:t>a number of</w:t>
      </w:r>
      <w:bookmarkEnd w:id="1"/>
      <w:r w:rsidR="00A52EA2" w:rsidRPr="00D7648A">
        <w:rPr>
          <w:rFonts w:ascii="Garamond" w:hAnsi="Garamond"/>
          <w:sz w:val="22"/>
          <w:szCs w:val="22"/>
        </w:rPr>
        <w:t xml:space="preserve"> challenges that </w:t>
      </w:r>
      <w:r w:rsidR="00EA0C2B" w:rsidRPr="00D7648A">
        <w:rPr>
          <w:rFonts w:ascii="Garamond" w:hAnsi="Garamond"/>
          <w:sz w:val="22"/>
          <w:szCs w:val="22"/>
        </w:rPr>
        <w:t xml:space="preserve">have the potential to </w:t>
      </w:r>
      <w:bookmarkStart w:id="2" w:name="_Int_oBWOQGdZ"/>
      <w:proofErr w:type="gramStart"/>
      <w:r w:rsidR="00A52EA2" w:rsidRPr="00D7648A">
        <w:rPr>
          <w:rFonts w:ascii="Garamond" w:hAnsi="Garamond"/>
          <w:sz w:val="22"/>
          <w:szCs w:val="22"/>
        </w:rPr>
        <w:t>significantly</w:t>
      </w:r>
      <w:r w:rsidR="00EA0C2B" w:rsidRPr="00D7648A">
        <w:rPr>
          <w:rFonts w:ascii="Garamond" w:hAnsi="Garamond"/>
          <w:sz w:val="22"/>
          <w:szCs w:val="22"/>
        </w:rPr>
        <w:t xml:space="preserve"> and negatively</w:t>
      </w:r>
      <w:r w:rsidR="00A52EA2" w:rsidRPr="00D7648A">
        <w:rPr>
          <w:rFonts w:ascii="Garamond" w:hAnsi="Garamond"/>
          <w:sz w:val="22"/>
          <w:szCs w:val="22"/>
        </w:rPr>
        <w:t xml:space="preserve"> affect its utility</w:t>
      </w:r>
      <w:bookmarkEnd w:id="2"/>
      <w:proofErr w:type="gramEnd"/>
      <w:r w:rsidR="00A52EA2" w:rsidRPr="00D7648A">
        <w:rPr>
          <w:rFonts w:ascii="Garamond" w:hAnsi="Garamond"/>
          <w:sz w:val="22"/>
          <w:szCs w:val="22"/>
        </w:rPr>
        <w:t>. First among these is that while</w:t>
      </w:r>
      <w:r w:rsidR="00942609" w:rsidRPr="00D7648A">
        <w:rPr>
          <w:rFonts w:ascii="Garamond" w:hAnsi="Garamond"/>
          <w:sz w:val="22"/>
          <w:szCs w:val="22"/>
        </w:rPr>
        <w:t xml:space="preserve"> </w:t>
      </w:r>
      <w:r w:rsidR="005F3F1B" w:rsidRPr="00D7648A">
        <w:rPr>
          <w:rFonts w:ascii="Garamond" w:hAnsi="Garamond"/>
          <w:sz w:val="22"/>
          <w:szCs w:val="22"/>
        </w:rPr>
        <w:t xml:space="preserve">over 100 UTx </w:t>
      </w:r>
      <w:r w:rsidR="00346A75" w:rsidRPr="00D7648A">
        <w:rPr>
          <w:rFonts w:ascii="Garamond" w:hAnsi="Garamond"/>
          <w:sz w:val="22"/>
          <w:szCs w:val="22"/>
        </w:rPr>
        <w:t>procedures</w:t>
      </w:r>
      <w:r w:rsidR="005F3F1B" w:rsidRPr="00D7648A">
        <w:rPr>
          <w:rFonts w:ascii="Garamond" w:hAnsi="Garamond"/>
          <w:sz w:val="22"/>
          <w:szCs w:val="22"/>
        </w:rPr>
        <w:t xml:space="preserve"> have been performed worldwide, the number of teams sharing data with the registry is limited</w:t>
      </w:r>
      <w:r w:rsidR="00346A75" w:rsidRPr="00D7648A">
        <w:rPr>
          <w:rFonts w:ascii="Garamond" w:hAnsi="Garamond"/>
          <w:sz w:val="22"/>
          <w:szCs w:val="22"/>
        </w:rPr>
        <w:t>. As of the registry’s first report in 2022, for example, only 45 cases</w:t>
      </w:r>
      <w:r w:rsidR="002C06D1" w:rsidRPr="00D7648A">
        <w:rPr>
          <w:rFonts w:ascii="Garamond" w:hAnsi="Garamond"/>
          <w:sz w:val="22"/>
          <w:szCs w:val="22"/>
        </w:rPr>
        <w:t>, from thirteen centres performing UTx</w:t>
      </w:r>
      <w:r w:rsidR="00346A75" w:rsidRPr="00D7648A">
        <w:rPr>
          <w:rFonts w:ascii="Garamond" w:hAnsi="Garamond"/>
          <w:sz w:val="22"/>
          <w:szCs w:val="22"/>
        </w:rPr>
        <w:t xml:space="preserve"> had been registered</w:t>
      </w:r>
      <w:r w:rsidR="001223E0" w:rsidRPr="00D7648A">
        <w:rPr>
          <w:rFonts w:ascii="Garamond" w:hAnsi="Garamond"/>
          <w:sz w:val="22"/>
          <w:szCs w:val="22"/>
        </w:rPr>
        <w:t>, with the report’s authors noting their awareness of “</w:t>
      </w:r>
      <w:r w:rsidR="001223E0" w:rsidRPr="00D7648A">
        <w:rPr>
          <w:rFonts w:ascii="Garamond" w:hAnsi="Garamond" w:cs="Times New Roman"/>
          <w:sz w:val="22"/>
          <w:szCs w:val="22"/>
        </w:rPr>
        <w:t>&gt;25 additional UTx procedures from teams based in the United States, India, Turkey and Saudi Arabia that have so far not registered their cases.”</w:t>
      </w:r>
      <w:r w:rsidR="001223E0" w:rsidRPr="00D7648A">
        <w:rPr>
          <w:rStyle w:val="FootnoteReference"/>
          <w:rFonts w:ascii="Garamond" w:hAnsi="Garamond" w:cs="Times New Roman"/>
          <w:sz w:val="22"/>
          <w:szCs w:val="22"/>
        </w:rPr>
        <w:footnoteReference w:id="40"/>
      </w:r>
      <w:r w:rsidR="00EA0C2B" w:rsidRPr="00D7648A">
        <w:rPr>
          <w:rFonts w:ascii="Garamond" w:hAnsi="Garamond" w:cs="Times New Roman"/>
          <w:sz w:val="22"/>
          <w:szCs w:val="22"/>
        </w:rPr>
        <w:t xml:space="preserve"> </w:t>
      </w:r>
      <w:r w:rsidR="008D3AE2" w:rsidRPr="00C96D58">
        <w:rPr>
          <w:rFonts w:ascii="Garamond" w:hAnsi="Garamond" w:cs="Times New Roman"/>
          <w:sz w:val="22"/>
          <w:szCs w:val="22"/>
        </w:rPr>
        <w:t>While the reasons underpinning this relatively low data deposit rate are</w:t>
      </w:r>
      <w:r w:rsidR="114EF8AE" w:rsidRPr="00C96D58">
        <w:rPr>
          <w:rFonts w:ascii="Garamond" w:hAnsi="Garamond" w:cs="Times New Roman"/>
          <w:sz w:val="22"/>
          <w:szCs w:val="22"/>
        </w:rPr>
        <w:t xml:space="preserve"> currently unclear and will differ significantly from state to state</w:t>
      </w:r>
      <w:r w:rsidR="008D3AE2" w:rsidRPr="00C96D58">
        <w:rPr>
          <w:rFonts w:ascii="Garamond" w:hAnsi="Garamond" w:cs="Times New Roman"/>
          <w:sz w:val="22"/>
          <w:szCs w:val="22"/>
        </w:rPr>
        <w:t>, potential causes include</w:t>
      </w:r>
      <w:r w:rsidR="03F56721" w:rsidRPr="00C96D58">
        <w:rPr>
          <w:rFonts w:ascii="Garamond" w:hAnsi="Garamond" w:cs="Times New Roman"/>
          <w:sz w:val="22"/>
          <w:szCs w:val="22"/>
        </w:rPr>
        <w:t xml:space="preserve">: </w:t>
      </w:r>
    </w:p>
    <w:p w14:paraId="17549C76" w14:textId="77777777" w:rsidR="0082193E" w:rsidRPr="00C96D58" w:rsidRDefault="0082193E" w:rsidP="712C3CAC">
      <w:pPr>
        <w:autoSpaceDE w:val="0"/>
        <w:autoSpaceDN w:val="0"/>
        <w:adjustRightInd w:val="0"/>
        <w:jc w:val="both"/>
        <w:rPr>
          <w:rFonts w:ascii="Garamond" w:hAnsi="Garamond" w:cs="Times New Roman"/>
          <w:sz w:val="22"/>
          <w:szCs w:val="22"/>
        </w:rPr>
      </w:pPr>
    </w:p>
    <w:p w14:paraId="5238F5F3" w14:textId="0A613ECC" w:rsidR="009F57DD" w:rsidRPr="00C96D58" w:rsidRDefault="008D3AE2" w:rsidP="712C3CAC">
      <w:pPr>
        <w:pStyle w:val="ListParagraph"/>
        <w:numPr>
          <w:ilvl w:val="0"/>
          <w:numId w:val="1"/>
        </w:numPr>
        <w:autoSpaceDE w:val="0"/>
        <w:autoSpaceDN w:val="0"/>
        <w:adjustRightInd w:val="0"/>
        <w:jc w:val="both"/>
        <w:rPr>
          <w:rFonts w:ascii="Garamond" w:hAnsi="Garamond"/>
          <w:sz w:val="22"/>
          <w:szCs w:val="22"/>
        </w:rPr>
      </w:pPr>
      <w:r w:rsidRPr="00C96D58">
        <w:rPr>
          <w:rFonts w:ascii="Garamond" w:hAnsi="Garamond" w:cs="Times New Roman"/>
          <w:sz w:val="22"/>
          <w:szCs w:val="22"/>
        </w:rPr>
        <w:t xml:space="preserve"> </w:t>
      </w:r>
      <w:r w:rsidR="7703F129" w:rsidRPr="00C96D58">
        <w:rPr>
          <w:rFonts w:ascii="Garamond" w:hAnsi="Garamond" w:cs="Times New Roman"/>
          <w:sz w:val="22"/>
          <w:szCs w:val="22"/>
        </w:rPr>
        <w:t>L</w:t>
      </w:r>
      <w:r w:rsidR="00346A75" w:rsidRPr="00C96D58">
        <w:rPr>
          <w:rFonts w:ascii="Garamond" w:hAnsi="Garamond"/>
          <w:sz w:val="22"/>
          <w:szCs w:val="22"/>
        </w:rPr>
        <w:t>egal</w:t>
      </w:r>
      <w:r w:rsidR="002C06D1" w:rsidRPr="00C96D58">
        <w:rPr>
          <w:rFonts w:ascii="Garamond" w:hAnsi="Garamond"/>
          <w:sz w:val="22"/>
          <w:szCs w:val="22"/>
        </w:rPr>
        <w:t>/jurisdictional</w:t>
      </w:r>
      <w:r w:rsidR="00346A75" w:rsidRPr="00C96D58">
        <w:rPr>
          <w:rFonts w:ascii="Garamond" w:hAnsi="Garamond"/>
          <w:sz w:val="22"/>
          <w:szCs w:val="22"/>
        </w:rPr>
        <w:t xml:space="preserve"> difficulties </w:t>
      </w:r>
      <w:r w:rsidR="00517424" w:rsidRPr="00C96D58">
        <w:rPr>
          <w:rFonts w:ascii="Garamond" w:hAnsi="Garamond"/>
          <w:sz w:val="22"/>
          <w:szCs w:val="22"/>
        </w:rPr>
        <w:t xml:space="preserve">associated with </w:t>
      </w:r>
      <w:r w:rsidR="00346A75" w:rsidRPr="00C96D58">
        <w:rPr>
          <w:rFonts w:ascii="Garamond" w:hAnsi="Garamond"/>
          <w:sz w:val="22"/>
          <w:szCs w:val="22"/>
        </w:rPr>
        <w:t>sharing data across borders (both within and outside of Europe</w:t>
      </w:r>
      <w:proofErr w:type="gramStart"/>
      <w:r w:rsidR="00346A75" w:rsidRPr="00C96D58">
        <w:rPr>
          <w:rFonts w:ascii="Garamond" w:hAnsi="Garamond"/>
          <w:sz w:val="22"/>
          <w:szCs w:val="22"/>
        </w:rPr>
        <w:t>)</w:t>
      </w:r>
      <w:r w:rsidR="2A37B96D" w:rsidRPr="00C96D58">
        <w:rPr>
          <w:rFonts w:ascii="Garamond" w:hAnsi="Garamond"/>
          <w:sz w:val="22"/>
          <w:szCs w:val="22"/>
        </w:rPr>
        <w:t>;</w:t>
      </w:r>
      <w:proofErr w:type="gramEnd"/>
    </w:p>
    <w:p w14:paraId="01985110" w14:textId="5BE8C0B6" w:rsidR="009F57DD" w:rsidRPr="00C96D58" w:rsidRDefault="45D603AC" w:rsidP="712C3CAC">
      <w:pPr>
        <w:pStyle w:val="ListParagraph"/>
        <w:numPr>
          <w:ilvl w:val="0"/>
          <w:numId w:val="1"/>
        </w:numPr>
        <w:autoSpaceDE w:val="0"/>
        <w:autoSpaceDN w:val="0"/>
        <w:adjustRightInd w:val="0"/>
        <w:jc w:val="both"/>
        <w:rPr>
          <w:rFonts w:ascii="Garamond" w:hAnsi="Garamond"/>
          <w:sz w:val="22"/>
          <w:szCs w:val="22"/>
        </w:rPr>
      </w:pPr>
      <w:r w:rsidRPr="00C96D58">
        <w:rPr>
          <w:rFonts w:ascii="Garamond" w:hAnsi="Garamond"/>
          <w:sz w:val="22"/>
          <w:szCs w:val="22"/>
        </w:rPr>
        <w:t>U</w:t>
      </w:r>
      <w:r w:rsidR="0E98C311" w:rsidRPr="00C96D58">
        <w:rPr>
          <w:rFonts w:ascii="Garamond" w:hAnsi="Garamond"/>
          <w:sz w:val="22"/>
          <w:szCs w:val="22"/>
        </w:rPr>
        <w:t>ncertainty among researchers regarding the requirements of complex privacy laws (such as HIPAA in the US and GDPR in the EU)</w:t>
      </w:r>
      <w:r w:rsidR="04488A57" w:rsidRPr="00C96D58">
        <w:rPr>
          <w:rFonts w:ascii="Garamond" w:hAnsi="Garamond"/>
          <w:sz w:val="22"/>
          <w:szCs w:val="22"/>
        </w:rPr>
        <w:t>;</w:t>
      </w:r>
      <w:r w:rsidR="0008362A" w:rsidRPr="00C96D58">
        <w:rPr>
          <w:rFonts w:ascii="Garamond" w:hAnsi="Garamond"/>
          <w:sz w:val="22"/>
          <w:szCs w:val="22"/>
        </w:rPr>
        <w:t xml:space="preserve"> and/or</w:t>
      </w:r>
    </w:p>
    <w:p w14:paraId="69B454D5" w14:textId="6ABB2473" w:rsidR="009F57DD" w:rsidRPr="00C96D58" w:rsidRDefault="23A1C0A2" w:rsidP="712C3CAC">
      <w:pPr>
        <w:pStyle w:val="ListParagraph"/>
        <w:numPr>
          <w:ilvl w:val="0"/>
          <w:numId w:val="1"/>
        </w:numPr>
        <w:autoSpaceDE w:val="0"/>
        <w:autoSpaceDN w:val="0"/>
        <w:adjustRightInd w:val="0"/>
        <w:jc w:val="both"/>
        <w:rPr>
          <w:rFonts w:ascii="Garamond" w:hAnsi="Garamond"/>
          <w:sz w:val="22"/>
          <w:szCs w:val="22"/>
        </w:rPr>
      </w:pPr>
      <w:r w:rsidRPr="00C96D58">
        <w:rPr>
          <w:rFonts w:ascii="Garamond" w:hAnsi="Garamond"/>
          <w:sz w:val="22"/>
          <w:szCs w:val="22"/>
        </w:rPr>
        <w:t>L</w:t>
      </w:r>
      <w:r w:rsidR="0008362A" w:rsidRPr="00C96D58">
        <w:rPr>
          <w:rFonts w:ascii="Garamond" w:hAnsi="Garamond"/>
          <w:sz w:val="22"/>
          <w:szCs w:val="22"/>
        </w:rPr>
        <w:t>ow levels of professional confidence/trust in the registry from researchers who may prove unwilling to share data if</w:t>
      </w:r>
      <w:r w:rsidR="25E2A6AF" w:rsidRPr="00C96D58">
        <w:rPr>
          <w:rFonts w:ascii="Garamond" w:hAnsi="Garamond"/>
          <w:sz w:val="22"/>
          <w:szCs w:val="22"/>
        </w:rPr>
        <w:t>:</w:t>
      </w:r>
      <w:r w:rsidR="0008362A" w:rsidRPr="00C96D58">
        <w:rPr>
          <w:rFonts w:ascii="Garamond" w:hAnsi="Garamond"/>
          <w:sz w:val="22"/>
          <w:szCs w:val="22"/>
        </w:rPr>
        <w:t xml:space="preserve"> they </w:t>
      </w:r>
      <w:r w:rsidR="006A45E9" w:rsidRPr="00C96D58">
        <w:rPr>
          <w:rFonts w:ascii="Garamond" w:hAnsi="Garamond"/>
          <w:sz w:val="22"/>
          <w:szCs w:val="22"/>
        </w:rPr>
        <w:t xml:space="preserve">are not persuaded of the registry’s utility, have concerns about registry oversight/management, and/or disagree with the data sharing policies adopted by the registry.  </w:t>
      </w:r>
      <w:r w:rsidR="0B6C946C" w:rsidRPr="00C96D58">
        <w:rPr>
          <w:rFonts w:ascii="Garamond" w:hAnsi="Garamond"/>
          <w:sz w:val="22"/>
          <w:szCs w:val="22"/>
        </w:rPr>
        <w:t xml:space="preserve"> </w:t>
      </w:r>
    </w:p>
    <w:p w14:paraId="657DC9C5" w14:textId="2D0EC3C8" w:rsidR="009F57DD" w:rsidRPr="00C96D58" w:rsidRDefault="009F57DD" w:rsidP="712C3CAC">
      <w:pPr>
        <w:autoSpaceDE w:val="0"/>
        <w:autoSpaceDN w:val="0"/>
        <w:adjustRightInd w:val="0"/>
        <w:jc w:val="both"/>
        <w:rPr>
          <w:rFonts w:ascii="Garamond" w:hAnsi="Garamond"/>
          <w:sz w:val="22"/>
          <w:szCs w:val="22"/>
        </w:rPr>
      </w:pPr>
    </w:p>
    <w:p w14:paraId="6657DE2D" w14:textId="453E81D9" w:rsidR="009F57DD" w:rsidRPr="00C96D58" w:rsidRDefault="5F866DFD" w:rsidP="712C3CAC">
      <w:pPr>
        <w:autoSpaceDE w:val="0"/>
        <w:autoSpaceDN w:val="0"/>
        <w:adjustRightInd w:val="0"/>
        <w:jc w:val="both"/>
        <w:rPr>
          <w:rFonts w:ascii="Garamond" w:eastAsia="Garamond" w:hAnsi="Garamond" w:cs="Garamond"/>
          <w:sz w:val="22"/>
          <w:szCs w:val="22"/>
        </w:rPr>
      </w:pPr>
      <w:r w:rsidRPr="00C96D58">
        <w:rPr>
          <w:rFonts w:ascii="Garamond" w:hAnsi="Garamond"/>
          <w:sz w:val="22"/>
          <w:szCs w:val="22"/>
        </w:rPr>
        <w:t>These problems are not unique to the context of uterine transplantation with low data deposit rates constituting an issue for</w:t>
      </w:r>
      <w:r w:rsidR="18D0EECA" w:rsidRPr="00C96D58">
        <w:rPr>
          <w:rFonts w:ascii="Garamond" w:hAnsi="Garamond"/>
          <w:sz w:val="22"/>
          <w:szCs w:val="22"/>
        </w:rPr>
        <w:t xml:space="preserve"> the majority</w:t>
      </w:r>
      <w:r w:rsidR="0082193E">
        <w:rPr>
          <w:rFonts w:ascii="Garamond" w:hAnsi="Garamond"/>
          <w:sz w:val="22"/>
          <w:szCs w:val="22"/>
        </w:rPr>
        <w:t xml:space="preserve"> of</w:t>
      </w:r>
      <w:r w:rsidR="18D0EECA" w:rsidRPr="00C96D58">
        <w:rPr>
          <w:rFonts w:ascii="Garamond" w:hAnsi="Garamond"/>
          <w:sz w:val="22"/>
          <w:szCs w:val="22"/>
        </w:rPr>
        <w:t xml:space="preserve"> (if not all)</w:t>
      </w:r>
      <w:r w:rsidRPr="00C96D58">
        <w:rPr>
          <w:rFonts w:ascii="Garamond" w:hAnsi="Garamond"/>
          <w:sz w:val="22"/>
          <w:szCs w:val="22"/>
        </w:rPr>
        <w:t xml:space="preserve"> </w:t>
      </w:r>
      <w:r w:rsidR="4D5B0F15" w:rsidRPr="00C96D58">
        <w:rPr>
          <w:rFonts w:ascii="Garamond" w:hAnsi="Garamond"/>
          <w:sz w:val="22"/>
          <w:szCs w:val="22"/>
        </w:rPr>
        <w:t>health</w:t>
      </w:r>
      <w:r w:rsidRPr="00C96D58">
        <w:rPr>
          <w:rFonts w:ascii="Garamond" w:hAnsi="Garamond"/>
          <w:sz w:val="22"/>
          <w:szCs w:val="22"/>
        </w:rPr>
        <w:t xml:space="preserve"> registries. For example, </w:t>
      </w:r>
      <w:r w:rsidR="23B452C8" w:rsidRPr="00C96D58">
        <w:rPr>
          <w:rFonts w:ascii="Garamond" w:hAnsi="Garamond"/>
          <w:sz w:val="22"/>
          <w:szCs w:val="22"/>
        </w:rPr>
        <w:t>the International Registry on Hand and Composite Tissue Transplantation</w:t>
      </w:r>
      <w:r w:rsidR="56EDD41E" w:rsidRPr="00C96D58">
        <w:rPr>
          <w:rFonts w:ascii="Garamond" w:hAnsi="Garamond"/>
          <w:sz w:val="22"/>
          <w:szCs w:val="22"/>
        </w:rPr>
        <w:t xml:space="preserve"> </w:t>
      </w:r>
      <w:r w:rsidR="03556E5D" w:rsidRPr="00C96D58">
        <w:rPr>
          <w:rFonts w:ascii="Garamond" w:hAnsi="Garamond"/>
          <w:sz w:val="22"/>
          <w:szCs w:val="22"/>
        </w:rPr>
        <w:t>has also faced difficulties com</w:t>
      </w:r>
      <w:r w:rsidR="76B81D2C" w:rsidRPr="00C96D58">
        <w:rPr>
          <w:rFonts w:ascii="Garamond" w:hAnsi="Garamond"/>
          <w:sz w:val="22"/>
          <w:szCs w:val="22"/>
        </w:rPr>
        <w:t>p</w:t>
      </w:r>
      <w:r w:rsidR="03556E5D" w:rsidRPr="00C96D58">
        <w:rPr>
          <w:rFonts w:ascii="Garamond" w:hAnsi="Garamond"/>
          <w:sz w:val="22"/>
          <w:szCs w:val="22"/>
        </w:rPr>
        <w:t xml:space="preserve">iling complete data sets </w:t>
      </w:r>
      <w:r w:rsidR="3F5D12B8" w:rsidRPr="00C96D58">
        <w:rPr>
          <w:rFonts w:ascii="Garamond" w:hAnsi="Garamond"/>
          <w:sz w:val="22"/>
          <w:szCs w:val="22"/>
        </w:rPr>
        <w:t>due to a</w:t>
      </w:r>
      <w:r w:rsidR="23B452C8" w:rsidRPr="00C96D58">
        <w:rPr>
          <w:rFonts w:ascii="Garamond" w:hAnsi="Garamond"/>
          <w:sz w:val="22"/>
          <w:szCs w:val="22"/>
        </w:rPr>
        <w:t xml:space="preserve"> </w:t>
      </w:r>
      <w:r w:rsidR="6B3CF5AE" w:rsidRPr="00C96D58">
        <w:rPr>
          <w:rFonts w:ascii="Garamond" w:hAnsi="Garamond"/>
          <w:sz w:val="22"/>
          <w:szCs w:val="22"/>
        </w:rPr>
        <w:t>“</w:t>
      </w:r>
      <w:r w:rsidR="23B452C8" w:rsidRPr="00C96D58">
        <w:rPr>
          <w:rFonts w:ascii="Garamond" w:eastAsia="Garamond" w:hAnsi="Garamond" w:cs="Garamond"/>
          <w:sz w:val="22"/>
          <w:szCs w:val="22"/>
        </w:rPr>
        <w:t>lack of data submission or incomplete data submission from different teams</w:t>
      </w:r>
      <w:r w:rsidR="699D6528" w:rsidRPr="00C96D58">
        <w:rPr>
          <w:rFonts w:ascii="Garamond" w:eastAsia="Garamond" w:hAnsi="Garamond" w:cs="Garamond"/>
          <w:sz w:val="22"/>
          <w:szCs w:val="22"/>
        </w:rPr>
        <w:t>.</w:t>
      </w:r>
      <w:r w:rsidR="4BF919BF" w:rsidRPr="00C96D58">
        <w:rPr>
          <w:rFonts w:ascii="Garamond" w:eastAsia="Garamond" w:hAnsi="Garamond" w:cs="Garamond"/>
          <w:sz w:val="22"/>
          <w:szCs w:val="22"/>
        </w:rPr>
        <w:t>”</w:t>
      </w:r>
      <w:r w:rsidR="00100941" w:rsidRPr="00C96D58">
        <w:rPr>
          <w:rStyle w:val="FootnoteReference"/>
          <w:rFonts w:ascii="Garamond" w:eastAsia="Garamond" w:hAnsi="Garamond" w:cs="Garamond"/>
          <w:sz w:val="22"/>
          <w:szCs w:val="22"/>
        </w:rPr>
        <w:footnoteReference w:id="41"/>
      </w:r>
    </w:p>
    <w:p w14:paraId="2273CE26" w14:textId="4C007F0D" w:rsidR="009F57DD" w:rsidRPr="00D7648A" w:rsidRDefault="009F57DD" w:rsidP="712C3CAC">
      <w:pPr>
        <w:autoSpaceDE w:val="0"/>
        <w:autoSpaceDN w:val="0"/>
        <w:adjustRightInd w:val="0"/>
        <w:jc w:val="both"/>
        <w:rPr>
          <w:rFonts w:ascii="Garamond" w:hAnsi="Garamond"/>
          <w:sz w:val="22"/>
          <w:szCs w:val="22"/>
        </w:rPr>
      </w:pPr>
    </w:p>
    <w:p w14:paraId="023575EC" w14:textId="4BADC29A" w:rsidR="009F57DD" w:rsidRPr="00D7648A" w:rsidRDefault="006A45E9" w:rsidP="712C3CAC">
      <w:pPr>
        <w:autoSpaceDE w:val="0"/>
        <w:autoSpaceDN w:val="0"/>
        <w:adjustRightInd w:val="0"/>
        <w:jc w:val="both"/>
        <w:rPr>
          <w:rFonts w:ascii="Garamond" w:hAnsi="Garamond"/>
          <w:sz w:val="22"/>
          <w:szCs w:val="22"/>
        </w:rPr>
      </w:pPr>
      <w:r w:rsidRPr="00D7648A">
        <w:rPr>
          <w:rFonts w:ascii="Garamond" w:hAnsi="Garamond"/>
          <w:sz w:val="22"/>
          <w:szCs w:val="22"/>
        </w:rPr>
        <w:t xml:space="preserve">A second </w:t>
      </w:r>
      <w:r w:rsidR="00557776" w:rsidRPr="00D7648A">
        <w:rPr>
          <w:rFonts w:ascii="Garamond" w:hAnsi="Garamond"/>
          <w:sz w:val="22"/>
          <w:szCs w:val="22"/>
        </w:rPr>
        <w:t>challenge</w:t>
      </w:r>
      <w:r w:rsidR="005653C8" w:rsidRPr="00D7648A">
        <w:rPr>
          <w:rFonts w:ascii="Garamond" w:hAnsi="Garamond"/>
          <w:sz w:val="22"/>
          <w:szCs w:val="22"/>
        </w:rPr>
        <w:t xml:space="preserve"> which we have discussed at length elsewhere</w:t>
      </w:r>
      <w:r w:rsidR="005653C8" w:rsidRPr="00D7648A">
        <w:rPr>
          <w:rStyle w:val="FootnoteReference"/>
          <w:rFonts w:ascii="Garamond" w:hAnsi="Garamond"/>
          <w:sz w:val="22"/>
          <w:szCs w:val="22"/>
        </w:rPr>
        <w:footnoteReference w:id="42"/>
      </w:r>
      <w:r w:rsidRPr="00D7648A">
        <w:rPr>
          <w:rFonts w:ascii="Garamond" w:hAnsi="Garamond"/>
          <w:sz w:val="22"/>
          <w:szCs w:val="22"/>
        </w:rPr>
        <w:t xml:space="preserve"> </w:t>
      </w:r>
      <w:r w:rsidR="004246DF" w:rsidRPr="00D7648A">
        <w:rPr>
          <w:rFonts w:ascii="Garamond" w:hAnsi="Garamond"/>
          <w:sz w:val="22"/>
          <w:szCs w:val="22"/>
        </w:rPr>
        <w:t xml:space="preserve">regards the design of the registry and the datasets </w:t>
      </w:r>
      <w:r w:rsidR="00117750" w:rsidRPr="00D7648A">
        <w:rPr>
          <w:rFonts w:ascii="Garamond" w:hAnsi="Garamond"/>
          <w:sz w:val="22"/>
          <w:szCs w:val="22"/>
        </w:rPr>
        <w:t>collected which, while discussed by members of the ISUTx during meetings prior to release, track neither</w:t>
      </w:r>
      <w:r w:rsidR="29698B30" w:rsidRPr="00D7648A">
        <w:rPr>
          <w:rFonts w:ascii="Garamond" w:hAnsi="Garamond"/>
          <w:sz w:val="22"/>
          <w:szCs w:val="22"/>
        </w:rPr>
        <w:t xml:space="preserve"> the</w:t>
      </w:r>
      <w:r w:rsidR="00117750" w:rsidRPr="00D7648A">
        <w:rPr>
          <w:rFonts w:ascii="Garamond" w:hAnsi="Garamond"/>
          <w:sz w:val="22"/>
          <w:szCs w:val="22"/>
        </w:rPr>
        <w:t xml:space="preserve"> psychological</w:t>
      </w:r>
      <w:r w:rsidR="00557776" w:rsidRPr="00D7648A">
        <w:rPr>
          <w:rFonts w:ascii="Garamond" w:hAnsi="Garamond"/>
          <w:sz w:val="22"/>
          <w:szCs w:val="22"/>
        </w:rPr>
        <w:t xml:space="preserve"> effects of UTx for donors and recipients or </w:t>
      </w:r>
      <w:r w:rsidR="14B688E8" w:rsidRPr="00D7648A">
        <w:rPr>
          <w:rFonts w:ascii="Garamond" w:hAnsi="Garamond"/>
          <w:sz w:val="22"/>
          <w:szCs w:val="22"/>
        </w:rPr>
        <w:t>long-term</w:t>
      </w:r>
      <w:r w:rsidR="00557776" w:rsidRPr="00D7648A">
        <w:rPr>
          <w:rFonts w:ascii="Garamond" w:hAnsi="Garamond"/>
          <w:sz w:val="22"/>
          <w:szCs w:val="22"/>
        </w:rPr>
        <w:t xml:space="preserve"> outcomes for children born through UTx despite the fact that a lack of data regarding such outcomes has contributed significantly to a lack of acceptance of other </w:t>
      </w:r>
      <w:r w:rsidR="59F0B66D" w:rsidRPr="00D7648A">
        <w:rPr>
          <w:rFonts w:ascii="Garamond" w:hAnsi="Garamond"/>
          <w:sz w:val="22"/>
          <w:szCs w:val="22"/>
        </w:rPr>
        <w:t xml:space="preserve">assisted reproductive technologies </w:t>
      </w:r>
      <w:r w:rsidR="00557776" w:rsidRPr="00D7648A">
        <w:rPr>
          <w:rFonts w:ascii="Garamond" w:hAnsi="Garamond"/>
          <w:sz w:val="22"/>
          <w:szCs w:val="22"/>
        </w:rPr>
        <w:t>(such as surrogacy) in many nations worldwide.</w:t>
      </w:r>
      <w:r w:rsidR="00FD6C10" w:rsidRPr="00D7648A">
        <w:rPr>
          <w:rFonts w:ascii="Garamond" w:hAnsi="Garamond"/>
          <w:sz w:val="22"/>
          <w:szCs w:val="22"/>
        </w:rPr>
        <w:t xml:space="preserve"> </w:t>
      </w:r>
      <w:r w:rsidR="00557776" w:rsidRPr="00D7648A">
        <w:rPr>
          <w:rFonts w:ascii="Garamond" w:hAnsi="Garamond"/>
          <w:sz w:val="22"/>
          <w:szCs w:val="22"/>
        </w:rPr>
        <w:t>Indeed, as can be seen in supplementary content provided in the 1</w:t>
      </w:r>
      <w:r w:rsidR="00557776" w:rsidRPr="00D7648A">
        <w:rPr>
          <w:rFonts w:ascii="Garamond" w:hAnsi="Garamond"/>
          <w:sz w:val="22"/>
          <w:szCs w:val="22"/>
          <w:vertAlign w:val="superscript"/>
        </w:rPr>
        <w:t>st</w:t>
      </w:r>
      <w:r w:rsidR="00557776" w:rsidRPr="00D7648A">
        <w:rPr>
          <w:rFonts w:ascii="Garamond" w:hAnsi="Garamond"/>
          <w:sz w:val="22"/>
          <w:szCs w:val="22"/>
        </w:rPr>
        <w:t xml:space="preserve"> annual report of the registry, data</w:t>
      </w:r>
      <w:r w:rsidR="004E7F63" w:rsidRPr="00D7648A">
        <w:rPr>
          <w:rFonts w:ascii="Garamond" w:hAnsi="Garamond"/>
          <w:sz w:val="22"/>
          <w:szCs w:val="22"/>
        </w:rPr>
        <w:t xml:space="preserve"> on recipients, donors and children created through UTx are only collected </w:t>
      </w:r>
      <w:r w:rsidR="00883AC6" w:rsidRPr="00D7648A">
        <w:rPr>
          <w:rFonts w:ascii="Garamond" w:hAnsi="Garamond"/>
          <w:sz w:val="22"/>
          <w:szCs w:val="22"/>
        </w:rPr>
        <w:t>for up to three months post uterus removal (recipient).</w:t>
      </w:r>
      <w:r w:rsidR="00557776" w:rsidRPr="00D7648A">
        <w:rPr>
          <w:rStyle w:val="FootnoteReference"/>
          <w:rFonts w:ascii="Garamond" w:hAnsi="Garamond"/>
          <w:sz w:val="22"/>
          <w:szCs w:val="22"/>
        </w:rPr>
        <w:footnoteReference w:id="43"/>
      </w:r>
      <w:r w:rsidR="00557776" w:rsidRPr="00D7648A">
        <w:rPr>
          <w:rFonts w:ascii="Garamond" w:hAnsi="Garamond"/>
          <w:sz w:val="22"/>
          <w:szCs w:val="22"/>
        </w:rPr>
        <w:t xml:space="preserve"> </w:t>
      </w:r>
      <w:r w:rsidR="00FE650C" w:rsidRPr="00D7648A">
        <w:rPr>
          <w:rFonts w:ascii="Garamond" w:hAnsi="Garamond"/>
          <w:sz w:val="22"/>
          <w:szCs w:val="22"/>
        </w:rPr>
        <w:t>A third challenge relates to a lack of transparency on the part of the registry, which has been</w:t>
      </w:r>
      <w:r w:rsidR="00883AC6" w:rsidRPr="00D7648A">
        <w:rPr>
          <w:rFonts w:ascii="Garamond" w:hAnsi="Garamond"/>
          <w:sz w:val="22"/>
          <w:szCs w:val="22"/>
        </w:rPr>
        <w:t xml:space="preserve"> both</w:t>
      </w:r>
      <w:r w:rsidR="00FE650C" w:rsidRPr="00D7648A">
        <w:rPr>
          <w:rFonts w:ascii="Garamond" w:hAnsi="Garamond"/>
          <w:sz w:val="22"/>
          <w:szCs w:val="22"/>
        </w:rPr>
        <w:t xml:space="preserve"> slow to publish reports on</w:t>
      </w:r>
      <w:r w:rsidR="00883AC6" w:rsidRPr="00D7648A">
        <w:rPr>
          <w:rFonts w:ascii="Garamond" w:hAnsi="Garamond"/>
          <w:sz w:val="22"/>
          <w:szCs w:val="22"/>
        </w:rPr>
        <w:t xml:space="preserve"> the data deposited, and</w:t>
      </w:r>
      <w:r w:rsidR="00100941" w:rsidRPr="00D7648A">
        <w:rPr>
          <w:rFonts w:ascii="Garamond" w:hAnsi="Garamond"/>
          <w:sz w:val="22"/>
          <w:szCs w:val="22"/>
        </w:rPr>
        <w:t xml:space="preserve"> for which</w:t>
      </w:r>
      <w:r w:rsidR="00883AC6" w:rsidRPr="00D7648A">
        <w:rPr>
          <w:rFonts w:ascii="Garamond" w:hAnsi="Garamond"/>
          <w:sz w:val="22"/>
          <w:szCs w:val="22"/>
        </w:rPr>
        <w:t xml:space="preserve"> information regarding registry management and oversight, and </w:t>
      </w:r>
      <w:r w:rsidR="449E5C0E" w:rsidRPr="00D7648A">
        <w:rPr>
          <w:rFonts w:ascii="Garamond" w:hAnsi="Garamond"/>
          <w:sz w:val="22"/>
          <w:szCs w:val="22"/>
        </w:rPr>
        <w:t xml:space="preserve">policies </w:t>
      </w:r>
      <w:r w:rsidR="1B3C559D" w:rsidRPr="00D7648A">
        <w:rPr>
          <w:rFonts w:ascii="Garamond" w:hAnsi="Garamond"/>
          <w:sz w:val="22"/>
          <w:szCs w:val="22"/>
        </w:rPr>
        <w:t>regarding researcher</w:t>
      </w:r>
      <w:r w:rsidR="00100941" w:rsidRPr="00D7648A">
        <w:rPr>
          <w:rFonts w:ascii="Garamond" w:hAnsi="Garamond"/>
          <w:sz w:val="22"/>
          <w:szCs w:val="22"/>
        </w:rPr>
        <w:t xml:space="preserve"> applications to</w:t>
      </w:r>
      <w:r w:rsidR="00883AC6" w:rsidRPr="00D7648A">
        <w:rPr>
          <w:rFonts w:ascii="Garamond" w:hAnsi="Garamond"/>
          <w:sz w:val="22"/>
          <w:szCs w:val="22"/>
        </w:rPr>
        <w:t xml:space="preserve"> access registry data</w:t>
      </w:r>
      <w:r w:rsidR="00100941" w:rsidRPr="00D7648A">
        <w:rPr>
          <w:rFonts w:ascii="Garamond" w:hAnsi="Garamond"/>
          <w:sz w:val="22"/>
          <w:szCs w:val="22"/>
        </w:rPr>
        <w:t xml:space="preserve"> are not publicly available</w:t>
      </w:r>
      <w:r w:rsidR="00883AC6" w:rsidRPr="00D7648A">
        <w:rPr>
          <w:rFonts w:ascii="Garamond" w:hAnsi="Garamond"/>
          <w:sz w:val="22"/>
          <w:szCs w:val="22"/>
        </w:rPr>
        <w:t>.</w:t>
      </w:r>
    </w:p>
    <w:p w14:paraId="086D7F6C" w14:textId="6BBE058F" w:rsidR="00077E87" w:rsidRPr="00D7648A" w:rsidRDefault="00077E87" w:rsidP="00FD6C10">
      <w:pPr>
        <w:autoSpaceDE w:val="0"/>
        <w:autoSpaceDN w:val="0"/>
        <w:adjustRightInd w:val="0"/>
        <w:jc w:val="both"/>
        <w:rPr>
          <w:rFonts w:ascii="Garamond" w:hAnsi="Garamond"/>
          <w:sz w:val="22"/>
          <w:szCs w:val="22"/>
        </w:rPr>
      </w:pPr>
    </w:p>
    <w:p w14:paraId="5D198733" w14:textId="0C587253" w:rsidR="00E07632" w:rsidRPr="00D7648A" w:rsidRDefault="00077E87" w:rsidP="12F20B55">
      <w:pPr>
        <w:pStyle w:val="paragraph"/>
        <w:spacing w:before="0" w:beforeAutospacing="0" w:after="0" w:afterAutospacing="0"/>
        <w:jc w:val="both"/>
        <w:textAlignment w:val="baseline"/>
        <w:rPr>
          <w:rStyle w:val="normaltextrun"/>
          <w:rFonts w:ascii="Garamond" w:hAnsi="Garamond" w:cs="Segoe UI"/>
          <w:sz w:val="22"/>
          <w:szCs w:val="22"/>
        </w:rPr>
      </w:pPr>
      <w:r w:rsidRPr="00D7648A">
        <w:rPr>
          <w:rStyle w:val="normaltextrun"/>
          <w:rFonts w:ascii="Garamond" w:hAnsi="Garamond" w:cs="Segoe UI"/>
          <w:sz w:val="22"/>
          <w:szCs w:val="22"/>
        </w:rPr>
        <w:t>Informal coordinated and informal uncoordinated data sharing activities between researchers</w:t>
      </w:r>
      <w:r w:rsidR="001F7EF2" w:rsidRPr="00D7648A">
        <w:rPr>
          <w:rStyle w:val="normaltextrun"/>
          <w:rFonts w:ascii="Garamond" w:hAnsi="Garamond" w:cs="Segoe UI"/>
          <w:sz w:val="22"/>
          <w:szCs w:val="22"/>
        </w:rPr>
        <w:t xml:space="preserve"> </w:t>
      </w:r>
      <w:r w:rsidRPr="00D7648A">
        <w:rPr>
          <w:rStyle w:val="normaltextrun"/>
          <w:rFonts w:ascii="Garamond" w:hAnsi="Garamond" w:cs="Segoe UI"/>
          <w:sz w:val="22"/>
          <w:szCs w:val="22"/>
        </w:rPr>
        <w:t>are harder to quantify and verify than formal activities, but anecdotal evidence suggests that researchers</w:t>
      </w:r>
      <w:r w:rsidR="001F7EF2" w:rsidRPr="00D7648A">
        <w:rPr>
          <w:rStyle w:val="normaltextrun"/>
          <w:rFonts w:ascii="Garamond" w:hAnsi="Garamond" w:cs="Segoe UI"/>
          <w:sz w:val="22"/>
          <w:szCs w:val="22"/>
        </w:rPr>
        <w:t xml:space="preserve"> (both clinical and non-clinical)</w:t>
      </w:r>
      <w:r w:rsidRPr="00D7648A">
        <w:rPr>
          <w:rStyle w:val="normaltextrun"/>
          <w:rFonts w:ascii="Garamond" w:hAnsi="Garamond" w:cs="Segoe UI"/>
          <w:sz w:val="22"/>
          <w:szCs w:val="22"/>
        </w:rPr>
        <w:t xml:space="preserve"> are highly</w:t>
      </w:r>
      <w:r w:rsidR="006910FD" w:rsidRPr="00D7648A">
        <w:rPr>
          <w:rStyle w:val="normaltextrun"/>
          <w:rFonts w:ascii="Garamond" w:hAnsi="Garamond" w:cs="Segoe UI"/>
          <w:sz w:val="22"/>
          <w:szCs w:val="22"/>
        </w:rPr>
        <w:t xml:space="preserve"> </w:t>
      </w:r>
      <w:r w:rsidRPr="00D7648A">
        <w:rPr>
          <w:rStyle w:val="normaltextrun"/>
          <w:rFonts w:ascii="Garamond" w:hAnsi="Garamond" w:cs="Segoe UI"/>
          <w:sz w:val="22"/>
          <w:szCs w:val="22"/>
        </w:rPr>
        <w:t>likely to discuss and share information regardin</w:t>
      </w:r>
      <w:r w:rsidR="006910FD" w:rsidRPr="00D7648A">
        <w:rPr>
          <w:rStyle w:val="normaltextrun"/>
          <w:rFonts w:ascii="Garamond" w:hAnsi="Garamond" w:cs="Segoe UI"/>
          <w:sz w:val="22"/>
          <w:szCs w:val="22"/>
        </w:rPr>
        <w:t>g UTx</w:t>
      </w:r>
      <w:r w:rsidRPr="00D7648A">
        <w:rPr>
          <w:rStyle w:val="normaltextrun"/>
          <w:rFonts w:ascii="Garamond" w:hAnsi="Garamond" w:cs="Segoe UI"/>
          <w:sz w:val="22"/>
          <w:szCs w:val="22"/>
        </w:rPr>
        <w:t xml:space="preserve"> procedures and outcomes via written and oral correspondence methods either in person (</w:t>
      </w:r>
      <w:r w:rsidR="541DD9B8" w:rsidRPr="00D7648A">
        <w:rPr>
          <w:rStyle w:val="normaltextrun"/>
          <w:rFonts w:ascii="Garamond" w:hAnsi="Garamond" w:cs="Segoe UI"/>
          <w:sz w:val="22"/>
          <w:szCs w:val="22"/>
        </w:rPr>
        <w:t>e.g.,</w:t>
      </w:r>
      <w:r w:rsidRPr="00D7648A">
        <w:rPr>
          <w:rStyle w:val="normaltextrun"/>
          <w:rFonts w:ascii="Garamond" w:hAnsi="Garamond" w:cs="Segoe UI"/>
          <w:sz w:val="22"/>
          <w:szCs w:val="22"/>
        </w:rPr>
        <w:t xml:space="preserve"> at conferences) or remotely (</w:t>
      </w:r>
      <w:r w:rsidR="5D5A59AE" w:rsidRPr="00D7648A">
        <w:rPr>
          <w:rStyle w:val="normaltextrun"/>
          <w:rFonts w:ascii="Garamond" w:hAnsi="Garamond" w:cs="Segoe UI"/>
          <w:sz w:val="22"/>
          <w:szCs w:val="22"/>
        </w:rPr>
        <w:t>e.g.,</w:t>
      </w:r>
      <w:r w:rsidRPr="00D7648A">
        <w:rPr>
          <w:rStyle w:val="normaltextrun"/>
          <w:rFonts w:ascii="Garamond" w:hAnsi="Garamond" w:cs="Segoe UI"/>
          <w:sz w:val="22"/>
          <w:szCs w:val="22"/>
        </w:rPr>
        <w:t xml:space="preserve"> via email correspondence or during online meetings). </w:t>
      </w:r>
      <w:r w:rsidR="001F7EF2" w:rsidRPr="00D7648A">
        <w:rPr>
          <w:rStyle w:val="normaltextrun"/>
          <w:rFonts w:ascii="Garamond" w:hAnsi="Garamond" w:cs="Segoe UI"/>
          <w:sz w:val="22"/>
          <w:szCs w:val="22"/>
        </w:rPr>
        <w:t>Similar activities are also likely to take place between researchers and other stakeholders (such as patients, representatives of patient groups, and policy makers). While the potential value of such activities should not be underestimated in terms of both forwarding research into UTx, and developing fruitful collaborative relationships,</w:t>
      </w:r>
      <w:r w:rsidR="00E07632" w:rsidRPr="00D7648A">
        <w:rPr>
          <w:rStyle w:val="normaltextrun"/>
          <w:rFonts w:ascii="Garamond" w:hAnsi="Garamond" w:cs="Segoe UI"/>
          <w:sz w:val="22"/>
          <w:szCs w:val="22"/>
        </w:rPr>
        <w:t xml:space="preserve"> informal means of data sharing pose a number of risks with respect to data protection and intellectual property legislation where, for example, information discussed is not presented or explained accurately and/or is not properly understood by those who receive such information, and</w:t>
      </w:r>
      <w:r w:rsidR="005348FF" w:rsidRPr="00D7648A">
        <w:rPr>
          <w:rStyle w:val="normaltextrun"/>
          <w:rFonts w:ascii="Garamond" w:hAnsi="Garamond" w:cs="Segoe UI"/>
          <w:sz w:val="22"/>
          <w:szCs w:val="22"/>
        </w:rPr>
        <w:t xml:space="preserve"> where unclear instructions are provided regarding further sharing of the information disclosed/shared. </w:t>
      </w:r>
    </w:p>
    <w:p w14:paraId="73E8290B" w14:textId="0B194345" w:rsidR="00077E87" w:rsidRPr="00D7648A" w:rsidRDefault="00077E87" w:rsidP="00FE5F65">
      <w:pPr>
        <w:pStyle w:val="paragraph"/>
        <w:spacing w:before="0" w:beforeAutospacing="0" w:after="0" w:afterAutospacing="0"/>
        <w:jc w:val="both"/>
        <w:textAlignment w:val="baseline"/>
        <w:rPr>
          <w:rFonts w:ascii="Garamond" w:hAnsi="Garamond" w:cs="Segoe UI"/>
          <w:sz w:val="22"/>
          <w:szCs w:val="22"/>
        </w:rPr>
      </w:pPr>
    </w:p>
    <w:p w14:paraId="30833F56" w14:textId="77777777" w:rsidR="003A0A31" w:rsidRPr="00D7648A" w:rsidRDefault="003A0A31" w:rsidP="00FD6C10">
      <w:pPr>
        <w:jc w:val="both"/>
        <w:rPr>
          <w:rFonts w:ascii="Garamond" w:hAnsi="Garamond"/>
          <w:sz w:val="22"/>
          <w:szCs w:val="22"/>
        </w:rPr>
      </w:pPr>
    </w:p>
    <w:p w14:paraId="37102C05" w14:textId="4E5B2888" w:rsidR="00730068" w:rsidRPr="00D7648A" w:rsidRDefault="0092144C" w:rsidP="002B0089">
      <w:pPr>
        <w:pStyle w:val="ListParagraph"/>
        <w:numPr>
          <w:ilvl w:val="0"/>
          <w:numId w:val="5"/>
        </w:numPr>
        <w:jc w:val="both"/>
        <w:rPr>
          <w:rFonts w:ascii="Garamond" w:hAnsi="Garamond"/>
          <w:b/>
          <w:bCs/>
          <w:sz w:val="22"/>
          <w:szCs w:val="22"/>
        </w:rPr>
      </w:pPr>
      <w:r w:rsidRPr="00D7648A">
        <w:rPr>
          <w:rFonts w:ascii="Garamond" w:hAnsi="Garamond"/>
          <w:b/>
          <w:bCs/>
          <w:sz w:val="22"/>
          <w:szCs w:val="22"/>
        </w:rPr>
        <w:t>D</w:t>
      </w:r>
      <w:r w:rsidR="00A04184" w:rsidRPr="00D7648A">
        <w:rPr>
          <w:rFonts w:ascii="Garamond" w:hAnsi="Garamond"/>
          <w:b/>
          <w:bCs/>
          <w:sz w:val="22"/>
          <w:szCs w:val="22"/>
        </w:rPr>
        <w:t>ata sharing and management in UTx</w:t>
      </w:r>
      <w:r w:rsidRPr="00D7648A">
        <w:rPr>
          <w:rFonts w:ascii="Garamond" w:hAnsi="Garamond"/>
          <w:b/>
          <w:bCs/>
          <w:sz w:val="22"/>
          <w:szCs w:val="22"/>
        </w:rPr>
        <w:t xml:space="preserve"> – The Way Forward</w:t>
      </w:r>
    </w:p>
    <w:p w14:paraId="74CCF642" w14:textId="77777777" w:rsidR="00730068" w:rsidRPr="00D7648A" w:rsidRDefault="00730068" w:rsidP="002B0089">
      <w:pPr>
        <w:jc w:val="both"/>
        <w:rPr>
          <w:rFonts w:ascii="Garamond" w:eastAsia="Times New Roman" w:hAnsi="Garamond" w:cs="Times New Roman"/>
          <w:sz w:val="22"/>
          <w:szCs w:val="22"/>
          <w:shd w:val="clear" w:color="auto" w:fill="FFFFFF"/>
          <w:lang w:eastAsia="en-GB"/>
        </w:rPr>
      </w:pPr>
    </w:p>
    <w:p w14:paraId="26890B1E" w14:textId="0883C0A5" w:rsidR="00EC729F" w:rsidRPr="00D7648A" w:rsidRDefault="0036406D" w:rsidP="00FD6C10">
      <w:pPr>
        <w:jc w:val="both"/>
        <w:rPr>
          <w:rFonts w:ascii="Garamond" w:hAnsi="Garamond"/>
          <w:sz w:val="22"/>
          <w:szCs w:val="22"/>
        </w:rPr>
      </w:pPr>
      <w:r w:rsidRPr="00D7648A">
        <w:rPr>
          <w:rFonts w:ascii="Garamond" w:hAnsi="Garamond"/>
          <w:sz w:val="22"/>
          <w:szCs w:val="22"/>
        </w:rPr>
        <w:t>A</w:t>
      </w:r>
      <w:r w:rsidR="00196841" w:rsidRPr="00D7648A">
        <w:rPr>
          <w:rFonts w:ascii="Garamond" w:hAnsi="Garamond"/>
          <w:sz w:val="22"/>
          <w:szCs w:val="22"/>
        </w:rPr>
        <w:t xml:space="preserve"> widespread, demonstrated, and sustained commitment to open data-sharing practices among UTx researchers </w:t>
      </w:r>
      <w:r w:rsidR="002F186E" w:rsidRPr="00D7648A">
        <w:rPr>
          <w:rFonts w:ascii="Garamond" w:hAnsi="Garamond"/>
          <w:sz w:val="22"/>
          <w:szCs w:val="22"/>
        </w:rPr>
        <w:t>has the potential to</w:t>
      </w:r>
      <w:r w:rsidRPr="00D7648A">
        <w:rPr>
          <w:rFonts w:ascii="Garamond" w:hAnsi="Garamond"/>
          <w:sz w:val="22"/>
          <w:szCs w:val="22"/>
        </w:rPr>
        <w:t xml:space="preserve"> </w:t>
      </w:r>
      <w:r w:rsidR="00196841" w:rsidRPr="00D7648A">
        <w:rPr>
          <w:rFonts w:ascii="Garamond" w:hAnsi="Garamond"/>
          <w:sz w:val="22"/>
          <w:szCs w:val="22"/>
        </w:rPr>
        <w:t>provide numerous practical benefits</w:t>
      </w:r>
      <w:r w:rsidRPr="00D7648A">
        <w:rPr>
          <w:rFonts w:ascii="Garamond" w:hAnsi="Garamond"/>
          <w:sz w:val="22"/>
          <w:szCs w:val="22"/>
        </w:rPr>
        <w:t xml:space="preserve"> for (and fulfil researchers’ ethical obligations to</w:t>
      </w:r>
      <w:r w:rsidR="002F186E" w:rsidRPr="00D7648A">
        <w:rPr>
          <w:rFonts w:ascii="Garamond" w:hAnsi="Garamond"/>
          <w:sz w:val="22"/>
          <w:szCs w:val="22"/>
        </w:rPr>
        <w:t>wards</w:t>
      </w:r>
      <w:r w:rsidRPr="00D7648A">
        <w:rPr>
          <w:rFonts w:ascii="Garamond" w:hAnsi="Garamond"/>
          <w:sz w:val="22"/>
          <w:szCs w:val="22"/>
        </w:rPr>
        <w:t>)</w:t>
      </w:r>
      <w:r w:rsidR="002F186E" w:rsidRPr="00D7648A">
        <w:rPr>
          <w:rFonts w:ascii="Garamond" w:hAnsi="Garamond"/>
          <w:sz w:val="22"/>
          <w:szCs w:val="22"/>
        </w:rPr>
        <w:t xml:space="preserve"> many different</w:t>
      </w:r>
      <w:r w:rsidRPr="00D7648A">
        <w:rPr>
          <w:rFonts w:ascii="Garamond" w:hAnsi="Garamond"/>
          <w:sz w:val="22"/>
          <w:szCs w:val="22"/>
        </w:rPr>
        <w:t xml:space="preserve"> stakeholders in UTx research such as research participants, funders, and the public more generally. Researchers in this are</w:t>
      </w:r>
      <w:r w:rsidR="00505E7D" w:rsidRPr="00D7648A">
        <w:rPr>
          <w:rFonts w:ascii="Garamond" w:hAnsi="Garamond"/>
          <w:sz w:val="22"/>
          <w:szCs w:val="22"/>
        </w:rPr>
        <w:t>a have developed a strong</w:t>
      </w:r>
      <w:r w:rsidR="00710820" w:rsidRPr="00D7648A">
        <w:rPr>
          <w:rFonts w:ascii="Garamond" w:hAnsi="Garamond"/>
          <w:sz w:val="22"/>
          <w:szCs w:val="22"/>
        </w:rPr>
        <w:t xml:space="preserve">ly </w:t>
      </w:r>
      <w:r w:rsidR="00505E7D" w:rsidRPr="00D7648A">
        <w:rPr>
          <w:rFonts w:ascii="Garamond" w:hAnsi="Garamond"/>
          <w:sz w:val="22"/>
          <w:szCs w:val="22"/>
        </w:rPr>
        <w:t>collaborative</w:t>
      </w:r>
      <w:r w:rsidR="002F186E" w:rsidRPr="00D7648A">
        <w:rPr>
          <w:rFonts w:ascii="Garamond" w:hAnsi="Garamond"/>
          <w:sz w:val="22"/>
          <w:szCs w:val="22"/>
        </w:rPr>
        <w:t xml:space="preserve"> research</w:t>
      </w:r>
      <w:r w:rsidR="00505E7D" w:rsidRPr="00D7648A">
        <w:rPr>
          <w:rFonts w:ascii="Garamond" w:hAnsi="Garamond"/>
          <w:sz w:val="22"/>
          <w:szCs w:val="22"/>
        </w:rPr>
        <w:t xml:space="preserve"> community,</w:t>
      </w:r>
      <w:r w:rsidR="00710820" w:rsidRPr="00D7648A">
        <w:rPr>
          <w:rFonts w:ascii="Garamond" w:hAnsi="Garamond"/>
          <w:sz w:val="22"/>
          <w:szCs w:val="22"/>
        </w:rPr>
        <w:t xml:space="preserve"> through </w:t>
      </w:r>
      <w:r w:rsidR="0092144C" w:rsidRPr="00D7648A">
        <w:rPr>
          <w:rFonts w:ascii="Garamond" w:hAnsi="Garamond"/>
          <w:sz w:val="22"/>
          <w:szCs w:val="22"/>
        </w:rPr>
        <w:t>initiatives</w:t>
      </w:r>
      <w:r w:rsidR="00671C71" w:rsidRPr="00D7648A">
        <w:rPr>
          <w:rFonts w:ascii="Garamond" w:hAnsi="Garamond"/>
          <w:sz w:val="22"/>
          <w:szCs w:val="22"/>
        </w:rPr>
        <w:t xml:space="preserve"> </w:t>
      </w:r>
      <w:r w:rsidR="00710820" w:rsidRPr="00D7648A">
        <w:rPr>
          <w:rFonts w:ascii="Garamond" w:hAnsi="Garamond"/>
          <w:sz w:val="22"/>
          <w:szCs w:val="22"/>
        </w:rPr>
        <w:t>such as the International Society of Uterus Transplantation which holds a yearly conference,</w:t>
      </w:r>
      <w:r w:rsidR="0092144C" w:rsidRPr="00D7648A">
        <w:rPr>
          <w:rFonts w:ascii="Garamond" w:hAnsi="Garamond"/>
          <w:sz w:val="22"/>
          <w:szCs w:val="22"/>
        </w:rPr>
        <w:t xml:space="preserve"> training activities between teams conducting and preparing to conduct uterine transplantation trials,</w:t>
      </w:r>
      <w:r w:rsidR="00710820" w:rsidRPr="00D7648A">
        <w:rPr>
          <w:rFonts w:ascii="Garamond" w:hAnsi="Garamond"/>
          <w:sz w:val="22"/>
          <w:szCs w:val="22"/>
        </w:rPr>
        <w:t xml:space="preserve"> and</w:t>
      </w:r>
      <w:r w:rsidR="0092144C" w:rsidRPr="00D7648A">
        <w:rPr>
          <w:rFonts w:ascii="Garamond" w:hAnsi="Garamond"/>
          <w:sz w:val="22"/>
          <w:szCs w:val="22"/>
        </w:rPr>
        <w:t xml:space="preserve"> the development and management of a registry of UTx cases. Yet, while</w:t>
      </w:r>
      <w:r w:rsidR="00E07632" w:rsidRPr="00D7648A">
        <w:rPr>
          <w:rFonts w:ascii="Garamond" w:hAnsi="Garamond"/>
          <w:sz w:val="22"/>
          <w:szCs w:val="22"/>
        </w:rPr>
        <w:t xml:space="preserve"> there is much to praise in the steps already taken by UTx researchers with respect to data-sharing, </w:t>
      </w:r>
      <w:r w:rsidR="0092144C" w:rsidRPr="00D7648A">
        <w:rPr>
          <w:rFonts w:ascii="Garamond" w:hAnsi="Garamond"/>
          <w:sz w:val="22"/>
          <w:szCs w:val="22"/>
        </w:rPr>
        <w:t xml:space="preserve">there are </w:t>
      </w:r>
      <w:r w:rsidR="7C7984B0" w:rsidRPr="00D7648A">
        <w:rPr>
          <w:rFonts w:ascii="Garamond" w:hAnsi="Garamond"/>
          <w:sz w:val="22"/>
          <w:szCs w:val="22"/>
        </w:rPr>
        <w:t>several</w:t>
      </w:r>
      <w:r w:rsidR="0092144C" w:rsidRPr="00D7648A">
        <w:rPr>
          <w:rFonts w:ascii="Garamond" w:hAnsi="Garamond"/>
          <w:sz w:val="22"/>
          <w:szCs w:val="22"/>
        </w:rPr>
        <w:t xml:space="preserve"> areas in which data sharing activities and plans could be improved upon</w:t>
      </w:r>
      <w:r w:rsidR="00E07632" w:rsidRPr="00D7648A">
        <w:rPr>
          <w:rFonts w:ascii="Garamond" w:hAnsi="Garamond"/>
          <w:sz w:val="22"/>
          <w:szCs w:val="22"/>
        </w:rPr>
        <w:t xml:space="preserve"> as research in this area moves forward.</w:t>
      </w:r>
    </w:p>
    <w:p w14:paraId="723DCF34" w14:textId="77777777" w:rsidR="00503FA4" w:rsidRPr="00D7648A" w:rsidRDefault="00503FA4" w:rsidP="00FD6C10">
      <w:pPr>
        <w:jc w:val="both"/>
        <w:rPr>
          <w:rFonts w:ascii="Garamond" w:hAnsi="Garamond"/>
          <w:sz w:val="22"/>
          <w:szCs w:val="22"/>
        </w:rPr>
      </w:pPr>
    </w:p>
    <w:p w14:paraId="2B036C3C" w14:textId="45383F18" w:rsidR="00A04184" w:rsidRPr="00D7648A" w:rsidRDefault="7862D185" w:rsidP="6A11A7DE">
      <w:pPr>
        <w:spacing w:line="259" w:lineRule="auto"/>
        <w:jc w:val="both"/>
        <w:rPr>
          <w:rFonts w:ascii="Garamond" w:hAnsi="Garamond"/>
          <w:sz w:val="22"/>
          <w:szCs w:val="22"/>
        </w:rPr>
      </w:pPr>
      <w:r w:rsidRPr="00D7648A">
        <w:rPr>
          <w:rFonts w:ascii="Garamond" w:hAnsi="Garamond"/>
          <w:sz w:val="22"/>
          <w:szCs w:val="22"/>
        </w:rPr>
        <w:t>Foremost among these concerns the publication of clear data sharing statements tied to clinical trials which specify</w:t>
      </w:r>
      <w:r w:rsidR="0006D9A0" w:rsidRPr="00D7648A">
        <w:rPr>
          <w:rFonts w:ascii="Garamond" w:hAnsi="Garamond"/>
          <w:sz w:val="22"/>
          <w:szCs w:val="22"/>
        </w:rPr>
        <w:t xml:space="preserve"> </w:t>
      </w:r>
      <w:r w:rsidR="14139296" w:rsidRPr="00D7648A">
        <w:rPr>
          <w:rFonts w:ascii="Garamond" w:hAnsi="Garamond"/>
          <w:sz w:val="22"/>
          <w:szCs w:val="22"/>
        </w:rPr>
        <w:t>whether</w:t>
      </w:r>
      <w:r w:rsidR="0006D9A0" w:rsidRPr="00D7648A">
        <w:rPr>
          <w:rFonts w:ascii="Garamond" w:hAnsi="Garamond"/>
          <w:sz w:val="22"/>
          <w:szCs w:val="22"/>
        </w:rPr>
        <w:t xml:space="preserve"> data concerning such trials will be shared</w:t>
      </w:r>
      <w:r w:rsidR="5630B35F" w:rsidRPr="00D7648A">
        <w:rPr>
          <w:rFonts w:ascii="Garamond" w:hAnsi="Garamond"/>
          <w:sz w:val="22"/>
          <w:szCs w:val="22"/>
        </w:rPr>
        <w:t>.</w:t>
      </w:r>
      <w:r w:rsidR="1CCB32B8" w:rsidRPr="00D7648A">
        <w:rPr>
          <w:rFonts w:ascii="Garamond" w:hAnsi="Garamond"/>
          <w:sz w:val="22"/>
          <w:szCs w:val="22"/>
        </w:rPr>
        <w:t xml:space="preserve"> G</w:t>
      </w:r>
      <w:r w:rsidR="52CB0E7A" w:rsidRPr="00D7648A">
        <w:rPr>
          <w:rFonts w:ascii="Garamond" w:hAnsi="Garamond"/>
          <w:sz w:val="22"/>
          <w:szCs w:val="22"/>
        </w:rPr>
        <w:t>iven the clear benefits of sharing data</w:t>
      </w:r>
      <w:r w:rsidR="53CABDF0" w:rsidRPr="00D7648A">
        <w:rPr>
          <w:rFonts w:ascii="Garamond" w:hAnsi="Garamond"/>
          <w:sz w:val="22"/>
          <w:szCs w:val="22"/>
        </w:rPr>
        <w:t xml:space="preserve"> a strong justification should underpin decisions to refrain from making </w:t>
      </w:r>
      <w:r w:rsidR="68B35DA9" w:rsidRPr="00D7648A">
        <w:rPr>
          <w:rFonts w:ascii="Garamond" w:hAnsi="Garamond"/>
          <w:sz w:val="22"/>
          <w:szCs w:val="22"/>
        </w:rPr>
        <w:t>anonymised data available (whether</w:t>
      </w:r>
      <w:r w:rsidR="70093ECE" w:rsidRPr="00D7648A">
        <w:rPr>
          <w:rFonts w:ascii="Garamond" w:hAnsi="Garamond"/>
          <w:sz w:val="22"/>
          <w:szCs w:val="22"/>
        </w:rPr>
        <w:t xml:space="preserve"> de-identified/anonymised</w:t>
      </w:r>
      <w:r w:rsidR="68B35DA9" w:rsidRPr="00D7648A">
        <w:rPr>
          <w:rFonts w:ascii="Garamond" w:hAnsi="Garamond"/>
          <w:sz w:val="22"/>
          <w:szCs w:val="22"/>
        </w:rPr>
        <w:t xml:space="preserve"> data is shared openly or </w:t>
      </w:r>
      <w:r w:rsidR="3C230536" w:rsidRPr="00D7648A">
        <w:rPr>
          <w:rFonts w:ascii="Garamond" w:hAnsi="Garamond"/>
          <w:sz w:val="22"/>
          <w:szCs w:val="22"/>
        </w:rPr>
        <w:t>made available only by</w:t>
      </w:r>
      <w:r w:rsidR="68B35DA9" w:rsidRPr="00D7648A">
        <w:rPr>
          <w:rFonts w:ascii="Garamond" w:hAnsi="Garamond"/>
          <w:sz w:val="22"/>
          <w:szCs w:val="22"/>
        </w:rPr>
        <w:t xml:space="preserve"> application). As previously noted, and as with other areas of medical research, </w:t>
      </w:r>
      <w:r w:rsidR="0DA99D6E" w:rsidRPr="00D7648A">
        <w:rPr>
          <w:rFonts w:ascii="Garamond" w:hAnsi="Garamond"/>
          <w:sz w:val="22"/>
          <w:szCs w:val="22"/>
        </w:rPr>
        <w:t>the majority of UTx</w:t>
      </w:r>
      <w:r w:rsidR="05E772A8" w:rsidRPr="00D7648A">
        <w:rPr>
          <w:rFonts w:ascii="Garamond" w:hAnsi="Garamond"/>
          <w:sz w:val="22"/>
          <w:szCs w:val="22"/>
        </w:rPr>
        <w:t xml:space="preserve"> </w:t>
      </w:r>
      <w:r w:rsidR="0DA99D6E" w:rsidRPr="00D7648A">
        <w:rPr>
          <w:rFonts w:ascii="Garamond" w:hAnsi="Garamond"/>
          <w:sz w:val="22"/>
          <w:szCs w:val="22"/>
        </w:rPr>
        <w:t>teams have not published data sharing statements relating to trials</w:t>
      </w:r>
      <w:r w:rsidR="76882FF5" w:rsidRPr="00D7648A">
        <w:rPr>
          <w:rFonts w:ascii="Garamond" w:hAnsi="Garamond"/>
          <w:sz w:val="22"/>
          <w:szCs w:val="22"/>
        </w:rPr>
        <w:t xml:space="preserve"> (completed or in progress)</w:t>
      </w:r>
      <w:r w:rsidR="713D16D0" w:rsidRPr="00D7648A">
        <w:rPr>
          <w:rFonts w:ascii="Garamond" w:hAnsi="Garamond"/>
          <w:sz w:val="22"/>
          <w:szCs w:val="22"/>
        </w:rPr>
        <w:t xml:space="preserve"> and where these are </w:t>
      </w:r>
      <w:r w:rsidR="375A0AFB" w:rsidRPr="00D7648A">
        <w:rPr>
          <w:rFonts w:ascii="Garamond" w:hAnsi="Garamond"/>
          <w:sz w:val="22"/>
          <w:szCs w:val="22"/>
        </w:rPr>
        <w:t>available,</w:t>
      </w:r>
      <w:r w:rsidR="713D16D0" w:rsidRPr="00D7648A">
        <w:rPr>
          <w:rFonts w:ascii="Garamond" w:hAnsi="Garamond"/>
          <w:sz w:val="22"/>
          <w:szCs w:val="22"/>
        </w:rPr>
        <w:t xml:space="preserve"> they are often</w:t>
      </w:r>
      <w:r w:rsidR="2BBE7D54" w:rsidRPr="00D7648A">
        <w:rPr>
          <w:rFonts w:ascii="Garamond" w:hAnsi="Garamond"/>
          <w:sz w:val="22"/>
          <w:szCs w:val="22"/>
        </w:rPr>
        <w:t xml:space="preserve"> too vague to be of much help to potential data users</w:t>
      </w:r>
      <w:r w:rsidR="3796ACAF" w:rsidRPr="00D7648A">
        <w:rPr>
          <w:rFonts w:ascii="Garamond" w:hAnsi="Garamond"/>
          <w:sz w:val="22"/>
          <w:szCs w:val="22"/>
        </w:rPr>
        <w:t>. This</w:t>
      </w:r>
      <w:r w:rsidR="76882FF5" w:rsidRPr="00D7648A">
        <w:rPr>
          <w:rFonts w:ascii="Garamond" w:hAnsi="Garamond"/>
          <w:sz w:val="22"/>
          <w:szCs w:val="22"/>
        </w:rPr>
        <w:t xml:space="preserve"> </w:t>
      </w:r>
      <w:r w:rsidR="7F8753D6" w:rsidRPr="00D7648A">
        <w:rPr>
          <w:rFonts w:ascii="Garamond" w:hAnsi="Garamond"/>
          <w:sz w:val="22"/>
          <w:szCs w:val="22"/>
        </w:rPr>
        <w:t>adds unnecessary uncertainty for researchers and other interested parties who then need to contact trial teams to find out whether they can (and if so where to) access such data</w:t>
      </w:r>
      <w:r w:rsidR="5F218D19" w:rsidRPr="00D7648A">
        <w:rPr>
          <w:rFonts w:ascii="Garamond" w:hAnsi="Garamond"/>
          <w:sz w:val="22"/>
          <w:szCs w:val="22"/>
        </w:rPr>
        <w:t>. T</w:t>
      </w:r>
      <w:r w:rsidR="1087781D" w:rsidRPr="00D7648A">
        <w:rPr>
          <w:rFonts w:ascii="Garamond" w:hAnsi="Garamond"/>
          <w:sz w:val="22"/>
          <w:szCs w:val="22"/>
        </w:rPr>
        <w:t>hus</w:t>
      </w:r>
      <w:r w:rsidR="67D535C8" w:rsidRPr="00D7648A">
        <w:rPr>
          <w:rFonts w:ascii="Garamond" w:hAnsi="Garamond"/>
          <w:sz w:val="22"/>
          <w:szCs w:val="22"/>
        </w:rPr>
        <w:t>,</w:t>
      </w:r>
      <w:r w:rsidR="1087781D" w:rsidRPr="00D7648A">
        <w:rPr>
          <w:rFonts w:ascii="Garamond" w:hAnsi="Garamond"/>
          <w:sz w:val="22"/>
          <w:szCs w:val="22"/>
        </w:rPr>
        <w:t xml:space="preserve"> a clear first step to improving data sharing and management</w:t>
      </w:r>
      <w:r w:rsidR="40E25039" w:rsidRPr="00D7648A">
        <w:rPr>
          <w:rFonts w:ascii="Garamond" w:hAnsi="Garamond"/>
          <w:sz w:val="22"/>
          <w:szCs w:val="22"/>
        </w:rPr>
        <w:t xml:space="preserve"> in this context</w:t>
      </w:r>
      <w:r w:rsidR="1087781D" w:rsidRPr="00D7648A">
        <w:rPr>
          <w:rFonts w:ascii="Garamond" w:hAnsi="Garamond"/>
          <w:sz w:val="22"/>
          <w:szCs w:val="22"/>
        </w:rPr>
        <w:t xml:space="preserve"> should be for</w:t>
      </w:r>
      <w:r w:rsidR="48BC6001" w:rsidRPr="00D7648A">
        <w:rPr>
          <w:rFonts w:ascii="Garamond" w:hAnsi="Garamond"/>
          <w:sz w:val="22"/>
          <w:szCs w:val="22"/>
        </w:rPr>
        <w:t xml:space="preserve"> teams to publish data sharing statements, and for ISUTx and other organisations involved in UTx research to </w:t>
      </w:r>
      <w:r w:rsidR="47BA96E1" w:rsidRPr="00D7648A">
        <w:rPr>
          <w:rFonts w:ascii="Garamond" w:hAnsi="Garamond"/>
          <w:sz w:val="22"/>
          <w:szCs w:val="22"/>
        </w:rPr>
        <w:t>actively</w:t>
      </w:r>
      <w:r w:rsidR="54838BCB" w:rsidRPr="00D7648A">
        <w:rPr>
          <w:rFonts w:ascii="Garamond" w:hAnsi="Garamond"/>
          <w:sz w:val="22"/>
          <w:szCs w:val="22"/>
        </w:rPr>
        <w:t xml:space="preserve"> encourage</w:t>
      </w:r>
      <w:r w:rsidR="3B590F17" w:rsidRPr="00D7648A">
        <w:rPr>
          <w:rFonts w:ascii="Garamond" w:hAnsi="Garamond"/>
          <w:sz w:val="22"/>
          <w:szCs w:val="22"/>
        </w:rPr>
        <w:t xml:space="preserve"> teams to publish data sharing statements and to provide examples of good and bad </w:t>
      </w:r>
      <w:r w:rsidR="742BA3D8" w:rsidRPr="00D7648A">
        <w:rPr>
          <w:rFonts w:ascii="Garamond" w:hAnsi="Garamond"/>
          <w:sz w:val="22"/>
          <w:szCs w:val="22"/>
        </w:rPr>
        <w:t>practice in a similar vein to</w:t>
      </w:r>
      <w:r w:rsidR="768BEEC5" w:rsidRPr="00D7648A">
        <w:rPr>
          <w:rFonts w:ascii="Garamond" w:hAnsi="Garamond"/>
          <w:sz w:val="22"/>
          <w:szCs w:val="22"/>
        </w:rPr>
        <w:t xml:space="preserve"> that provided by</w:t>
      </w:r>
      <w:r w:rsidR="742BA3D8" w:rsidRPr="00D7648A">
        <w:rPr>
          <w:rFonts w:ascii="Garamond" w:hAnsi="Garamond"/>
          <w:sz w:val="22"/>
          <w:szCs w:val="22"/>
        </w:rPr>
        <w:t xml:space="preserve"> the ICMJE.</w:t>
      </w:r>
      <w:r w:rsidR="00BB74F2" w:rsidRPr="00D7648A">
        <w:rPr>
          <w:rStyle w:val="FootnoteReference"/>
          <w:rFonts w:ascii="Garamond" w:hAnsi="Garamond"/>
          <w:sz w:val="22"/>
          <w:szCs w:val="22"/>
        </w:rPr>
        <w:footnoteReference w:id="44"/>
      </w:r>
      <w:r w:rsidR="742BA3D8" w:rsidRPr="00D7648A">
        <w:rPr>
          <w:rFonts w:ascii="Garamond" w:hAnsi="Garamond"/>
          <w:sz w:val="22"/>
          <w:szCs w:val="22"/>
        </w:rPr>
        <w:t xml:space="preserve"> </w:t>
      </w:r>
    </w:p>
    <w:p w14:paraId="394F931D" w14:textId="3ED7669D" w:rsidR="00A04184" w:rsidRPr="00D7648A" w:rsidRDefault="00A04184" w:rsidP="6E17E365">
      <w:pPr>
        <w:spacing w:line="259" w:lineRule="auto"/>
        <w:jc w:val="both"/>
        <w:rPr>
          <w:rFonts w:ascii="Garamond" w:hAnsi="Garamond"/>
          <w:sz w:val="22"/>
          <w:szCs w:val="22"/>
        </w:rPr>
      </w:pPr>
    </w:p>
    <w:p w14:paraId="5A5B6FB9" w14:textId="4C919C2F" w:rsidR="00A04184" w:rsidRPr="00D7648A" w:rsidRDefault="1F4925E4" w:rsidP="6E17E365">
      <w:pPr>
        <w:spacing w:line="259" w:lineRule="auto"/>
        <w:jc w:val="both"/>
        <w:rPr>
          <w:rFonts w:ascii="Garamond" w:hAnsi="Garamond"/>
          <w:sz w:val="22"/>
          <w:szCs w:val="22"/>
        </w:rPr>
      </w:pPr>
      <w:r w:rsidRPr="00D7648A">
        <w:rPr>
          <w:rFonts w:ascii="Garamond" w:hAnsi="Garamond"/>
          <w:sz w:val="22"/>
          <w:szCs w:val="22"/>
        </w:rPr>
        <w:t>Secondly,</w:t>
      </w:r>
      <w:r w:rsidR="580BA6D3" w:rsidRPr="00D7648A">
        <w:rPr>
          <w:rFonts w:ascii="Garamond" w:hAnsi="Garamond"/>
          <w:sz w:val="22"/>
          <w:szCs w:val="22"/>
        </w:rPr>
        <w:t xml:space="preserve"> and</w:t>
      </w:r>
      <w:r w:rsidRPr="00D7648A">
        <w:rPr>
          <w:rFonts w:ascii="Garamond" w:hAnsi="Garamond"/>
          <w:sz w:val="22"/>
          <w:szCs w:val="22"/>
        </w:rPr>
        <w:t xml:space="preserve"> given the central role that data repositories play in </w:t>
      </w:r>
      <w:r w:rsidR="7369B770" w:rsidRPr="00D7648A">
        <w:rPr>
          <w:rFonts w:ascii="Garamond" w:hAnsi="Garamond"/>
          <w:sz w:val="22"/>
          <w:szCs w:val="22"/>
        </w:rPr>
        <w:t xml:space="preserve">“improving sharing, security, discoverability, and reuse of research </w:t>
      </w:r>
      <w:r w:rsidR="6C4221D1" w:rsidRPr="00D7648A">
        <w:rPr>
          <w:rFonts w:ascii="Garamond" w:hAnsi="Garamond"/>
          <w:sz w:val="22"/>
          <w:szCs w:val="22"/>
        </w:rPr>
        <w:t>data…</w:t>
      </w:r>
      <w:r w:rsidR="7369B770" w:rsidRPr="00D7648A">
        <w:rPr>
          <w:rFonts w:ascii="Garamond" w:hAnsi="Garamond"/>
          <w:sz w:val="22"/>
          <w:szCs w:val="22"/>
        </w:rPr>
        <w:t>”</w:t>
      </w:r>
      <w:r w:rsidR="00A04184" w:rsidRPr="00D7648A">
        <w:rPr>
          <w:rStyle w:val="FootnoteReference"/>
          <w:rFonts w:ascii="Garamond" w:hAnsi="Garamond"/>
          <w:sz w:val="22"/>
          <w:szCs w:val="22"/>
        </w:rPr>
        <w:footnoteReference w:id="45"/>
      </w:r>
      <w:r w:rsidR="4283D039" w:rsidRPr="00D7648A">
        <w:rPr>
          <w:rFonts w:ascii="Garamond" w:hAnsi="Garamond"/>
          <w:sz w:val="22"/>
          <w:szCs w:val="22"/>
        </w:rPr>
        <w:t xml:space="preserve">, </w:t>
      </w:r>
      <w:r w:rsidR="1FCD5806" w:rsidRPr="00D7648A">
        <w:rPr>
          <w:rFonts w:ascii="Garamond" w:hAnsi="Garamond"/>
          <w:sz w:val="22"/>
          <w:szCs w:val="22"/>
        </w:rPr>
        <w:t>sustained effort should be directed</w:t>
      </w:r>
      <w:r w:rsidR="125BC412" w:rsidRPr="00D7648A">
        <w:rPr>
          <w:rFonts w:ascii="Garamond" w:hAnsi="Garamond"/>
          <w:sz w:val="22"/>
          <w:szCs w:val="22"/>
        </w:rPr>
        <w:t xml:space="preserve"> by all UTx researchers</w:t>
      </w:r>
      <w:r w:rsidR="1FCD5806" w:rsidRPr="00D7648A">
        <w:rPr>
          <w:rFonts w:ascii="Garamond" w:hAnsi="Garamond"/>
          <w:sz w:val="22"/>
          <w:szCs w:val="22"/>
        </w:rPr>
        <w:t xml:space="preserve"> towards the development</w:t>
      </w:r>
      <w:r w:rsidR="79B35F64" w:rsidRPr="00D7648A">
        <w:rPr>
          <w:rFonts w:ascii="Garamond" w:hAnsi="Garamond"/>
          <w:sz w:val="22"/>
          <w:szCs w:val="22"/>
        </w:rPr>
        <w:t xml:space="preserve"> and population of </w:t>
      </w:r>
      <w:r w:rsidR="41B90CEC" w:rsidRPr="00D7648A">
        <w:rPr>
          <w:rFonts w:ascii="Garamond" w:hAnsi="Garamond"/>
          <w:sz w:val="22"/>
          <w:szCs w:val="22"/>
        </w:rPr>
        <w:t>a registry of UTx cases</w:t>
      </w:r>
      <w:r w:rsidR="4EEEDAD2" w:rsidRPr="00D7648A">
        <w:rPr>
          <w:rFonts w:ascii="Garamond" w:hAnsi="Garamond"/>
          <w:sz w:val="22"/>
          <w:szCs w:val="22"/>
        </w:rPr>
        <w:t>. This registry should</w:t>
      </w:r>
      <w:r w:rsidR="1726850D" w:rsidRPr="00D7648A">
        <w:rPr>
          <w:rFonts w:ascii="Garamond" w:hAnsi="Garamond"/>
          <w:sz w:val="22"/>
          <w:szCs w:val="22"/>
        </w:rPr>
        <w:t xml:space="preserve"> </w:t>
      </w:r>
      <w:r w:rsidR="5D413205" w:rsidRPr="00D7648A">
        <w:rPr>
          <w:rFonts w:ascii="Garamond" w:hAnsi="Garamond"/>
          <w:sz w:val="22"/>
          <w:szCs w:val="22"/>
        </w:rPr>
        <w:t xml:space="preserve">embody principles of </w:t>
      </w:r>
      <w:r w:rsidR="1726850D" w:rsidRPr="00D7648A">
        <w:rPr>
          <w:rFonts w:ascii="Garamond" w:hAnsi="Garamond"/>
          <w:sz w:val="22"/>
          <w:szCs w:val="22"/>
        </w:rPr>
        <w:t>transparency</w:t>
      </w:r>
      <w:r w:rsidR="657F6958" w:rsidRPr="00D7648A">
        <w:rPr>
          <w:rFonts w:ascii="Garamond" w:hAnsi="Garamond"/>
          <w:sz w:val="22"/>
          <w:szCs w:val="22"/>
        </w:rPr>
        <w:t xml:space="preserve"> and fairness</w:t>
      </w:r>
      <w:r w:rsidR="1726850D" w:rsidRPr="00D7648A">
        <w:rPr>
          <w:rFonts w:ascii="Garamond" w:hAnsi="Garamond"/>
          <w:sz w:val="22"/>
          <w:szCs w:val="22"/>
        </w:rPr>
        <w:t xml:space="preserve"> </w:t>
      </w:r>
      <w:r w:rsidR="09FC56CB" w:rsidRPr="00D7648A">
        <w:rPr>
          <w:rFonts w:ascii="Garamond" w:hAnsi="Garamond"/>
          <w:sz w:val="22"/>
          <w:szCs w:val="22"/>
        </w:rPr>
        <w:t>in its aims, governance, funding and policies</w:t>
      </w:r>
      <w:r w:rsidR="36B1405C" w:rsidRPr="00D7648A">
        <w:rPr>
          <w:rFonts w:ascii="Garamond" w:hAnsi="Garamond"/>
          <w:sz w:val="22"/>
          <w:szCs w:val="22"/>
        </w:rPr>
        <w:t xml:space="preserve"> to encourage compliance and confidence from researchers and research participants</w:t>
      </w:r>
      <w:r w:rsidR="00EA5898" w:rsidRPr="00D7648A">
        <w:rPr>
          <w:rStyle w:val="FootnoteReference"/>
          <w:rFonts w:ascii="Garamond" w:hAnsi="Garamond"/>
          <w:sz w:val="22"/>
          <w:szCs w:val="22"/>
        </w:rPr>
        <w:footnoteReference w:id="46"/>
      </w:r>
      <w:r w:rsidR="54A89826" w:rsidRPr="00D7648A">
        <w:rPr>
          <w:rFonts w:ascii="Garamond" w:hAnsi="Garamond"/>
          <w:sz w:val="22"/>
          <w:szCs w:val="22"/>
        </w:rPr>
        <w:t>;</w:t>
      </w:r>
      <w:r w:rsidR="36B1405C" w:rsidRPr="00D7648A">
        <w:rPr>
          <w:rFonts w:ascii="Garamond" w:hAnsi="Garamond"/>
          <w:sz w:val="22"/>
          <w:szCs w:val="22"/>
        </w:rPr>
        <w:t xml:space="preserve"> </w:t>
      </w:r>
      <w:r w:rsidR="1603B2F5" w:rsidRPr="00D7648A">
        <w:rPr>
          <w:rFonts w:ascii="Garamond" w:hAnsi="Garamond"/>
          <w:sz w:val="22"/>
          <w:szCs w:val="22"/>
        </w:rPr>
        <w:t xml:space="preserve">ensure compliance </w:t>
      </w:r>
      <w:r w:rsidR="575ECDC3" w:rsidRPr="00D7648A">
        <w:rPr>
          <w:rFonts w:ascii="Garamond" w:hAnsi="Garamond"/>
          <w:sz w:val="22"/>
          <w:szCs w:val="22"/>
        </w:rPr>
        <w:t>with national and international legislation</w:t>
      </w:r>
      <w:r w:rsidR="7556258D" w:rsidRPr="00D7648A">
        <w:rPr>
          <w:rFonts w:ascii="Garamond" w:hAnsi="Garamond"/>
          <w:sz w:val="22"/>
          <w:szCs w:val="22"/>
        </w:rPr>
        <w:t xml:space="preserve"> regarding</w:t>
      </w:r>
      <w:r w:rsidR="21937721" w:rsidRPr="00D7648A">
        <w:rPr>
          <w:rFonts w:ascii="Garamond" w:hAnsi="Garamond"/>
          <w:sz w:val="22"/>
          <w:szCs w:val="22"/>
        </w:rPr>
        <w:t xml:space="preserve"> patient privacy and confidentiality</w:t>
      </w:r>
      <w:r w:rsidR="44F13282" w:rsidRPr="00D7648A">
        <w:rPr>
          <w:rFonts w:ascii="Garamond" w:hAnsi="Garamond"/>
          <w:sz w:val="22"/>
          <w:szCs w:val="22"/>
        </w:rPr>
        <w:t xml:space="preserve">; </w:t>
      </w:r>
      <w:r w:rsidR="3F42D17F" w:rsidRPr="00D7648A">
        <w:rPr>
          <w:rFonts w:ascii="Garamond" w:hAnsi="Garamond"/>
          <w:sz w:val="22"/>
          <w:szCs w:val="22"/>
        </w:rPr>
        <w:t>and datasets collected should</w:t>
      </w:r>
      <w:r w:rsidR="0BE860B6" w:rsidRPr="00D7648A">
        <w:rPr>
          <w:rFonts w:ascii="Garamond" w:hAnsi="Garamond"/>
          <w:sz w:val="22"/>
          <w:szCs w:val="22"/>
        </w:rPr>
        <w:t xml:space="preserve"> b</w:t>
      </w:r>
      <w:r w:rsidR="51F26289" w:rsidRPr="00D7648A">
        <w:rPr>
          <w:rFonts w:ascii="Garamond" w:hAnsi="Garamond"/>
          <w:sz w:val="22"/>
          <w:szCs w:val="22"/>
        </w:rPr>
        <w:t xml:space="preserve">e determined </w:t>
      </w:r>
      <w:r w:rsidR="1E009F88" w:rsidRPr="00D7648A">
        <w:rPr>
          <w:rFonts w:ascii="Garamond" w:hAnsi="Garamond"/>
          <w:sz w:val="22"/>
          <w:szCs w:val="22"/>
        </w:rPr>
        <w:t>through</w:t>
      </w:r>
      <w:r w:rsidR="51F26289" w:rsidRPr="00D7648A">
        <w:rPr>
          <w:rFonts w:ascii="Garamond" w:hAnsi="Garamond"/>
          <w:sz w:val="22"/>
          <w:szCs w:val="22"/>
        </w:rPr>
        <w:t xml:space="preserve"> close consultation</w:t>
      </w:r>
      <w:r w:rsidR="6F718175" w:rsidRPr="00D7648A">
        <w:rPr>
          <w:rFonts w:ascii="Garamond" w:hAnsi="Garamond"/>
          <w:sz w:val="22"/>
          <w:szCs w:val="22"/>
        </w:rPr>
        <w:t xml:space="preserve"> (e.g. co-design)</w:t>
      </w:r>
      <w:r w:rsidR="51F26289" w:rsidRPr="00D7648A">
        <w:rPr>
          <w:rFonts w:ascii="Garamond" w:hAnsi="Garamond"/>
          <w:sz w:val="22"/>
          <w:szCs w:val="22"/>
        </w:rPr>
        <w:t xml:space="preserve"> with</w:t>
      </w:r>
      <w:r w:rsidR="316D7C10" w:rsidRPr="00D7648A">
        <w:rPr>
          <w:rFonts w:ascii="Garamond" w:hAnsi="Garamond"/>
          <w:sz w:val="22"/>
          <w:szCs w:val="22"/>
        </w:rPr>
        <w:t xml:space="preserve"> </w:t>
      </w:r>
      <w:r w:rsidR="316D7C10" w:rsidRPr="712C3CAC">
        <w:rPr>
          <w:rFonts w:ascii="Garamond" w:hAnsi="Garamond"/>
          <w:i/>
          <w:iCs/>
          <w:sz w:val="22"/>
          <w:szCs w:val="22"/>
        </w:rPr>
        <w:t xml:space="preserve">all </w:t>
      </w:r>
      <w:r w:rsidR="316D7C10" w:rsidRPr="00D7648A">
        <w:rPr>
          <w:rFonts w:ascii="Garamond" w:hAnsi="Garamond"/>
          <w:sz w:val="22"/>
          <w:szCs w:val="22"/>
        </w:rPr>
        <w:t>key stakeholders</w:t>
      </w:r>
      <w:r w:rsidR="67ED4B79" w:rsidRPr="00D7648A">
        <w:rPr>
          <w:rFonts w:ascii="Garamond" w:hAnsi="Garamond"/>
          <w:sz w:val="22"/>
          <w:szCs w:val="22"/>
        </w:rPr>
        <w:t xml:space="preserve"> in order to ensure that the data collected is of maximal utility</w:t>
      </w:r>
      <w:r w:rsidR="2731B1C0" w:rsidRPr="00D7648A">
        <w:rPr>
          <w:rFonts w:ascii="Garamond" w:hAnsi="Garamond"/>
          <w:sz w:val="22"/>
          <w:szCs w:val="22"/>
        </w:rPr>
        <w:t>.</w:t>
      </w:r>
      <w:r w:rsidR="00EA5898" w:rsidRPr="00D7648A">
        <w:rPr>
          <w:rStyle w:val="FootnoteReference"/>
          <w:rFonts w:ascii="Garamond" w:hAnsi="Garamond"/>
          <w:sz w:val="22"/>
          <w:szCs w:val="22"/>
        </w:rPr>
        <w:footnoteReference w:id="47"/>
      </w:r>
      <w:r w:rsidR="6654EC5F" w:rsidRPr="00D7648A">
        <w:rPr>
          <w:rFonts w:ascii="Garamond" w:hAnsi="Garamond"/>
          <w:sz w:val="22"/>
          <w:szCs w:val="22"/>
        </w:rPr>
        <w:t xml:space="preserve"> </w:t>
      </w:r>
      <w:r w:rsidR="6654EC5F" w:rsidRPr="00C96D58">
        <w:rPr>
          <w:rFonts w:ascii="Garamond" w:hAnsi="Garamond"/>
          <w:sz w:val="22"/>
          <w:szCs w:val="22"/>
        </w:rPr>
        <w:t>As noted in previous work we have published on this topic, the design, population and maintenance of a comprehensive</w:t>
      </w:r>
      <w:r w:rsidR="403AF3BE" w:rsidRPr="00C96D58">
        <w:rPr>
          <w:rFonts w:ascii="Garamond" w:hAnsi="Garamond"/>
          <w:sz w:val="22"/>
          <w:szCs w:val="22"/>
        </w:rPr>
        <w:t xml:space="preserve"> and open</w:t>
      </w:r>
      <w:r w:rsidR="6654EC5F" w:rsidRPr="00C96D58">
        <w:rPr>
          <w:rFonts w:ascii="Garamond" w:hAnsi="Garamond"/>
          <w:sz w:val="22"/>
          <w:szCs w:val="22"/>
        </w:rPr>
        <w:t xml:space="preserve"> registry of UTx cases could prove an excellent </w:t>
      </w:r>
      <w:r w:rsidR="45A75EF8" w:rsidRPr="00C96D58">
        <w:rPr>
          <w:rFonts w:ascii="Garamond" w:hAnsi="Garamond"/>
          <w:sz w:val="22"/>
          <w:szCs w:val="22"/>
        </w:rPr>
        <w:t>resource for UTx researchers</w:t>
      </w:r>
      <w:r w:rsidR="2D8B62B4" w:rsidRPr="00C96D58">
        <w:rPr>
          <w:rFonts w:ascii="Garamond" w:hAnsi="Garamond"/>
          <w:sz w:val="22"/>
          <w:szCs w:val="22"/>
        </w:rPr>
        <w:t xml:space="preserve"> and the public</w:t>
      </w:r>
      <w:r w:rsidR="50EF25B8" w:rsidRPr="00C96D58">
        <w:rPr>
          <w:rFonts w:ascii="Garamond" w:hAnsi="Garamond"/>
          <w:sz w:val="22"/>
          <w:szCs w:val="22"/>
        </w:rPr>
        <w:t xml:space="preserve">, </w:t>
      </w:r>
      <w:r w:rsidR="6C3047E5" w:rsidRPr="00C96D58">
        <w:rPr>
          <w:rFonts w:ascii="Garamond" w:hAnsi="Garamond"/>
          <w:sz w:val="22"/>
          <w:szCs w:val="22"/>
        </w:rPr>
        <w:t xml:space="preserve">with publicly available reports </w:t>
      </w:r>
      <w:r w:rsidR="50EF25B8" w:rsidRPr="00C96D58">
        <w:rPr>
          <w:rFonts w:ascii="Garamond" w:hAnsi="Garamond"/>
          <w:sz w:val="22"/>
          <w:szCs w:val="22"/>
        </w:rPr>
        <w:t>supplementing traditional research publications by providing more complete information</w:t>
      </w:r>
      <w:r w:rsidR="4B7B8A20" w:rsidRPr="00C96D58">
        <w:rPr>
          <w:rFonts w:ascii="Garamond" w:hAnsi="Garamond"/>
          <w:sz w:val="22"/>
          <w:szCs w:val="22"/>
        </w:rPr>
        <w:t xml:space="preserve"> regarding unpublished data.</w:t>
      </w:r>
      <w:r w:rsidRPr="00C96D58">
        <w:rPr>
          <w:rStyle w:val="FootnoteReference"/>
          <w:rFonts w:ascii="Garamond" w:hAnsi="Garamond"/>
          <w:sz w:val="22"/>
          <w:szCs w:val="22"/>
        </w:rPr>
        <w:footnoteReference w:id="48"/>
      </w:r>
      <w:r w:rsidR="4B7B8A20" w:rsidRPr="00D7648A">
        <w:rPr>
          <w:rFonts w:ascii="Garamond" w:hAnsi="Garamond"/>
          <w:sz w:val="22"/>
          <w:szCs w:val="22"/>
        </w:rPr>
        <w:t xml:space="preserve"> </w:t>
      </w:r>
    </w:p>
    <w:p w14:paraId="7513B587" w14:textId="77777777" w:rsidR="00CE1E56" w:rsidRPr="00D7648A" w:rsidRDefault="00CE1E56" w:rsidP="00FD6C10">
      <w:pPr>
        <w:jc w:val="both"/>
        <w:rPr>
          <w:rFonts w:ascii="Garamond" w:hAnsi="Garamond"/>
          <w:sz w:val="22"/>
          <w:szCs w:val="22"/>
        </w:rPr>
      </w:pPr>
    </w:p>
    <w:p w14:paraId="3493CCF8" w14:textId="2DED3DF9" w:rsidR="00CE1E56" w:rsidRPr="00D7648A" w:rsidRDefault="29C02813" w:rsidP="4E2276DB">
      <w:pPr>
        <w:jc w:val="both"/>
        <w:rPr>
          <w:rFonts w:ascii="Garamond" w:hAnsi="Garamond"/>
          <w:sz w:val="22"/>
          <w:szCs w:val="22"/>
        </w:rPr>
      </w:pPr>
      <w:r w:rsidRPr="00D7648A">
        <w:rPr>
          <w:rFonts w:ascii="Garamond" w:hAnsi="Garamond"/>
          <w:sz w:val="22"/>
          <w:szCs w:val="22"/>
        </w:rPr>
        <w:t>T</w:t>
      </w:r>
      <w:r w:rsidR="607AD51A" w:rsidRPr="00D7648A">
        <w:rPr>
          <w:rFonts w:ascii="Garamond" w:hAnsi="Garamond"/>
          <w:sz w:val="22"/>
          <w:szCs w:val="22"/>
        </w:rPr>
        <w:t xml:space="preserve">here </w:t>
      </w:r>
      <w:r w:rsidR="473FBE12" w:rsidRPr="00D7648A">
        <w:rPr>
          <w:rFonts w:ascii="Garamond" w:hAnsi="Garamond"/>
          <w:sz w:val="22"/>
          <w:szCs w:val="22"/>
        </w:rPr>
        <w:t>may be</w:t>
      </w:r>
      <w:r w:rsidR="607AD51A" w:rsidRPr="00D7648A">
        <w:rPr>
          <w:rFonts w:ascii="Garamond" w:hAnsi="Garamond"/>
          <w:sz w:val="22"/>
          <w:szCs w:val="22"/>
        </w:rPr>
        <w:t xml:space="preserve"> legal challenges</w:t>
      </w:r>
      <w:r w:rsidR="11E53EAF" w:rsidRPr="00D7648A">
        <w:rPr>
          <w:rFonts w:ascii="Garamond" w:hAnsi="Garamond"/>
          <w:sz w:val="22"/>
          <w:szCs w:val="22"/>
        </w:rPr>
        <w:t xml:space="preserve"> associated</w:t>
      </w:r>
      <w:r w:rsidR="607AD51A" w:rsidRPr="00D7648A">
        <w:rPr>
          <w:rFonts w:ascii="Garamond" w:hAnsi="Garamond"/>
          <w:sz w:val="22"/>
          <w:szCs w:val="22"/>
        </w:rPr>
        <w:t xml:space="preserve"> with establishing</w:t>
      </w:r>
      <w:r w:rsidR="717AACBE" w:rsidRPr="00D7648A">
        <w:rPr>
          <w:rFonts w:ascii="Garamond" w:hAnsi="Garamond"/>
          <w:sz w:val="22"/>
          <w:szCs w:val="22"/>
        </w:rPr>
        <w:t xml:space="preserve"> and maintaining</w:t>
      </w:r>
      <w:r w:rsidR="607AD51A" w:rsidRPr="00D7648A">
        <w:rPr>
          <w:rFonts w:ascii="Garamond" w:hAnsi="Garamond"/>
          <w:sz w:val="22"/>
          <w:szCs w:val="22"/>
        </w:rPr>
        <w:t xml:space="preserve"> an </w:t>
      </w:r>
      <w:r w:rsidR="607AD51A" w:rsidRPr="712C3CAC">
        <w:rPr>
          <w:rFonts w:ascii="Garamond" w:hAnsi="Garamond"/>
          <w:i/>
          <w:iCs/>
          <w:sz w:val="22"/>
          <w:szCs w:val="22"/>
        </w:rPr>
        <w:t>International</w:t>
      </w:r>
      <w:r w:rsidR="607AD51A" w:rsidRPr="00D7648A">
        <w:rPr>
          <w:rFonts w:ascii="Garamond" w:hAnsi="Garamond"/>
          <w:sz w:val="22"/>
          <w:szCs w:val="22"/>
        </w:rPr>
        <w:t xml:space="preserve"> Registry for Uterus Transplantation (IRUTx), principally due to the differing </w:t>
      </w:r>
      <w:r w:rsidR="73E382A1" w:rsidRPr="00D7648A">
        <w:rPr>
          <w:rFonts w:ascii="Garamond" w:hAnsi="Garamond"/>
          <w:sz w:val="22"/>
          <w:szCs w:val="22"/>
        </w:rPr>
        <w:t xml:space="preserve">national </w:t>
      </w:r>
      <w:r w:rsidR="607AD51A" w:rsidRPr="00D7648A">
        <w:rPr>
          <w:rFonts w:ascii="Garamond" w:hAnsi="Garamond"/>
          <w:sz w:val="22"/>
          <w:szCs w:val="22"/>
        </w:rPr>
        <w:t xml:space="preserve">data protection regulations. However, the establishment of a </w:t>
      </w:r>
      <w:r w:rsidR="607AD51A" w:rsidRPr="712C3CAC">
        <w:rPr>
          <w:rFonts w:ascii="Garamond" w:hAnsi="Garamond"/>
          <w:i/>
          <w:iCs/>
          <w:sz w:val="22"/>
          <w:szCs w:val="22"/>
        </w:rPr>
        <w:t>European</w:t>
      </w:r>
      <w:r w:rsidR="3A47B230" w:rsidRPr="00D7648A">
        <w:rPr>
          <w:rFonts w:ascii="Garamond" w:hAnsi="Garamond"/>
          <w:sz w:val="22"/>
          <w:szCs w:val="22"/>
        </w:rPr>
        <w:t xml:space="preserve"> Registry for Uterus Transplantation (</w:t>
      </w:r>
      <w:proofErr w:type="spellStart"/>
      <w:r w:rsidR="3A47B230" w:rsidRPr="00D7648A">
        <w:rPr>
          <w:rFonts w:ascii="Garamond" w:hAnsi="Garamond"/>
          <w:sz w:val="22"/>
          <w:szCs w:val="22"/>
        </w:rPr>
        <w:t>ERUTx</w:t>
      </w:r>
      <w:proofErr w:type="spellEnd"/>
      <w:r w:rsidR="3A47B230" w:rsidRPr="00D7648A">
        <w:rPr>
          <w:rFonts w:ascii="Garamond" w:hAnsi="Garamond"/>
          <w:sz w:val="22"/>
          <w:szCs w:val="22"/>
        </w:rPr>
        <w:t xml:space="preserve">) is feasible </w:t>
      </w:r>
      <w:r w:rsidR="62182F78" w:rsidRPr="00D7648A">
        <w:rPr>
          <w:rFonts w:ascii="Garamond" w:hAnsi="Garamond"/>
          <w:sz w:val="22"/>
          <w:szCs w:val="22"/>
        </w:rPr>
        <w:t>considering</w:t>
      </w:r>
      <w:r w:rsidR="3A47B230" w:rsidRPr="00D7648A">
        <w:rPr>
          <w:rFonts w:ascii="Garamond" w:hAnsi="Garamond"/>
          <w:sz w:val="22"/>
          <w:szCs w:val="22"/>
        </w:rPr>
        <w:t xml:space="preserve"> the GDPR</w:t>
      </w:r>
      <w:r w:rsidR="0EB90F1B" w:rsidRPr="00D7648A">
        <w:rPr>
          <w:rFonts w:ascii="Garamond" w:hAnsi="Garamond"/>
          <w:sz w:val="22"/>
          <w:szCs w:val="22"/>
        </w:rPr>
        <w:t xml:space="preserve"> regulation </w:t>
      </w:r>
      <w:r w:rsidR="2543B70A" w:rsidRPr="00D7648A">
        <w:rPr>
          <w:rFonts w:ascii="Garamond" w:hAnsi="Garamond"/>
          <w:sz w:val="22"/>
          <w:szCs w:val="22"/>
        </w:rPr>
        <w:t xml:space="preserve">which </w:t>
      </w:r>
      <w:r w:rsidR="6AD84BEB" w:rsidRPr="00D7648A">
        <w:rPr>
          <w:rFonts w:ascii="Garamond" w:hAnsi="Garamond"/>
          <w:sz w:val="22"/>
          <w:szCs w:val="22"/>
        </w:rPr>
        <w:t>‘</w:t>
      </w:r>
      <w:r w:rsidR="2543B70A" w:rsidRPr="00D7648A">
        <w:rPr>
          <w:rFonts w:ascii="Garamond" w:hAnsi="Garamond"/>
          <w:sz w:val="22"/>
          <w:szCs w:val="22"/>
        </w:rPr>
        <w:t>is the strictest set of data protection regulations worldwide and…</w:t>
      </w:r>
      <w:r w:rsidR="6AD84BEB" w:rsidRPr="00D7648A">
        <w:rPr>
          <w:rFonts w:ascii="Garamond" w:hAnsi="Garamond"/>
          <w:sz w:val="22"/>
          <w:szCs w:val="22"/>
        </w:rPr>
        <w:t>provides for legal safeguards for personal data within the</w:t>
      </w:r>
      <w:r w:rsidR="375E0183" w:rsidRPr="00D7648A">
        <w:rPr>
          <w:rFonts w:ascii="Garamond" w:hAnsi="Garamond"/>
          <w:sz w:val="22"/>
          <w:szCs w:val="22"/>
        </w:rPr>
        <w:t xml:space="preserve"> EEA and the UK regardless of where the processing of the data takes place’.</w:t>
      </w:r>
      <w:r w:rsidR="000D2D86" w:rsidRPr="00D7648A">
        <w:rPr>
          <w:rStyle w:val="FootnoteReference"/>
          <w:rFonts w:ascii="Garamond" w:hAnsi="Garamond"/>
          <w:sz w:val="22"/>
          <w:szCs w:val="22"/>
        </w:rPr>
        <w:footnoteReference w:id="49"/>
      </w:r>
      <w:r w:rsidR="073E9FB7" w:rsidRPr="00D7648A">
        <w:rPr>
          <w:rFonts w:ascii="Garamond" w:hAnsi="Garamond"/>
          <w:sz w:val="22"/>
          <w:szCs w:val="22"/>
        </w:rPr>
        <w:t xml:space="preserve"> Compliance with GDPR by </w:t>
      </w:r>
      <w:r w:rsidR="116AF59C" w:rsidRPr="00D7648A">
        <w:rPr>
          <w:rFonts w:ascii="Garamond" w:hAnsi="Garamond"/>
          <w:sz w:val="22"/>
          <w:szCs w:val="22"/>
        </w:rPr>
        <w:t xml:space="preserve">clinicians working in </w:t>
      </w:r>
      <w:r w:rsidR="073E9FB7" w:rsidRPr="00D7648A">
        <w:rPr>
          <w:rFonts w:ascii="Garamond" w:hAnsi="Garamond"/>
          <w:sz w:val="22"/>
          <w:szCs w:val="22"/>
        </w:rPr>
        <w:t>countries outside of the EEA and the UK</w:t>
      </w:r>
      <w:r w:rsidR="116AF59C" w:rsidRPr="00D7648A">
        <w:rPr>
          <w:rFonts w:ascii="Garamond" w:hAnsi="Garamond"/>
          <w:sz w:val="22"/>
          <w:szCs w:val="22"/>
        </w:rPr>
        <w:t xml:space="preserve"> would also help to facilitate data sharing with the </w:t>
      </w:r>
      <w:r w:rsidR="27E59BDC" w:rsidRPr="00D7648A">
        <w:rPr>
          <w:rFonts w:ascii="Garamond" w:hAnsi="Garamond"/>
          <w:sz w:val="22"/>
          <w:szCs w:val="22"/>
        </w:rPr>
        <w:t>Registry.</w:t>
      </w:r>
      <w:r w:rsidR="29751C75" w:rsidRPr="00D7648A">
        <w:rPr>
          <w:rFonts w:ascii="Garamond" w:hAnsi="Garamond"/>
          <w:sz w:val="22"/>
          <w:szCs w:val="22"/>
        </w:rPr>
        <w:t xml:space="preserve"> </w:t>
      </w:r>
      <w:r w:rsidR="675445D2" w:rsidRPr="00D7648A">
        <w:rPr>
          <w:rFonts w:ascii="Garamond" w:hAnsi="Garamond"/>
          <w:sz w:val="22"/>
          <w:szCs w:val="22"/>
        </w:rPr>
        <w:t xml:space="preserve">The recent report </w:t>
      </w:r>
      <w:r w:rsidR="0398379E" w:rsidRPr="00D7648A">
        <w:rPr>
          <w:rFonts w:ascii="Garamond" w:hAnsi="Garamond"/>
          <w:sz w:val="22"/>
          <w:szCs w:val="22"/>
        </w:rPr>
        <w:t>by the Registry demonstrates this feasibility, through inc</w:t>
      </w:r>
      <w:r w:rsidR="436E3501" w:rsidRPr="00D7648A">
        <w:rPr>
          <w:rFonts w:ascii="Garamond" w:hAnsi="Garamond"/>
          <w:sz w:val="22"/>
          <w:szCs w:val="22"/>
        </w:rPr>
        <w:t>l</w:t>
      </w:r>
      <w:r w:rsidR="0398379E" w:rsidRPr="00D7648A">
        <w:rPr>
          <w:rFonts w:ascii="Garamond" w:hAnsi="Garamond"/>
          <w:sz w:val="22"/>
          <w:szCs w:val="22"/>
        </w:rPr>
        <w:t>usion of data from non-E</w:t>
      </w:r>
      <w:r w:rsidR="6FD9869D" w:rsidRPr="00D7648A">
        <w:rPr>
          <w:rFonts w:ascii="Garamond" w:hAnsi="Garamond"/>
          <w:sz w:val="22"/>
          <w:szCs w:val="22"/>
        </w:rPr>
        <w:t>U</w:t>
      </w:r>
      <w:r w:rsidR="0398379E" w:rsidRPr="00D7648A">
        <w:rPr>
          <w:rFonts w:ascii="Garamond" w:hAnsi="Garamond"/>
          <w:sz w:val="22"/>
          <w:szCs w:val="22"/>
        </w:rPr>
        <w:t xml:space="preserve"> countr</w:t>
      </w:r>
      <w:r w:rsidR="436E3501" w:rsidRPr="00D7648A">
        <w:rPr>
          <w:rFonts w:ascii="Garamond" w:hAnsi="Garamond"/>
          <w:sz w:val="22"/>
          <w:szCs w:val="22"/>
        </w:rPr>
        <w:t>ies including Brazil, China, Lebanon, and Mexico.</w:t>
      </w:r>
      <w:r w:rsidR="39B1592C" w:rsidRPr="00D7648A">
        <w:rPr>
          <w:rFonts w:ascii="Garamond" w:hAnsi="Garamond"/>
          <w:sz w:val="22"/>
          <w:szCs w:val="22"/>
        </w:rPr>
        <w:t xml:space="preserve"> It is hoped that other countries participating in UTx trials</w:t>
      </w:r>
      <w:r w:rsidR="373DF939" w:rsidRPr="00D7648A">
        <w:rPr>
          <w:rFonts w:ascii="Garamond" w:hAnsi="Garamond"/>
          <w:sz w:val="22"/>
          <w:szCs w:val="22"/>
        </w:rPr>
        <w:t xml:space="preserve"> that have not yet shared data with the Registry of the ISUTx are able to do so soon, </w:t>
      </w:r>
      <w:r w:rsidR="71A6CB5F" w:rsidRPr="00D7648A">
        <w:rPr>
          <w:rFonts w:ascii="Garamond" w:hAnsi="Garamond"/>
          <w:sz w:val="22"/>
          <w:szCs w:val="22"/>
        </w:rPr>
        <w:t>to</w:t>
      </w:r>
      <w:r w:rsidR="373DF939" w:rsidRPr="00D7648A">
        <w:rPr>
          <w:rFonts w:ascii="Garamond" w:hAnsi="Garamond"/>
          <w:sz w:val="22"/>
          <w:szCs w:val="22"/>
        </w:rPr>
        <w:t xml:space="preserve"> provide a fuller worldwide picture </w:t>
      </w:r>
      <w:r w:rsidR="38013EF3" w:rsidRPr="00D7648A">
        <w:rPr>
          <w:rFonts w:ascii="Garamond" w:hAnsi="Garamond"/>
          <w:sz w:val="22"/>
          <w:szCs w:val="22"/>
        </w:rPr>
        <w:t>of the field of UTx, and to facilitate access to data.</w:t>
      </w:r>
      <w:r w:rsidR="6ADEDB9B" w:rsidRPr="00D7648A">
        <w:rPr>
          <w:rFonts w:ascii="Garamond" w:hAnsi="Garamond"/>
          <w:sz w:val="22"/>
          <w:szCs w:val="22"/>
        </w:rPr>
        <w:t xml:space="preserve"> While teams cannot be legally compelled to share such data</w:t>
      </w:r>
      <w:r w:rsidR="2DE54F9B" w:rsidRPr="00D7648A">
        <w:rPr>
          <w:rFonts w:ascii="Garamond" w:hAnsi="Garamond"/>
          <w:sz w:val="22"/>
          <w:szCs w:val="22"/>
        </w:rPr>
        <w:t xml:space="preserve"> and the </w:t>
      </w:r>
      <w:r w:rsidR="7C456DE3" w:rsidRPr="00D7648A">
        <w:rPr>
          <w:rFonts w:ascii="Garamond" w:hAnsi="Garamond"/>
          <w:sz w:val="22"/>
          <w:szCs w:val="22"/>
        </w:rPr>
        <w:t>ISUTx</w:t>
      </w:r>
      <w:r w:rsidR="2DE54F9B" w:rsidRPr="00D7648A">
        <w:rPr>
          <w:rFonts w:ascii="Garamond" w:hAnsi="Garamond"/>
          <w:sz w:val="22"/>
          <w:szCs w:val="22"/>
        </w:rPr>
        <w:t xml:space="preserve"> should not seek to </w:t>
      </w:r>
      <w:r w:rsidR="360832FC" w:rsidRPr="00D7648A">
        <w:rPr>
          <w:rFonts w:ascii="Garamond" w:hAnsi="Garamond"/>
          <w:sz w:val="22"/>
          <w:szCs w:val="22"/>
        </w:rPr>
        <w:t xml:space="preserve">force </w:t>
      </w:r>
      <w:r w:rsidR="7E7065A7" w:rsidRPr="00D7648A">
        <w:rPr>
          <w:rFonts w:ascii="Garamond" w:hAnsi="Garamond"/>
          <w:sz w:val="22"/>
          <w:szCs w:val="22"/>
        </w:rPr>
        <w:t>data sharing from teams</w:t>
      </w:r>
      <w:r w:rsidR="785E780D" w:rsidRPr="00D7648A">
        <w:rPr>
          <w:rFonts w:ascii="Garamond" w:hAnsi="Garamond"/>
          <w:sz w:val="22"/>
          <w:szCs w:val="22"/>
        </w:rPr>
        <w:t xml:space="preserve"> (</w:t>
      </w:r>
      <w:r w:rsidR="6EA749BC" w:rsidRPr="00D7648A">
        <w:rPr>
          <w:rFonts w:ascii="Garamond" w:hAnsi="Garamond"/>
          <w:sz w:val="22"/>
          <w:szCs w:val="22"/>
        </w:rPr>
        <w:t>e.g.,</w:t>
      </w:r>
      <w:r w:rsidR="785E780D" w:rsidRPr="00D7648A">
        <w:rPr>
          <w:rFonts w:ascii="Garamond" w:hAnsi="Garamond"/>
          <w:sz w:val="22"/>
          <w:szCs w:val="22"/>
        </w:rPr>
        <w:t xml:space="preserve"> through</w:t>
      </w:r>
      <w:r w:rsidR="20478836" w:rsidRPr="00D7648A">
        <w:rPr>
          <w:rFonts w:ascii="Garamond" w:hAnsi="Garamond"/>
          <w:sz w:val="22"/>
          <w:szCs w:val="22"/>
        </w:rPr>
        <w:t xml:space="preserve"> coercive and manipulative acts such as</w:t>
      </w:r>
      <w:r w:rsidR="785E780D" w:rsidRPr="00D7648A">
        <w:rPr>
          <w:rFonts w:ascii="Garamond" w:hAnsi="Garamond"/>
          <w:sz w:val="22"/>
          <w:szCs w:val="22"/>
        </w:rPr>
        <w:t xml:space="preserve"> refusing access to registry data</w:t>
      </w:r>
      <w:r w:rsidR="5E2CB360" w:rsidRPr="00D7648A">
        <w:rPr>
          <w:rFonts w:ascii="Garamond" w:hAnsi="Garamond"/>
          <w:sz w:val="22"/>
          <w:szCs w:val="22"/>
        </w:rPr>
        <w:t xml:space="preserve"> or declining</w:t>
      </w:r>
      <w:r w:rsidR="785E780D" w:rsidRPr="00D7648A">
        <w:rPr>
          <w:rFonts w:ascii="Garamond" w:hAnsi="Garamond"/>
          <w:sz w:val="22"/>
          <w:szCs w:val="22"/>
        </w:rPr>
        <w:t xml:space="preserve"> society membership</w:t>
      </w:r>
      <w:r w:rsidR="591F4CED" w:rsidRPr="00D7648A">
        <w:rPr>
          <w:rFonts w:ascii="Garamond" w:hAnsi="Garamond"/>
          <w:sz w:val="22"/>
          <w:szCs w:val="22"/>
        </w:rPr>
        <w:t xml:space="preserve"> to those who do not deposit data</w:t>
      </w:r>
      <w:r w:rsidR="785E780D" w:rsidRPr="00D7648A">
        <w:rPr>
          <w:rFonts w:ascii="Garamond" w:hAnsi="Garamond"/>
          <w:sz w:val="22"/>
          <w:szCs w:val="22"/>
        </w:rPr>
        <w:t>)</w:t>
      </w:r>
      <w:r w:rsidR="3D4990D8" w:rsidRPr="00D7648A">
        <w:rPr>
          <w:rFonts w:ascii="Garamond" w:hAnsi="Garamond"/>
          <w:sz w:val="22"/>
          <w:szCs w:val="22"/>
        </w:rPr>
        <w:t>, teams conducting UTx should recognise and respond to an</w:t>
      </w:r>
      <w:r w:rsidR="6ADEDB9B" w:rsidRPr="00D7648A">
        <w:rPr>
          <w:rFonts w:ascii="Garamond" w:hAnsi="Garamond"/>
          <w:sz w:val="22"/>
          <w:szCs w:val="22"/>
        </w:rPr>
        <w:t xml:space="preserve"> ethical imperative to d</w:t>
      </w:r>
      <w:r w:rsidR="19024622" w:rsidRPr="00D7648A">
        <w:rPr>
          <w:rFonts w:ascii="Garamond" w:hAnsi="Garamond"/>
          <w:sz w:val="22"/>
          <w:szCs w:val="22"/>
        </w:rPr>
        <w:t>eposit data</w:t>
      </w:r>
      <w:r w:rsidR="6ADEDB9B" w:rsidRPr="00D7648A">
        <w:rPr>
          <w:rFonts w:ascii="Garamond" w:hAnsi="Garamond"/>
          <w:sz w:val="22"/>
          <w:szCs w:val="22"/>
        </w:rPr>
        <w:t xml:space="preserve"> where possible </w:t>
      </w:r>
      <w:r w:rsidR="642D36CD" w:rsidRPr="00D7648A">
        <w:rPr>
          <w:rFonts w:ascii="Garamond" w:hAnsi="Garamond"/>
          <w:sz w:val="22"/>
          <w:szCs w:val="22"/>
        </w:rPr>
        <w:t>given</w:t>
      </w:r>
      <w:r w:rsidR="3D282141" w:rsidRPr="00D7648A">
        <w:rPr>
          <w:rFonts w:ascii="Garamond" w:hAnsi="Garamond"/>
          <w:sz w:val="22"/>
          <w:szCs w:val="22"/>
        </w:rPr>
        <w:t xml:space="preserve"> the benefits</w:t>
      </w:r>
      <w:r w:rsidR="437C5979" w:rsidRPr="00D7648A">
        <w:rPr>
          <w:rFonts w:ascii="Garamond" w:hAnsi="Garamond"/>
          <w:sz w:val="22"/>
          <w:szCs w:val="22"/>
        </w:rPr>
        <w:t xml:space="preserve"> that may be reaped through</w:t>
      </w:r>
      <w:r w:rsidR="3D282141" w:rsidRPr="00D7648A">
        <w:rPr>
          <w:rFonts w:ascii="Garamond" w:hAnsi="Garamond"/>
          <w:sz w:val="22"/>
          <w:szCs w:val="22"/>
        </w:rPr>
        <w:t xml:space="preserve"> data sharing, and researcher’s</w:t>
      </w:r>
      <w:r w:rsidR="7FEFD50B" w:rsidRPr="00D7648A">
        <w:rPr>
          <w:rFonts w:ascii="Garamond" w:hAnsi="Garamond"/>
          <w:sz w:val="22"/>
          <w:szCs w:val="22"/>
        </w:rPr>
        <w:t xml:space="preserve"> corresponding</w:t>
      </w:r>
      <w:r w:rsidR="3D282141" w:rsidRPr="00D7648A">
        <w:rPr>
          <w:rFonts w:ascii="Garamond" w:hAnsi="Garamond"/>
          <w:sz w:val="22"/>
          <w:szCs w:val="22"/>
        </w:rPr>
        <w:t xml:space="preserve"> obligations to both the public and research participants. </w:t>
      </w:r>
    </w:p>
    <w:p w14:paraId="7C513F68" w14:textId="4C0878C2" w:rsidR="4E2276DB" w:rsidRPr="00D7648A" w:rsidRDefault="4E2276DB" w:rsidP="6E17E365">
      <w:pPr>
        <w:jc w:val="both"/>
        <w:rPr>
          <w:rFonts w:ascii="Garamond" w:hAnsi="Garamond"/>
          <w:sz w:val="22"/>
          <w:szCs w:val="22"/>
        </w:rPr>
      </w:pPr>
    </w:p>
    <w:p w14:paraId="3D8F01E2" w14:textId="270F4850" w:rsidR="004A7242" w:rsidRPr="00D7648A" w:rsidRDefault="4BAB7154" w:rsidP="00FD6C10">
      <w:pPr>
        <w:jc w:val="both"/>
        <w:rPr>
          <w:rFonts w:ascii="Garamond" w:hAnsi="Garamond"/>
          <w:sz w:val="22"/>
          <w:szCs w:val="22"/>
        </w:rPr>
      </w:pPr>
      <w:r w:rsidRPr="00D7648A">
        <w:rPr>
          <w:rFonts w:ascii="Garamond" w:hAnsi="Garamond"/>
          <w:sz w:val="22"/>
          <w:szCs w:val="22"/>
        </w:rPr>
        <w:t>It is also recognised that p</w:t>
      </w:r>
      <w:r w:rsidR="5B99AFED" w:rsidRPr="00D7648A">
        <w:rPr>
          <w:rFonts w:ascii="Garamond" w:hAnsi="Garamond"/>
          <w:sz w:val="22"/>
          <w:szCs w:val="22"/>
        </w:rPr>
        <w:t>atient consent is fundamental to data sharing</w:t>
      </w:r>
      <w:r w:rsidR="6A575E81" w:rsidRPr="00D7648A">
        <w:rPr>
          <w:rFonts w:ascii="Garamond" w:hAnsi="Garamond"/>
          <w:sz w:val="22"/>
          <w:szCs w:val="22"/>
        </w:rPr>
        <w:t>.</w:t>
      </w:r>
      <w:r w:rsidR="2FF196E4" w:rsidRPr="00D7648A">
        <w:rPr>
          <w:rFonts w:ascii="Garamond" w:hAnsi="Garamond"/>
          <w:sz w:val="22"/>
          <w:szCs w:val="22"/>
        </w:rPr>
        <w:t xml:space="preserve"> Given this, the ISUTx </w:t>
      </w:r>
      <w:r w:rsidR="6A575E81" w:rsidRPr="00D7648A">
        <w:rPr>
          <w:rFonts w:ascii="Garamond" w:hAnsi="Garamond"/>
          <w:sz w:val="22"/>
          <w:szCs w:val="22"/>
        </w:rPr>
        <w:t>could play a role in the design of a consent form for UTx teams to use with</w:t>
      </w:r>
      <w:r w:rsidR="2392B833" w:rsidRPr="00D7648A">
        <w:rPr>
          <w:rFonts w:ascii="Garamond" w:hAnsi="Garamond"/>
          <w:sz w:val="22"/>
          <w:szCs w:val="22"/>
        </w:rPr>
        <w:t xml:space="preserve"> </w:t>
      </w:r>
      <w:r w:rsidR="6A575E81" w:rsidRPr="00D7648A">
        <w:rPr>
          <w:rFonts w:ascii="Garamond" w:hAnsi="Garamond"/>
          <w:sz w:val="22"/>
          <w:szCs w:val="22"/>
        </w:rPr>
        <w:t xml:space="preserve">participants/patients. The Registry could ensure that the consent form meets the </w:t>
      </w:r>
      <w:bookmarkStart w:id="3" w:name="_Int_kMxmYpXs"/>
      <w:r w:rsidR="6A575E81" w:rsidRPr="00D7648A">
        <w:rPr>
          <w:rFonts w:ascii="Garamond" w:hAnsi="Garamond"/>
          <w:sz w:val="22"/>
          <w:szCs w:val="22"/>
        </w:rPr>
        <w:t>high standards</w:t>
      </w:r>
      <w:bookmarkEnd w:id="3"/>
      <w:r w:rsidR="6A575E81" w:rsidRPr="00D7648A">
        <w:rPr>
          <w:rFonts w:ascii="Garamond" w:hAnsi="Garamond"/>
          <w:sz w:val="22"/>
          <w:szCs w:val="22"/>
        </w:rPr>
        <w:t xml:space="preserve"> required for GDPR and </w:t>
      </w:r>
      <w:r w:rsidR="3C2F2618" w:rsidRPr="00D7648A">
        <w:rPr>
          <w:rFonts w:ascii="Garamond" w:hAnsi="Garamond"/>
          <w:sz w:val="22"/>
          <w:szCs w:val="22"/>
        </w:rPr>
        <w:t>develop a dynamic consent model that would allow participants to consent/withdraw their consent for future secondary research use</w:t>
      </w:r>
      <w:r w:rsidR="3FF35622" w:rsidRPr="00D7648A">
        <w:rPr>
          <w:rFonts w:ascii="Garamond" w:hAnsi="Garamond"/>
          <w:sz w:val="22"/>
          <w:szCs w:val="22"/>
        </w:rPr>
        <w:t xml:space="preserve"> of their data</w:t>
      </w:r>
      <w:r w:rsidR="3C2F2618" w:rsidRPr="00D7648A">
        <w:rPr>
          <w:rFonts w:ascii="Garamond" w:hAnsi="Garamond"/>
          <w:sz w:val="22"/>
          <w:szCs w:val="22"/>
        </w:rPr>
        <w:t>.</w:t>
      </w:r>
      <w:r w:rsidR="2229CC4D" w:rsidRPr="00D7648A">
        <w:rPr>
          <w:rFonts w:ascii="Garamond" w:hAnsi="Garamond"/>
          <w:sz w:val="22"/>
          <w:szCs w:val="22"/>
        </w:rPr>
        <w:t xml:space="preserve"> </w:t>
      </w:r>
      <w:r w:rsidR="2FEAA172" w:rsidRPr="00D7648A">
        <w:rPr>
          <w:rFonts w:ascii="Garamond" w:hAnsi="Garamond"/>
          <w:sz w:val="22"/>
          <w:szCs w:val="22"/>
        </w:rPr>
        <w:t xml:space="preserve">If the data sharing policy of the Registry </w:t>
      </w:r>
      <w:r w:rsidR="689245E1" w:rsidRPr="00D7648A">
        <w:rPr>
          <w:rFonts w:ascii="Garamond" w:hAnsi="Garamond"/>
          <w:sz w:val="22"/>
          <w:szCs w:val="22"/>
        </w:rPr>
        <w:t>were</w:t>
      </w:r>
      <w:r w:rsidR="2FEAA172" w:rsidRPr="00D7648A">
        <w:rPr>
          <w:rFonts w:ascii="Garamond" w:hAnsi="Garamond"/>
          <w:sz w:val="22"/>
          <w:szCs w:val="22"/>
        </w:rPr>
        <w:t xml:space="preserve"> accessible and transparent</w:t>
      </w:r>
      <w:r w:rsidR="10692AF7" w:rsidRPr="00D7648A">
        <w:rPr>
          <w:rFonts w:ascii="Garamond" w:hAnsi="Garamond"/>
          <w:sz w:val="22"/>
          <w:szCs w:val="22"/>
        </w:rPr>
        <w:t xml:space="preserve">, this would </w:t>
      </w:r>
      <w:bookmarkStart w:id="4" w:name="_Int_cu3JNjZR"/>
      <w:r w:rsidR="10692AF7" w:rsidRPr="00D7648A">
        <w:rPr>
          <w:rFonts w:ascii="Garamond" w:hAnsi="Garamond"/>
          <w:sz w:val="22"/>
          <w:szCs w:val="22"/>
        </w:rPr>
        <w:t>likely encourage</w:t>
      </w:r>
      <w:bookmarkEnd w:id="4"/>
      <w:r w:rsidR="10692AF7" w:rsidRPr="00D7648A">
        <w:rPr>
          <w:rFonts w:ascii="Garamond" w:hAnsi="Garamond"/>
          <w:sz w:val="22"/>
          <w:szCs w:val="22"/>
        </w:rPr>
        <w:t xml:space="preserve"> participants to </w:t>
      </w:r>
      <w:r w:rsidR="09EBAD8F" w:rsidRPr="00D7648A">
        <w:rPr>
          <w:rFonts w:ascii="Garamond" w:hAnsi="Garamond"/>
          <w:sz w:val="22"/>
          <w:szCs w:val="22"/>
        </w:rPr>
        <w:t xml:space="preserve">agree to their data being shared, and clinicians would be more willing to deposit that data with the Registry. This would in turn ensure that </w:t>
      </w:r>
      <w:r w:rsidR="3EE1E57C" w:rsidRPr="00D7648A">
        <w:rPr>
          <w:rFonts w:ascii="Garamond" w:hAnsi="Garamond"/>
          <w:sz w:val="22"/>
          <w:szCs w:val="22"/>
        </w:rPr>
        <w:t>the data held by the Registry is up to date, as well as accessible.</w:t>
      </w:r>
    </w:p>
    <w:p w14:paraId="4C7C5CEC" w14:textId="26513F4D" w:rsidR="00A04184" w:rsidRPr="00D7648A" w:rsidRDefault="00A04184" w:rsidP="00FD6C10">
      <w:pPr>
        <w:jc w:val="both"/>
        <w:rPr>
          <w:rFonts w:ascii="Garamond" w:hAnsi="Garamond"/>
          <w:b/>
          <w:bCs/>
          <w:sz w:val="22"/>
          <w:szCs w:val="22"/>
        </w:rPr>
      </w:pPr>
    </w:p>
    <w:p w14:paraId="15F63AFA" w14:textId="142F9F23" w:rsidR="0008634A" w:rsidRPr="00D7648A" w:rsidRDefault="001D24F9" w:rsidP="00FD6C10">
      <w:pPr>
        <w:jc w:val="both"/>
        <w:rPr>
          <w:rFonts w:ascii="Garamond" w:hAnsi="Garamond"/>
          <w:sz w:val="22"/>
          <w:szCs w:val="22"/>
        </w:rPr>
      </w:pPr>
      <w:r w:rsidRPr="00D7648A">
        <w:rPr>
          <w:rFonts w:ascii="Garamond" w:hAnsi="Garamond"/>
          <w:sz w:val="22"/>
          <w:szCs w:val="22"/>
        </w:rPr>
        <w:t>The monitoring of long</w:t>
      </w:r>
      <w:r w:rsidR="006170D7" w:rsidRPr="00D7648A">
        <w:rPr>
          <w:rFonts w:ascii="Garamond" w:hAnsi="Garamond"/>
          <w:sz w:val="22"/>
          <w:szCs w:val="22"/>
        </w:rPr>
        <w:t>-</w:t>
      </w:r>
      <w:r w:rsidRPr="00D7648A">
        <w:rPr>
          <w:rFonts w:ascii="Garamond" w:hAnsi="Garamond"/>
          <w:sz w:val="22"/>
          <w:szCs w:val="22"/>
        </w:rPr>
        <w:t>term outcomes</w:t>
      </w:r>
      <w:r w:rsidR="006170D7" w:rsidRPr="00D7648A">
        <w:rPr>
          <w:rFonts w:ascii="Garamond" w:hAnsi="Garamond"/>
          <w:sz w:val="22"/>
          <w:szCs w:val="22"/>
        </w:rPr>
        <w:t xml:space="preserve"> of recipients, donors and children born after UTx would provide valuable data about the safety, </w:t>
      </w:r>
      <w:r w:rsidR="007005FF" w:rsidRPr="00D7648A">
        <w:rPr>
          <w:rFonts w:ascii="Garamond" w:hAnsi="Garamond"/>
          <w:sz w:val="22"/>
          <w:szCs w:val="22"/>
        </w:rPr>
        <w:t xml:space="preserve">and </w:t>
      </w:r>
      <w:r w:rsidR="006170D7" w:rsidRPr="00D7648A">
        <w:rPr>
          <w:rFonts w:ascii="Garamond" w:hAnsi="Garamond"/>
          <w:sz w:val="22"/>
          <w:szCs w:val="22"/>
        </w:rPr>
        <w:t>efficacy</w:t>
      </w:r>
      <w:r w:rsidR="007005FF" w:rsidRPr="00D7648A">
        <w:rPr>
          <w:rFonts w:ascii="Garamond" w:hAnsi="Garamond"/>
          <w:sz w:val="22"/>
          <w:szCs w:val="22"/>
        </w:rPr>
        <w:t xml:space="preserve"> of UTx; the Registry could again play </w:t>
      </w:r>
      <w:r w:rsidR="7BCAF094" w:rsidRPr="00D7648A">
        <w:rPr>
          <w:rFonts w:ascii="Garamond" w:hAnsi="Garamond"/>
          <w:sz w:val="22"/>
          <w:szCs w:val="22"/>
        </w:rPr>
        <w:t>a vital role</w:t>
      </w:r>
      <w:r w:rsidR="007005FF" w:rsidRPr="00D7648A">
        <w:rPr>
          <w:rFonts w:ascii="Garamond" w:hAnsi="Garamond"/>
          <w:sz w:val="22"/>
          <w:szCs w:val="22"/>
        </w:rPr>
        <w:t xml:space="preserve"> in co-ordinating and/or encouraging UTx teams to </w:t>
      </w:r>
      <w:r w:rsidR="00897C3E" w:rsidRPr="00D7648A">
        <w:rPr>
          <w:rFonts w:ascii="Garamond" w:hAnsi="Garamond"/>
          <w:sz w:val="22"/>
          <w:szCs w:val="22"/>
        </w:rPr>
        <w:t>engage in long term follow ups with participants and children, and the sharing of that data.</w:t>
      </w:r>
      <w:r w:rsidR="00262014" w:rsidRPr="00D7648A">
        <w:rPr>
          <w:rFonts w:ascii="Garamond" w:hAnsi="Garamond"/>
          <w:sz w:val="22"/>
          <w:szCs w:val="22"/>
        </w:rPr>
        <w:t xml:space="preserve"> Currently, the R</w:t>
      </w:r>
      <w:r w:rsidR="006426A9" w:rsidRPr="00D7648A">
        <w:rPr>
          <w:rFonts w:ascii="Garamond" w:hAnsi="Garamond"/>
          <w:sz w:val="22"/>
          <w:szCs w:val="22"/>
        </w:rPr>
        <w:t>e</w:t>
      </w:r>
      <w:r w:rsidR="00262014" w:rsidRPr="00D7648A">
        <w:rPr>
          <w:rFonts w:ascii="Garamond" w:hAnsi="Garamond"/>
          <w:sz w:val="22"/>
          <w:szCs w:val="22"/>
        </w:rPr>
        <w:t>gistry</w:t>
      </w:r>
      <w:r w:rsidR="005D1C4F" w:rsidRPr="00D7648A">
        <w:rPr>
          <w:rFonts w:ascii="Garamond" w:hAnsi="Garamond"/>
          <w:sz w:val="22"/>
          <w:szCs w:val="22"/>
        </w:rPr>
        <w:t xml:space="preserve"> of the ISUTx</w:t>
      </w:r>
      <w:r w:rsidR="006426A9" w:rsidRPr="00D7648A">
        <w:rPr>
          <w:rFonts w:ascii="Garamond" w:hAnsi="Garamond"/>
          <w:sz w:val="22"/>
          <w:szCs w:val="22"/>
        </w:rPr>
        <w:t xml:space="preserve"> includes data up to 3 months after transplant hysterectomies</w:t>
      </w:r>
      <w:r w:rsidR="00B21CD1" w:rsidRPr="00D7648A">
        <w:rPr>
          <w:rFonts w:ascii="Garamond" w:hAnsi="Garamond"/>
          <w:sz w:val="22"/>
          <w:szCs w:val="22"/>
        </w:rPr>
        <w:t>, we argue that more</w:t>
      </w:r>
      <w:r w:rsidR="0015708D" w:rsidRPr="00D7648A">
        <w:rPr>
          <w:rFonts w:ascii="Garamond" w:hAnsi="Garamond"/>
          <w:sz w:val="22"/>
          <w:szCs w:val="22"/>
        </w:rPr>
        <w:t xml:space="preserve"> long-term data collection should be collected </w:t>
      </w:r>
      <w:bookmarkStart w:id="5" w:name="_Int_CkAbFSwE"/>
      <w:r w:rsidR="0015708D" w:rsidRPr="00D7648A">
        <w:rPr>
          <w:rFonts w:ascii="Garamond" w:hAnsi="Garamond"/>
          <w:sz w:val="22"/>
          <w:szCs w:val="22"/>
        </w:rPr>
        <w:t>in order to</w:t>
      </w:r>
      <w:bookmarkEnd w:id="5"/>
      <w:r w:rsidR="0015708D" w:rsidRPr="00D7648A">
        <w:rPr>
          <w:rFonts w:ascii="Garamond" w:hAnsi="Garamond"/>
          <w:sz w:val="22"/>
          <w:szCs w:val="22"/>
        </w:rPr>
        <w:t xml:space="preserve"> provide</w:t>
      </w:r>
      <w:r w:rsidR="00A05F95" w:rsidRPr="00D7648A">
        <w:rPr>
          <w:rFonts w:ascii="Garamond" w:hAnsi="Garamond"/>
          <w:sz w:val="22"/>
          <w:szCs w:val="22"/>
        </w:rPr>
        <w:t xml:space="preserve"> a more comprehensive overview and oversight of the field of UTx.</w:t>
      </w:r>
      <w:r w:rsidR="006714F2" w:rsidRPr="00D7648A">
        <w:rPr>
          <w:rStyle w:val="FootnoteReference"/>
          <w:rFonts w:ascii="Garamond" w:hAnsi="Garamond"/>
          <w:sz w:val="22"/>
          <w:szCs w:val="22"/>
        </w:rPr>
        <w:footnoteReference w:id="50"/>
      </w:r>
      <w:r w:rsidR="005A47D9" w:rsidRPr="00D7648A">
        <w:rPr>
          <w:rFonts w:ascii="Garamond" w:hAnsi="Garamond"/>
          <w:sz w:val="22"/>
          <w:szCs w:val="22"/>
        </w:rPr>
        <w:t xml:space="preserve"> In turn, the legal</w:t>
      </w:r>
      <w:r w:rsidR="008B4372" w:rsidRPr="00D7648A">
        <w:rPr>
          <w:rFonts w:ascii="Garamond" w:hAnsi="Garamond"/>
          <w:sz w:val="22"/>
          <w:szCs w:val="22"/>
        </w:rPr>
        <w:t>ly compliant</w:t>
      </w:r>
      <w:r w:rsidR="005A47D9" w:rsidRPr="00D7648A">
        <w:rPr>
          <w:rFonts w:ascii="Garamond" w:hAnsi="Garamond"/>
          <w:sz w:val="22"/>
          <w:szCs w:val="22"/>
        </w:rPr>
        <w:t xml:space="preserve"> and ethical sharing of this data</w:t>
      </w:r>
      <w:r w:rsidR="00903530" w:rsidRPr="00D7648A">
        <w:rPr>
          <w:rFonts w:ascii="Garamond" w:hAnsi="Garamond"/>
          <w:sz w:val="22"/>
          <w:szCs w:val="22"/>
        </w:rPr>
        <w:t xml:space="preserve"> in accordance with </w:t>
      </w:r>
      <w:r w:rsidR="00CA57F1" w:rsidRPr="00D7648A">
        <w:rPr>
          <w:rFonts w:ascii="Garamond" w:hAnsi="Garamond"/>
          <w:sz w:val="22"/>
          <w:szCs w:val="22"/>
        </w:rPr>
        <w:t>participant consent</w:t>
      </w:r>
      <w:r w:rsidR="005A47D9" w:rsidRPr="00D7648A">
        <w:rPr>
          <w:rFonts w:ascii="Garamond" w:hAnsi="Garamond"/>
          <w:sz w:val="22"/>
          <w:szCs w:val="22"/>
        </w:rPr>
        <w:t xml:space="preserve"> would be beneficial to treating clinicians, </w:t>
      </w:r>
      <w:r w:rsidR="008B4372" w:rsidRPr="00D7648A">
        <w:rPr>
          <w:rFonts w:ascii="Garamond" w:hAnsi="Garamond"/>
          <w:sz w:val="22"/>
          <w:szCs w:val="22"/>
        </w:rPr>
        <w:t>participants, and other interested parties.</w:t>
      </w:r>
    </w:p>
    <w:p w14:paraId="0B0A40E3" w14:textId="77777777" w:rsidR="00544557" w:rsidRPr="00D7648A" w:rsidRDefault="00544557" w:rsidP="00FD6C10">
      <w:pPr>
        <w:jc w:val="both"/>
        <w:rPr>
          <w:rFonts w:ascii="Garamond" w:hAnsi="Garamond"/>
          <w:sz w:val="22"/>
          <w:szCs w:val="22"/>
        </w:rPr>
      </w:pPr>
    </w:p>
    <w:p w14:paraId="56C8CDA7" w14:textId="0EE4E0B4" w:rsidR="0052307C" w:rsidRPr="00D7648A" w:rsidRDefault="00032D83" w:rsidP="4E2276DB">
      <w:pPr>
        <w:jc w:val="both"/>
        <w:rPr>
          <w:rStyle w:val="normaltextrun"/>
          <w:rFonts w:ascii="Garamond" w:hAnsi="Garamond" w:cs="Segoe UI"/>
          <w:sz w:val="22"/>
          <w:szCs w:val="22"/>
        </w:rPr>
      </w:pPr>
      <w:r w:rsidRPr="3EA05ED7">
        <w:rPr>
          <w:rFonts w:ascii="Garamond" w:hAnsi="Garamond"/>
          <w:sz w:val="22"/>
          <w:szCs w:val="22"/>
        </w:rPr>
        <w:t xml:space="preserve">Moving forward, we further suggest that </w:t>
      </w:r>
      <w:r w:rsidR="00697D81" w:rsidRPr="3EA05ED7">
        <w:rPr>
          <w:rFonts w:ascii="Garamond" w:hAnsi="Garamond"/>
          <w:sz w:val="22"/>
          <w:szCs w:val="22"/>
        </w:rPr>
        <w:t xml:space="preserve">UTx teams keep </w:t>
      </w:r>
      <w:r w:rsidRPr="3EA05ED7">
        <w:rPr>
          <w:rFonts w:ascii="Garamond" w:hAnsi="Garamond"/>
          <w:sz w:val="22"/>
          <w:szCs w:val="22"/>
        </w:rPr>
        <w:t xml:space="preserve">their </w:t>
      </w:r>
      <w:r w:rsidR="00697D81" w:rsidRPr="3EA05ED7">
        <w:rPr>
          <w:rFonts w:ascii="Garamond" w:hAnsi="Garamond"/>
          <w:sz w:val="22"/>
          <w:szCs w:val="22"/>
        </w:rPr>
        <w:t>websites up to date with info</w:t>
      </w:r>
      <w:r w:rsidR="00CD245C" w:rsidRPr="3EA05ED7">
        <w:rPr>
          <w:rFonts w:ascii="Garamond" w:hAnsi="Garamond"/>
          <w:sz w:val="22"/>
          <w:szCs w:val="22"/>
        </w:rPr>
        <w:t>rmation</w:t>
      </w:r>
      <w:r w:rsidR="00697D81" w:rsidRPr="3EA05ED7">
        <w:rPr>
          <w:rFonts w:ascii="Garamond" w:hAnsi="Garamond"/>
          <w:sz w:val="22"/>
          <w:szCs w:val="22"/>
        </w:rPr>
        <w:t xml:space="preserve"> that is accessible to lay people</w:t>
      </w:r>
      <w:r w:rsidR="23FB4BF5" w:rsidRPr="3EA05ED7">
        <w:rPr>
          <w:rFonts w:ascii="Garamond" w:hAnsi="Garamond"/>
          <w:sz w:val="22"/>
          <w:szCs w:val="22"/>
        </w:rPr>
        <w:t>.</w:t>
      </w:r>
      <w:r w:rsidR="00CD245C" w:rsidRPr="3EA05ED7">
        <w:rPr>
          <w:rFonts w:ascii="Garamond" w:hAnsi="Garamond"/>
          <w:sz w:val="22"/>
          <w:szCs w:val="22"/>
        </w:rPr>
        <w:t xml:space="preserve"> </w:t>
      </w:r>
      <w:r w:rsidR="5F7D2992" w:rsidRPr="3EA05ED7">
        <w:rPr>
          <w:rFonts w:ascii="Garamond" w:hAnsi="Garamond"/>
          <w:sz w:val="22"/>
          <w:szCs w:val="22"/>
        </w:rPr>
        <w:t>T</w:t>
      </w:r>
      <w:r w:rsidR="00CD245C" w:rsidRPr="3EA05ED7">
        <w:rPr>
          <w:rFonts w:ascii="Garamond" w:hAnsi="Garamond"/>
          <w:sz w:val="22"/>
          <w:szCs w:val="22"/>
        </w:rPr>
        <w:t>his would help to inform the interested public and mitigate</w:t>
      </w:r>
      <w:r w:rsidR="007A35B5" w:rsidRPr="3EA05ED7">
        <w:rPr>
          <w:rFonts w:ascii="Garamond" w:hAnsi="Garamond"/>
          <w:sz w:val="22"/>
          <w:szCs w:val="22"/>
        </w:rPr>
        <w:t xml:space="preserve"> the dissemination of incorrect information through social </w:t>
      </w:r>
      <w:r w:rsidR="08AA794C" w:rsidRPr="3EA05ED7">
        <w:rPr>
          <w:rFonts w:ascii="Garamond" w:hAnsi="Garamond"/>
          <w:sz w:val="22"/>
          <w:szCs w:val="22"/>
        </w:rPr>
        <w:t>media. Finally</w:t>
      </w:r>
      <w:r w:rsidR="008871FC" w:rsidRPr="3EA05ED7">
        <w:rPr>
          <w:rFonts w:ascii="Garamond" w:hAnsi="Garamond"/>
          <w:sz w:val="22"/>
          <w:szCs w:val="22"/>
        </w:rPr>
        <w:t xml:space="preserve">, we suggest that where there are </w:t>
      </w:r>
      <w:r w:rsidR="005348FF" w:rsidRPr="3EA05ED7">
        <w:rPr>
          <w:rStyle w:val="normaltextrun"/>
          <w:rFonts w:ascii="Garamond" w:hAnsi="Garamond" w:cs="Segoe UI"/>
          <w:sz w:val="22"/>
          <w:szCs w:val="22"/>
        </w:rPr>
        <w:t>informal data sharing mechanisms</w:t>
      </w:r>
      <w:r w:rsidR="008871FC" w:rsidRPr="3EA05ED7">
        <w:rPr>
          <w:rStyle w:val="normaltextrun"/>
          <w:rFonts w:ascii="Garamond" w:hAnsi="Garamond" w:cs="Segoe UI"/>
          <w:sz w:val="22"/>
          <w:szCs w:val="22"/>
        </w:rPr>
        <w:t xml:space="preserve"> in use</w:t>
      </w:r>
      <w:r w:rsidR="005348FF" w:rsidRPr="3EA05ED7">
        <w:rPr>
          <w:rStyle w:val="normaltextrun"/>
          <w:rFonts w:ascii="Garamond" w:hAnsi="Garamond" w:cs="Segoe UI"/>
          <w:sz w:val="22"/>
          <w:szCs w:val="22"/>
        </w:rPr>
        <w:t>, care should be taken to ensure that the information discussed is presented and explained accurately and understood by all parties and that any information disclosed/shared adheres to relevant data protection and I</w:t>
      </w:r>
      <w:r w:rsidR="00C453B6" w:rsidRPr="3EA05ED7">
        <w:rPr>
          <w:rStyle w:val="normaltextrun"/>
          <w:rFonts w:ascii="Garamond" w:hAnsi="Garamond" w:cs="Segoe UI"/>
          <w:sz w:val="22"/>
          <w:szCs w:val="22"/>
        </w:rPr>
        <w:t xml:space="preserve">ntellectual </w:t>
      </w:r>
      <w:r w:rsidR="005348FF" w:rsidRPr="3EA05ED7">
        <w:rPr>
          <w:rStyle w:val="normaltextrun"/>
          <w:rFonts w:ascii="Garamond" w:hAnsi="Garamond" w:cs="Segoe UI"/>
          <w:sz w:val="22"/>
          <w:szCs w:val="22"/>
        </w:rPr>
        <w:t>P</w:t>
      </w:r>
      <w:r w:rsidR="00C453B6" w:rsidRPr="3EA05ED7">
        <w:rPr>
          <w:rStyle w:val="normaltextrun"/>
          <w:rFonts w:ascii="Garamond" w:hAnsi="Garamond" w:cs="Segoe UI"/>
          <w:sz w:val="22"/>
          <w:szCs w:val="22"/>
        </w:rPr>
        <w:t>roperty</w:t>
      </w:r>
      <w:r w:rsidR="005348FF" w:rsidRPr="3EA05ED7">
        <w:rPr>
          <w:rStyle w:val="normaltextrun"/>
          <w:rFonts w:ascii="Garamond" w:hAnsi="Garamond" w:cs="Segoe UI"/>
          <w:sz w:val="22"/>
          <w:szCs w:val="22"/>
        </w:rPr>
        <w:t xml:space="preserve"> legislation. </w:t>
      </w:r>
      <w:r w:rsidR="00650882" w:rsidRPr="3EA05ED7">
        <w:rPr>
          <w:rStyle w:val="normaltextrun"/>
          <w:rFonts w:ascii="Garamond" w:hAnsi="Garamond" w:cs="Segoe UI"/>
          <w:sz w:val="22"/>
          <w:szCs w:val="22"/>
        </w:rPr>
        <w:t>This includes ensuring that the person to whom the data relates has given permission for the sharing of their data</w:t>
      </w:r>
      <w:r w:rsidR="00B526E7" w:rsidRPr="3EA05ED7">
        <w:rPr>
          <w:rStyle w:val="normaltextrun"/>
          <w:rFonts w:ascii="Garamond" w:hAnsi="Garamond" w:cs="Segoe UI"/>
          <w:sz w:val="22"/>
          <w:szCs w:val="22"/>
        </w:rPr>
        <w:t>, and that there are clear parameters set with t</w:t>
      </w:r>
      <w:r w:rsidR="7704C3E7" w:rsidRPr="3EA05ED7">
        <w:rPr>
          <w:rStyle w:val="normaltextrun"/>
          <w:rFonts w:ascii="Garamond" w:hAnsi="Garamond" w:cs="Segoe UI"/>
          <w:sz w:val="22"/>
          <w:szCs w:val="22"/>
        </w:rPr>
        <w:t>hose whom the data is shared</w:t>
      </w:r>
      <w:r w:rsidR="00B526E7" w:rsidRPr="3EA05ED7">
        <w:rPr>
          <w:rStyle w:val="normaltextrun"/>
          <w:rFonts w:ascii="Garamond" w:hAnsi="Garamond" w:cs="Segoe UI"/>
          <w:sz w:val="22"/>
          <w:szCs w:val="22"/>
        </w:rPr>
        <w:t xml:space="preserve">, </w:t>
      </w:r>
      <w:r w:rsidR="101D9321" w:rsidRPr="3EA05ED7">
        <w:rPr>
          <w:rStyle w:val="normaltextrun"/>
          <w:rFonts w:ascii="Garamond" w:hAnsi="Garamond" w:cs="Segoe UI"/>
          <w:sz w:val="22"/>
          <w:szCs w:val="22"/>
        </w:rPr>
        <w:t>to</w:t>
      </w:r>
      <w:r w:rsidR="2F4312B5" w:rsidRPr="3EA05ED7">
        <w:rPr>
          <w:rStyle w:val="normaltextrun"/>
          <w:rFonts w:ascii="Garamond" w:hAnsi="Garamond" w:cs="Segoe UI"/>
          <w:sz w:val="22"/>
          <w:szCs w:val="22"/>
        </w:rPr>
        <w:t xml:space="preserve"> mitigate risks of inappropriate use of data shared</w:t>
      </w:r>
      <w:r w:rsidR="00B526E7" w:rsidRPr="3EA05ED7">
        <w:rPr>
          <w:rStyle w:val="normaltextrun"/>
          <w:rFonts w:ascii="Garamond" w:hAnsi="Garamond" w:cs="Segoe UI"/>
          <w:sz w:val="22"/>
          <w:szCs w:val="22"/>
        </w:rPr>
        <w:t>.</w:t>
      </w:r>
    </w:p>
    <w:p w14:paraId="5B79CE5C" w14:textId="03DD9B25" w:rsidR="4E2276DB" w:rsidRPr="00D7648A" w:rsidRDefault="4E2276DB" w:rsidP="4E2276DB">
      <w:pPr>
        <w:jc w:val="both"/>
        <w:rPr>
          <w:rStyle w:val="normaltextrun"/>
          <w:rFonts w:ascii="Garamond" w:hAnsi="Garamond" w:cs="Segoe UI"/>
          <w:sz w:val="22"/>
          <w:szCs w:val="22"/>
        </w:rPr>
      </w:pPr>
    </w:p>
    <w:p w14:paraId="0E40D96F" w14:textId="05213AF5" w:rsidR="4E2276DB" w:rsidRPr="00D7648A" w:rsidRDefault="4E2276DB" w:rsidP="4E2276DB">
      <w:pPr>
        <w:jc w:val="both"/>
        <w:rPr>
          <w:rStyle w:val="normaltextrun"/>
          <w:rFonts w:ascii="Garamond" w:hAnsi="Garamond" w:cs="Segoe UI"/>
          <w:sz w:val="22"/>
          <w:szCs w:val="22"/>
        </w:rPr>
      </w:pPr>
    </w:p>
    <w:sectPr w:rsidR="4E2276DB" w:rsidRPr="00D7648A" w:rsidSect="008C5C59">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B0BF8" w14:textId="77777777" w:rsidR="008C5C59" w:rsidRDefault="008C5C59" w:rsidP="005014FC">
      <w:r>
        <w:separator/>
      </w:r>
    </w:p>
  </w:endnote>
  <w:endnote w:type="continuationSeparator" w:id="0">
    <w:p w14:paraId="0B98D4A1" w14:textId="77777777" w:rsidR="008C5C59" w:rsidRDefault="008C5C59" w:rsidP="005014FC">
      <w:r>
        <w:continuationSeparator/>
      </w:r>
    </w:p>
  </w:endnote>
  <w:endnote w:type="continuationNotice" w:id="1">
    <w:p w14:paraId="08280A45" w14:textId="77777777" w:rsidR="008C5C59" w:rsidRDefault="008C5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altName w:val="游明朝"/>
    <w:panose1 w:val="00000000000000000000"/>
    <w:charset w:val="80"/>
    <w:family w:val="roman"/>
    <w:notTrueType/>
    <w:pitch w:val="default"/>
  </w:font>
  <w:font w:name="GuardianSans-RegularIt">
    <w:altName w:val="Calibri"/>
    <w:charset w:val="00"/>
    <w:family w:val="auto"/>
    <w:pitch w:val="default"/>
    <w:sig w:usb0="00000003" w:usb1="00000000" w:usb2="00000000" w:usb3="00000000" w:csb0="00000001" w:csb1="00000000"/>
  </w:font>
  <w:font w:name="GuardianSansGR-Regular">
    <w:altName w:val="Yu Gothic"/>
    <w:charset w:val="80"/>
    <w:family w:val="auto"/>
    <w:pitch w:val="default"/>
    <w:sig w:usb0="00000001" w:usb1="08070000" w:usb2="00000010" w:usb3="00000000" w:csb0="00020000" w:csb1="00000000"/>
  </w:font>
  <w:font w:name="AvenirNextLTPro-It">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8343A72" w14:paraId="3187713C" w14:textId="77777777" w:rsidTr="58343A72">
      <w:trPr>
        <w:trHeight w:val="300"/>
      </w:trPr>
      <w:tc>
        <w:tcPr>
          <w:tcW w:w="3005" w:type="dxa"/>
        </w:tcPr>
        <w:p w14:paraId="7B131D2B" w14:textId="669DC558" w:rsidR="58343A72" w:rsidRDefault="58343A72" w:rsidP="58343A72">
          <w:pPr>
            <w:pStyle w:val="Header"/>
            <w:ind w:left="-115"/>
          </w:pPr>
        </w:p>
      </w:tc>
      <w:tc>
        <w:tcPr>
          <w:tcW w:w="3005" w:type="dxa"/>
        </w:tcPr>
        <w:p w14:paraId="2F8D4365" w14:textId="4867D839" w:rsidR="58343A72" w:rsidRDefault="58343A72" w:rsidP="58343A72">
          <w:pPr>
            <w:pStyle w:val="Header"/>
            <w:jc w:val="center"/>
          </w:pPr>
        </w:p>
      </w:tc>
      <w:tc>
        <w:tcPr>
          <w:tcW w:w="3005" w:type="dxa"/>
        </w:tcPr>
        <w:p w14:paraId="4B28EE26" w14:textId="7DA57B4D" w:rsidR="58343A72" w:rsidRDefault="58343A72" w:rsidP="58343A72">
          <w:pPr>
            <w:pStyle w:val="Header"/>
            <w:ind w:right="-115"/>
            <w:jc w:val="right"/>
          </w:pPr>
        </w:p>
      </w:tc>
    </w:tr>
  </w:tbl>
  <w:p w14:paraId="124A18A7" w14:textId="47D4BFD2" w:rsidR="58343A72" w:rsidRDefault="58343A72" w:rsidP="58343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15678" w14:textId="77777777" w:rsidR="008C5C59" w:rsidRDefault="008C5C59" w:rsidP="005014FC">
      <w:r>
        <w:separator/>
      </w:r>
    </w:p>
  </w:footnote>
  <w:footnote w:type="continuationSeparator" w:id="0">
    <w:p w14:paraId="4D8DF238" w14:textId="77777777" w:rsidR="008C5C59" w:rsidRDefault="008C5C59" w:rsidP="005014FC">
      <w:r>
        <w:continuationSeparator/>
      </w:r>
    </w:p>
  </w:footnote>
  <w:footnote w:type="continuationNotice" w:id="1">
    <w:p w14:paraId="59BD067C" w14:textId="77777777" w:rsidR="008C5C59" w:rsidRDefault="008C5C59"/>
  </w:footnote>
  <w:footnote w:id="2">
    <w:p w14:paraId="51579008" w14:textId="6971DFC9" w:rsidR="00056197" w:rsidRPr="00D7648A" w:rsidRDefault="00056197">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5F4FA0" w:rsidRPr="00D7648A">
        <w:rPr>
          <w:rFonts w:ascii="Garamond" w:hAnsi="Garamond"/>
          <w:sz w:val="16"/>
          <w:szCs w:val="16"/>
        </w:rPr>
        <w:t xml:space="preserve">Email from </w:t>
      </w:r>
      <w:r w:rsidR="004216BA" w:rsidRPr="00D7648A">
        <w:rPr>
          <w:rFonts w:ascii="Garamond" w:hAnsi="Garamond"/>
          <w:sz w:val="16"/>
          <w:szCs w:val="16"/>
        </w:rPr>
        <w:t>International Society of Uterus Transplantation</w:t>
      </w:r>
      <w:r w:rsidR="00AC6808" w:rsidRPr="00D7648A">
        <w:rPr>
          <w:rFonts w:ascii="Garamond" w:hAnsi="Garamond"/>
          <w:sz w:val="16"/>
          <w:szCs w:val="16"/>
        </w:rPr>
        <w:t xml:space="preserve"> Mailing list to author</w:t>
      </w:r>
      <w:r w:rsidR="00CC3259" w:rsidRPr="00D7648A">
        <w:rPr>
          <w:rFonts w:ascii="Garamond" w:hAnsi="Garamond"/>
          <w:sz w:val="16"/>
          <w:szCs w:val="16"/>
        </w:rPr>
        <w:t>s (1 March 2022)</w:t>
      </w:r>
    </w:p>
  </w:footnote>
  <w:footnote w:id="3">
    <w:p w14:paraId="1B34B210" w14:textId="1A25FBC2" w:rsidR="002D47CC" w:rsidRPr="00D7648A" w:rsidRDefault="002D47CC">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C17D31" w:rsidRPr="00D7648A">
        <w:rPr>
          <w:rFonts w:ascii="Garamond" w:hAnsi="Garamond"/>
          <w:sz w:val="16"/>
          <w:szCs w:val="16"/>
        </w:rPr>
        <w:t xml:space="preserve">European Commission, </w:t>
      </w:r>
      <w:r w:rsidR="00C17D31" w:rsidRPr="00D7648A">
        <w:rPr>
          <w:rFonts w:ascii="Garamond" w:hAnsi="Garamond"/>
          <w:i/>
          <w:iCs/>
          <w:sz w:val="16"/>
          <w:szCs w:val="16"/>
        </w:rPr>
        <w:t>Open Science</w:t>
      </w:r>
      <w:r w:rsidR="00C17D31" w:rsidRPr="00D7648A">
        <w:rPr>
          <w:rFonts w:ascii="Garamond" w:hAnsi="Garamond"/>
          <w:sz w:val="16"/>
          <w:szCs w:val="16"/>
        </w:rPr>
        <w:t xml:space="preserve"> (2019)</w:t>
      </w:r>
      <w:r w:rsidR="006C2CE2" w:rsidRPr="00D7648A">
        <w:rPr>
          <w:rFonts w:ascii="Garamond" w:hAnsi="Garamond"/>
          <w:sz w:val="16"/>
          <w:szCs w:val="16"/>
        </w:rPr>
        <w:t>. [online] Available at: &lt;</w:t>
      </w:r>
      <w:hyperlink r:id="rId1" w:history="1">
        <w:r w:rsidR="006C2CE2" w:rsidRPr="00D7648A">
          <w:rPr>
            <w:rStyle w:val="Hyperlink"/>
            <w:rFonts w:ascii="Garamond" w:hAnsi="Garamond"/>
            <w:color w:val="auto"/>
            <w:sz w:val="16"/>
            <w:szCs w:val="16"/>
          </w:rPr>
          <w:t>https://ec.europa.eu/info/sites/default/files/research_and_innovation/knowledge_publications_tools_and_data/documents/ec_rtd_factsheet-open-science_2019.pdf</w:t>
        </w:r>
      </w:hyperlink>
      <w:r w:rsidR="006C2CE2" w:rsidRPr="00D7648A">
        <w:rPr>
          <w:rFonts w:ascii="Garamond" w:hAnsi="Garamond"/>
          <w:sz w:val="16"/>
          <w:szCs w:val="16"/>
        </w:rPr>
        <w:t>&gt; [accessed 18 May 2022]</w:t>
      </w:r>
      <w:r w:rsidR="00B07029" w:rsidRPr="00D7648A">
        <w:rPr>
          <w:rFonts w:ascii="Garamond" w:hAnsi="Garamond"/>
          <w:sz w:val="16"/>
          <w:szCs w:val="16"/>
        </w:rPr>
        <w:t>, 1</w:t>
      </w:r>
    </w:p>
  </w:footnote>
  <w:footnote w:id="4">
    <w:p w14:paraId="0E8D0102" w14:textId="03EDE41E" w:rsidR="00B07029" w:rsidRPr="00D7648A" w:rsidRDefault="00B07029" w:rsidP="00050F8A">
      <w:pPr>
        <w:pStyle w:val="FootnoteText"/>
        <w:rPr>
          <w:rFonts w:ascii="Garamond" w:hAnsi="Garamond"/>
          <w:sz w:val="16"/>
          <w:szCs w:val="16"/>
        </w:rPr>
      </w:pPr>
      <w:r w:rsidRPr="00D7648A">
        <w:rPr>
          <w:rStyle w:val="FootnoteReference"/>
          <w:rFonts w:ascii="Garamond" w:hAnsi="Garamond"/>
          <w:sz w:val="16"/>
          <w:szCs w:val="16"/>
        </w:rPr>
        <w:footnoteRef/>
      </w:r>
      <w:r w:rsidR="12F20B55" w:rsidRPr="00D7648A">
        <w:rPr>
          <w:rFonts w:ascii="Garamond" w:hAnsi="Garamond"/>
          <w:sz w:val="16"/>
          <w:szCs w:val="16"/>
        </w:rPr>
        <w:t xml:space="preserve"> Department for Business, Energy, and Industrial Strategy, </w:t>
      </w:r>
      <w:r w:rsidR="12F20B55" w:rsidRPr="00D7648A">
        <w:rPr>
          <w:rFonts w:ascii="Garamond" w:hAnsi="Garamond"/>
          <w:i/>
          <w:iCs/>
          <w:sz w:val="16"/>
          <w:szCs w:val="16"/>
        </w:rPr>
        <w:t>UK Research and Development Roadmap</w:t>
      </w:r>
      <w:r w:rsidR="12F20B55" w:rsidRPr="00D7648A">
        <w:rPr>
          <w:rFonts w:ascii="Garamond" w:hAnsi="Garamond"/>
          <w:sz w:val="16"/>
          <w:szCs w:val="16"/>
        </w:rPr>
        <w:t xml:space="preserve"> (2020). [online] Available at: </w:t>
      </w:r>
      <w:hyperlink r:id="rId2" w:history="1">
        <w:r w:rsidR="12F20B55" w:rsidRPr="00D7648A">
          <w:rPr>
            <w:rStyle w:val="Hyperlink"/>
            <w:rFonts w:ascii="Garamond" w:hAnsi="Garamond"/>
            <w:color w:val="auto"/>
            <w:sz w:val="16"/>
            <w:szCs w:val="16"/>
          </w:rPr>
          <w:t>https://assets.publishing.service.gov.uk/government/uploads/system/uploads/attachment_data/file/896799/UK_Research_and_Development_Roadmap.pdf</w:t>
        </w:r>
      </w:hyperlink>
      <w:r w:rsidR="12F20B55" w:rsidRPr="00D7648A">
        <w:rPr>
          <w:rFonts w:ascii="Garamond" w:hAnsi="Garamond"/>
          <w:sz w:val="16"/>
          <w:szCs w:val="16"/>
        </w:rPr>
        <w:t>, [accessed 18 May 2022],</w:t>
      </w:r>
      <w:r w:rsidR="00E712AF" w:rsidRPr="00D7648A">
        <w:rPr>
          <w:rFonts w:ascii="Garamond" w:hAnsi="Garamond"/>
          <w:sz w:val="16"/>
          <w:szCs w:val="16"/>
        </w:rPr>
        <w:t xml:space="preserve"> </w:t>
      </w:r>
      <w:r w:rsidR="12F20B55" w:rsidRPr="00D7648A">
        <w:rPr>
          <w:rFonts w:ascii="Garamond" w:hAnsi="Garamond"/>
          <w:sz w:val="16"/>
          <w:szCs w:val="16"/>
        </w:rPr>
        <w:t>51</w:t>
      </w:r>
    </w:p>
  </w:footnote>
  <w:footnote w:id="5">
    <w:p w14:paraId="6DE1435C" w14:textId="717AAE5E" w:rsidR="00E73C2D" w:rsidRPr="00D7648A" w:rsidRDefault="00E73C2D" w:rsidP="00793FC5">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World Medical Association,</w:t>
      </w:r>
      <w:r w:rsidR="00DB1FEF" w:rsidRPr="00D7648A">
        <w:rPr>
          <w:rFonts w:ascii="Garamond" w:hAnsi="Garamond"/>
          <w:sz w:val="16"/>
          <w:szCs w:val="16"/>
        </w:rPr>
        <w:t xml:space="preserve"> </w:t>
      </w:r>
      <w:r w:rsidRPr="00D7648A">
        <w:rPr>
          <w:rFonts w:ascii="Garamond" w:hAnsi="Garamond"/>
          <w:sz w:val="16"/>
          <w:szCs w:val="16"/>
        </w:rPr>
        <w:t>Declaration of Helsinki</w:t>
      </w:r>
      <w:r w:rsidR="00DB1FEF" w:rsidRPr="00D7648A">
        <w:rPr>
          <w:rFonts w:ascii="Garamond" w:hAnsi="Garamond"/>
          <w:sz w:val="16"/>
          <w:szCs w:val="16"/>
        </w:rPr>
        <w:t>.</w:t>
      </w:r>
      <w:r w:rsidR="009A1BF0" w:rsidRPr="00D7648A">
        <w:rPr>
          <w:rFonts w:ascii="Garamond" w:hAnsi="Garamond"/>
          <w:sz w:val="16"/>
          <w:szCs w:val="16"/>
        </w:rPr>
        <w:t xml:space="preserve"> </w:t>
      </w:r>
      <w:r w:rsidR="00EE01C1" w:rsidRPr="00D7648A">
        <w:rPr>
          <w:rFonts w:ascii="Garamond" w:hAnsi="Garamond"/>
          <w:sz w:val="16"/>
          <w:szCs w:val="16"/>
        </w:rPr>
        <w:t>(</w:t>
      </w:r>
      <w:r w:rsidR="009A1BF0" w:rsidRPr="00D7648A">
        <w:rPr>
          <w:rFonts w:ascii="Garamond" w:hAnsi="Garamond"/>
          <w:sz w:val="16"/>
          <w:szCs w:val="16"/>
        </w:rPr>
        <w:t>2013</w:t>
      </w:r>
      <w:r w:rsidR="00EE01C1" w:rsidRPr="00D7648A">
        <w:rPr>
          <w:rFonts w:ascii="Garamond" w:hAnsi="Garamond"/>
          <w:sz w:val="16"/>
          <w:szCs w:val="16"/>
        </w:rPr>
        <w:t>)</w:t>
      </w:r>
      <w:r w:rsidR="00D11940" w:rsidRPr="00D7648A">
        <w:rPr>
          <w:rFonts w:ascii="Garamond" w:hAnsi="Garamond"/>
          <w:sz w:val="16"/>
          <w:szCs w:val="16"/>
        </w:rPr>
        <w:t xml:space="preserve"> 310(20)</w:t>
      </w:r>
      <w:r w:rsidR="009924EC" w:rsidRPr="00D7648A">
        <w:rPr>
          <w:rFonts w:ascii="Garamond" w:hAnsi="Garamond"/>
          <w:sz w:val="16"/>
          <w:szCs w:val="16"/>
        </w:rPr>
        <w:t xml:space="preserve"> JAMA </w:t>
      </w:r>
      <w:r w:rsidR="00DB1FEF" w:rsidRPr="00D7648A">
        <w:rPr>
          <w:rFonts w:ascii="Garamond" w:hAnsi="Garamond"/>
          <w:sz w:val="16"/>
          <w:szCs w:val="16"/>
        </w:rPr>
        <w:t>219</w:t>
      </w:r>
      <w:r w:rsidR="003F6925" w:rsidRPr="00D7648A">
        <w:rPr>
          <w:rFonts w:ascii="Garamond" w:hAnsi="Garamond"/>
          <w:sz w:val="16"/>
          <w:szCs w:val="16"/>
        </w:rPr>
        <w:t xml:space="preserve">1, </w:t>
      </w:r>
      <w:r w:rsidR="00DB1FEF" w:rsidRPr="00D7648A">
        <w:rPr>
          <w:rFonts w:ascii="Garamond" w:hAnsi="Garamond"/>
          <w:sz w:val="16"/>
          <w:szCs w:val="16"/>
        </w:rPr>
        <w:t xml:space="preserve">s. 36. </w:t>
      </w:r>
    </w:p>
  </w:footnote>
  <w:footnote w:id="6">
    <w:p w14:paraId="1E3F34DE" w14:textId="51D0F7D0" w:rsidR="00050F8A" w:rsidRPr="00D7648A" w:rsidRDefault="00050F8A" w:rsidP="00793FC5">
      <w:pPr>
        <w:pStyle w:val="NormalWeb"/>
        <w:spacing w:before="0" w:beforeAutospacing="0" w:after="0" w:afterAutospacing="0"/>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World Health Organisation, </w:t>
      </w:r>
      <w:r w:rsidRPr="00D7648A">
        <w:rPr>
          <w:rFonts w:ascii="Garamond" w:hAnsi="Garamond" w:cs="Calibri"/>
          <w:i/>
          <w:iCs/>
          <w:sz w:val="16"/>
          <w:szCs w:val="16"/>
        </w:rPr>
        <w:t>World Health Organization Data Principles</w:t>
      </w:r>
      <w:r w:rsidRPr="00D7648A">
        <w:rPr>
          <w:rFonts w:ascii="Garamond" w:hAnsi="Garamond" w:cs="Calibri"/>
          <w:sz w:val="16"/>
          <w:szCs w:val="16"/>
        </w:rPr>
        <w:t xml:space="preserve"> (2020) [online] available at:</w:t>
      </w:r>
      <w:r w:rsidRPr="00D7648A">
        <w:rPr>
          <w:rFonts w:ascii="Garamond" w:hAnsi="Garamond" w:cs="Calibri"/>
          <w:b/>
          <w:bCs/>
          <w:sz w:val="16"/>
          <w:szCs w:val="16"/>
        </w:rPr>
        <w:t xml:space="preserve"> </w:t>
      </w:r>
      <w:r w:rsidRPr="00D7648A">
        <w:rPr>
          <w:rFonts w:ascii="Garamond" w:hAnsi="Garamond" w:cs="Calibri"/>
          <w:sz w:val="16"/>
          <w:szCs w:val="16"/>
        </w:rPr>
        <w:t>&lt;</w:t>
      </w:r>
      <w:hyperlink r:id="rId3" w:history="1">
        <w:r w:rsidRPr="00D7648A">
          <w:rPr>
            <w:rStyle w:val="Hyperlink"/>
            <w:rFonts w:ascii="Garamond" w:hAnsi="Garamond" w:cs="Calibri"/>
            <w:color w:val="auto"/>
            <w:sz w:val="16"/>
            <w:szCs w:val="16"/>
          </w:rPr>
          <w:t>https://cdn.who.int/media/docs/default-source/world-health-data-platform/who-data-principles-10aug-(3)_64f62ef2-254b-41f4-9e3e-57ee6330b0bb.pdf?sfvrsn=3d89acf0_6</w:t>
        </w:r>
      </w:hyperlink>
      <w:r w:rsidRPr="00D7648A">
        <w:rPr>
          <w:rFonts w:ascii="Garamond" w:hAnsi="Garamond" w:cs="Calibri"/>
          <w:sz w:val="16"/>
          <w:szCs w:val="16"/>
        </w:rPr>
        <w:t>&gt;</w:t>
      </w:r>
      <w:r w:rsidRPr="00D7648A">
        <w:rPr>
          <w:rFonts w:ascii="Garamond" w:hAnsi="Garamond" w:cs="Calibri"/>
          <w:b/>
          <w:bCs/>
          <w:sz w:val="16"/>
          <w:szCs w:val="16"/>
        </w:rPr>
        <w:t xml:space="preserve"> [</w:t>
      </w:r>
      <w:r w:rsidRPr="00D7648A">
        <w:rPr>
          <w:rFonts w:ascii="Garamond" w:hAnsi="Garamond"/>
          <w:sz w:val="16"/>
          <w:szCs w:val="16"/>
        </w:rPr>
        <w:t>accessed 18 May 2022], 6</w:t>
      </w:r>
    </w:p>
  </w:footnote>
  <w:footnote w:id="7">
    <w:p w14:paraId="4B779E53" w14:textId="4DC8B86B" w:rsidR="00344E89" w:rsidRPr="00D7648A" w:rsidRDefault="00344E89" w:rsidP="00793FC5">
      <w:pPr>
        <w:pStyle w:val="FootnoteText"/>
        <w:rPr>
          <w:rFonts w:ascii="Garamond" w:hAnsi="Garamond"/>
          <w:b/>
          <w:bCs/>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National Institute for Health Research</w:t>
      </w:r>
      <w:r w:rsidR="00E06F97" w:rsidRPr="00D7648A">
        <w:rPr>
          <w:rFonts w:ascii="Garamond" w:hAnsi="Garamond"/>
          <w:sz w:val="16"/>
          <w:szCs w:val="16"/>
        </w:rPr>
        <w:t xml:space="preserve">, </w:t>
      </w:r>
      <w:r w:rsidR="00E06F97" w:rsidRPr="00D7648A">
        <w:rPr>
          <w:rFonts w:ascii="Garamond" w:hAnsi="Garamond"/>
          <w:i/>
          <w:iCs/>
          <w:sz w:val="16"/>
          <w:szCs w:val="16"/>
        </w:rPr>
        <w:t>NIHR position on the sharing of research data</w:t>
      </w:r>
      <w:r w:rsidR="00E06F97" w:rsidRPr="00D7648A">
        <w:rPr>
          <w:rFonts w:ascii="Garamond" w:hAnsi="Garamond"/>
          <w:sz w:val="16"/>
          <w:szCs w:val="16"/>
        </w:rPr>
        <w:t xml:space="preserve"> (2021) [online] available at: &lt;</w:t>
      </w:r>
      <w:hyperlink r:id="rId4" w:history="1">
        <w:r w:rsidR="00E06F97" w:rsidRPr="00D7648A">
          <w:rPr>
            <w:rStyle w:val="Hyperlink"/>
            <w:rFonts w:ascii="Garamond" w:hAnsi="Garamond"/>
            <w:color w:val="auto"/>
            <w:sz w:val="16"/>
            <w:szCs w:val="16"/>
          </w:rPr>
          <w:t>https://www.nihr.ac.uk/documents/nihr-position-on-the-sharing-of-research-data/12253</w:t>
        </w:r>
      </w:hyperlink>
      <w:r w:rsidR="00E06F97" w:rsidRPr="00D7648A">
        <w:rPr>
          <w:rFonts w:ascii="Garamond" w:hAnsi="Garamond"/>
          <w:sz w:val="16"/>
          <w:szCs w:val="16"/>
        </w:rPr>
        <w:t>&gt; [accessed 18 May 2022].</w:t>
      </w:r>
    </w:p>
  </w:footnote>
  <w:footnote w:id="8">
    <w:p w14:paraId="2186170D" w14:textId="0D467B82" w:rsidR="00925273" w:rsidRPr="00D7648A" w:rsidRDefault="00925273" w:rsidP="00793FC5">
      <w:pPr>
        <w:rPr>
          <w:rFonts w:ascii="Garamond" w:eastAsia="Times New Roman" w:hAnsi="Garamond" w:cs="Times New Roman"/>
          <w:sz w:val="16"/>
          <w:szCs w:val="16"/>
          <w:lang w:eastAsia="en-GB"/>
        </w:rPr>
      </w:pPr>
      <w:r w:rsidRPr="00D7648A">
        <w:rPr>
          <w:rStyle w:val="FootnoteReference"/>
          <w:rFonts w:ascii="Garamond" w:hAnsi="Garamond"/>
          <w:sz w:val="16"/>
          <w:szCs w:val="16"/>
        </w:rPr>
        <w:footnoteRef/>
      </w:r>
      <w:r w:rsidR="12F20B55" w:rsidRPr="00D7648A">
        <w:rPr>
          <w:rFonts w:ascii="Garamond" w:hAnsi="Garamond"/>
          <w:sz w:val="16"/>
          <w:szCs w:val="16"/>
        </w:rPr>
        <w:t xml:space="preserve"> National Institutes of Health, </w:t>
      </w:r>
      <w:r w:rsidR="12F20B55" w:rsidRPr="00D7648A">
        <w:rPr>
          <w:rFonts w:ascii="Garamond" w:hAnsi="Garamond"/>
          <w:i/>
          <w:iCs/>
          <w:sz w:val="16"/>
          <w:szCs w:val="16"/>
        </w:rPr>
        <w:t>NIH Policy for Data Management and Sharing</w:t>
      </w:r>
      <w:r w:rsidR="12F20B55" w:rsidRPr="00D7648A">
        <w:rPr>
          <w:rFonts w:ascii="Garamond" w:hAnsi="Garamond"/>
          <w:sz w:val="16"/>
          <w:szCs w:val="16"/>
        </w:rPr>
        <w:t xml:space="preserve"> (2020) </w:t>
      </w:r>
      <w:r w:rsidR="12F20B55" w:rsidRPr="00D7648A">
        <w:rPr>
          <w:rFonts w:ascii="Garamond" w:eastAsia="Times New Roman" w:hAnsi="Garamond" w:cs="Times New Roman"/>
          <w:sz w:val="16"/>
          <w:szCs w:val="16"/>
          <w:shd w:val="clear" w:color="auto" w:fill="FFFFFF"/>
          <w:lang w:eastAsia="en-GB"/>
        </w:rPr>
        <w:t>NOT-OD-21-013 [online] available at: &lt;</w:t>
      </w:r>
      <w:hyperlink r:id="rId5" w:history="1">
        <w:r w:rsidR="12F20B55" w:rsidRPr="00D7648A">
          <w:rPr>
            <w:rStyle w:val="Hyperlink"/>
            <w:rFonts w:ascii="Garamond" w:eastAsia="Times New Roman" w:hAnsi="Garamond" w:cs="Times New Roman"/>
            <w:color w:val="auto"/>
            <w:sz w:val="16"/>
            <w:szCs w:val="16"/>
            <w:shd w:val="clear" w:color="auto" w:fill="FFFFFF"/>
            <w:lang w:eastAsia="en-GB"/>
          </w:rPr>
          <w:t>https://grants.nih.gov/grants/guide/notice-files/NOT-OD-21-013.html</w:t>
        </w:r>
      </w:hyperlink>
      <w:r w:rsidR="12F20B55" w:rsidRPr="00D7648A">
        <w:rPr>
          <w:rFonts w:ascii="Garamond" w:eastAsia="Times New Roman" w:hAnsi="Garamond" w:cs="Times New Roman"/>
          <w:sz w:val="16"/>
          <w:szCs w:val="16"/>
          <w:shd w:val="clear" w:color="auto" w:fill="FFFFFF"/>
          <w:lang w:eastAsia="en-GB"/>
        </w:rPr>
        <w:t>&gt; [accessed 18 May 2022], s. I.</w:t>
      </w:r>
    </w:p>
  </w:footnote>
  <w:footnote w:id="9">
    <w:p w14:paraId="722CF609" w14:textId="4FAF5C4E" w:rsidR="00E601CD" w:rsidRPr="00D7648A" w:rsidRDefault="00E601CD" w:rsidP="00793FC5">
      <w:pPr>
        <w:pStyle w:val="FootnoteText"/>
        <w:rPr>
          <w:rFonts w:ascii="Garamond" w:hAnsi="Garamond"/>
          <w:sz w:val="16"/>
          <w:szCs w:val="16"/>
        </w:rPr>
      </w:pPr>
      <w:r w:rsidRPr="00D7648A">
        <w:rPr>
          <w:rStyle w:val="FootnoteReference"/>
          <w:rFonts w:ascii="Garamond" w:hAnsi="Garamond"/>
          <w:sz w:val="16"/>
          <w:szCs w:val="16"/>
        </w:rPr>
        <w:footnoteRef/>
      </w:r>
      <w:r w:rsidR="12F20B55" w:rsidRPr="00D7648A">
        <w:rPr>
          <w:rFonts w:ascii="Garamond" w:hAnsi="Garamond"/>
          <w:sz w:val="16"/>
          <w:szCs w:val="16"/>
        </w:rPr>
        <w:t xml:space="preserve"> Darren B. </w:t>
      </w:r>
      <w:proofErr w:type="spellStart"/>
      <w:r w:rsidR="12F20B55" w:rsidRPr="00D7648A">
        <w:rPr>
          <w:rFonts w:ascii="Garamond" w:hAnsi="Garamond"/>
          <w:sz w:val="16"/>
          <w:szCs w:val="16"/>
        </w:rPr>
        <w:t>Taichman</w:t>
      </w:r>
      <w:proofErr w:type="spellEnd"/>
      <w:r w:rsidR="12F20B55" w:rsidRPr="00D7648A">
        <w:rPr>
          <w:rFonts w:ascii="Garamond" w:hAnsi="Garamond"/>
          <w:sz w:val="16"/>
          <w:szCs w:val="16"/>
        </w:rPr>
        <w:t xml:space="preserve"> and others, ‘Sharing Clinical Trial Data: A Proposal from the International Committee of Medical Journal Editors’ </w:t>
      </w:r>
      <w:r w:rsidR="002E72B2" w:rsidRPr="00D7648A">
        <w:rPr>
          <w:rFonts w:ascii="Garamond" w:hAnsi="Garamond"/>
          <w:sz w:val="16"/>
          <w:szCs w:val="16"/>
        </w:rPr>
        <w:t>(2016)</w:t>
      </w:r>
      <w:r w:rsidR="001D30B2" w:rsidRPr="00D7648A">
        <w:rPr>
          <w:rFonts w:ascii="Garamond" w:hAnsi="Garamond"/>
          <w:sz w:val="16"/>
          <w:szCs w:val="16"/>
        </w:rPr>
        <w:t xml:space="preserve"> 374</w:t>
      </w:r>
      <w:r w:rsidR="002E2C2C" w:rsidRPr="00D7648A">
        <w:rPr>
          <w:rFonts w:ascii="Garamond" w:hAnsi="Garamond"/>
          <w:sz w:val="16"/>
          <w:szCs w:val="16"/>
        </w:rPr>
        <w:t xml:space="preserve"> </w:t>
      </w:r>
      <w:r w:rsidR="00D24848" w:rsidRPr="00D7648A">
        <w:rPr>
          <w:rFonts w:ascii="Garamond" w:hAnsi="Garamond"/>
          <w:i/>
          <w:iCs/>
          <w:sz w:val="16"/>
          <w:szCs w:val="16"/>
        </w:rPr>
        <w:t>N Engl J Med</w:t>
      </w:r>
      <w:r w:rsidR="002E72B2" w:rsidRPr="00D7648A">
        <w:rPr>
          <w:rFonts w:ascii="Garamond" w:hAnsi="Garamond"/>
          <w:sz w:val="16"/>
          <w:szCs w:val="16"/>
        </w:rPr>
        <w:t xml:space="preserve"> </w:t>
      </w:r>
      <w:r w:rsidR="00A97426" w:rsidRPr="00D7648A">
        <w:rPr>
          <w:rFonts w:ascii="Garamond" w:hAnsi="Garamond"/>
          <w:sz w:val="16"/>
          <w:szCs w:val="16"/>
        </w:rPr>
        <w:t>384</w:t>
      </w:r>
      <w:r w:rsidR="12F20B55" w:rsidRPr="00D7648A">
        <w:rPr>
          <w:rFonts w:ascii="Garamond" w:hAnsi="Garamond"/>
          <w:sz w:val="16"/>
          <w:szCs w:val="16"/>
        </w:rPr>
        <w:t xml:space="preserve">; </w:t>
      </w:r>
      <w:proofErr w:type="spellStart"/>
      <w:r w:rsidR="12F20B55" w:rsidRPr="00D7648A">
        <w:rPr>
          <w:rFonts w:ascii="Garamond" w:hAnsi="Garamond"/>
          <w:sz w:val="16"/>
          <w:szCs w:val="16"/>
        </w:rPr>
        <w:t>M</w:t>
      </w:r>
      <w:r w:rsidR="0049785D" w:rsidRPr="00D7648A">
        <w:rPr>
          <w:rFonts w:ascii="Garamond" w:hAnsi="Garamond"/>
          <w:sz w:val="16"/>
          <w:szCs w:val="16"/>
        </w:rPr>
        <w:t>ahsa</w:t>
      </w:r>
      <w:proofErr w:type="spellEnd"/>
      <w:r w:rsidR="12F20B55" w:rsidRPr="00D7648A">
        <w:rPr>
          <w:rFonts w:ascii="Garamond" w:hAnsi="Garamond"/>
          <w:sz w:val="16"/>
          <w:szCs w:val="16"/>
        </w:rPr>
        <w:t xml:space="preserve"> </w:t>
      </w:r>
      <w:proofErr w:type="spellStart"/>
      <w:r w:rsidR="12F20B55" w:rsidRPr="00D7648A">
        <w:rPr>
          <w:rFonts w:ascii="Garamond" w:hAnsi="Garamond"/>
          <w:sz w:val="16"/>
          <w:szCs w:val="16"/>
        </w:rPr>
        <w:t>Shanani</w:t>
      </w:r>
      <w:proofErr w:type="spellEnd"/>
      <w:r w:rsidR="12F20B55" w:rsidRPr="00D7648A">
        <w:rPr>
          <w:rFonts w:ascii="Garamond" w:hAnsi="Garamond"/>
          <w:sz w:val="16"/>
          <w:szCs w:val="16"/>
        </w:rPr>
        <w:t xml:space="preserve"> and </w:t>
      </w:r>
      <w:proofErr w:type="spellStart"/>
      <w:r w:rsidR="12F20B55" w:rsidRPr="00D7648A">
        <w:rPr>
          <w:rFonts w:ascii="Garamond" w:hAnsi="Garamond"/>
          <w:sz w:val="16"/>
          <w:szCs w:val="16"/>
        </w:rPr>
        <w:t>M</w:t>
      </w:r>
      <w:r w:rsidR="007A2089" w:rsidRPr="00D7648A">
        <w:rPr>
          <w:rFonts w:ascii="Garamond" w:hAnsi="Garamond"/>
          <w:sz w:val="16"/>
          <w:szCs w:val="16"/>
        </w:rPr>
        <w:t>ojisola</w:t>
      </w:r>
      <w:proofErr w:type="spellEnd"/>
      <w:r w:rsidR="12F20B55" w:rsidRPr="00D7648A">
        <w:rPr>
          <w:rFonts w:ascii="Garamond" w:hAnsi="Garamond"/>
          <w:sz w:val="16"/>
          <w:szCs w:val="16"/>
        </w:rPr>
        <w:t xml:space="preserve"> </w:t>
      </w:r>
      <w:proofErr w:type="spellStart"/>
      <w:r w:rsidR="12F20B55" w:rsidRPr="00D7648A">
        <w:rPr>
          <w:rFonts w:ascii="Garamond" w:hAnsi="Garamond"/>
          <w:sz w:val="16"/>
          <w:szCs w:val="16"/>
        </w:rPr>
        <w:t>Obasa</w:t>
      </w:r>
      <w:proofErr w:type="spellEnd"/>
      <w:r w:rsidR="007A2089" w:rsidRPr="00D7648A">
        <w:rPr>
          <w:rFonts w:ascii="Garamond" w:hAnsi="Garamond"/>
          <w:sz w:val="16"/>
          <w:szCs w:val="16"/>
        </w:rPr>
        <w:t>,</w:t>
      </w:r>
      <w:r w:rsidR="12F20B55" w:rsidRPr="00D7648A">
        <w:rPr>
          <w:rFonts w:ascii="Garamond" w:hAnsi="Garamond"/>
          <w:sz w:val="16"/>
          <w:szCs w:val="16"/>
        </w:rPr>
        <w:t xml:space="preserve"> ‘Transparency and objectivity in governance of clinical trials data sharing: Current practices and approaches’</w:t>
      </w:r>
      <w:r w:rsidR="007A2089" w:rsidRPr="00D7648A">
        <w:rPr>
          <w:rFonts w:ascii="Garamond" w:hAnsi="Garamond"/>
          <w:sz w:val="16"/>
          <w:szCs w:val="16"/>
        </w:rPr>
        <w:t xml:space="preserve"> (2019) 16(5)</w:t>
      </w:r>
      <w:r w:rsidR="12F20B55" w:rsidRPr="00D7648A">
        <w:rPr>
          <w:rFonts w:ascii="Garamond" w:hAnsi="Garamond"/>
          <w:sz w:val="16"/>
          <w:szCs w:val="16"/>
        </w:rPr>
        <w:t xml:space="preserve"> </w:t>
      </w:r>
      <w:r w:rsidR="12F20B55" w:rsidRPr="00D7648A">
        <w:rPr>
          <w:rFonts w:ascii="Garamond" w:hAnsi="Garamond"/>
          <w:i/>
          <w:iCs/>
          <w:sz w:val="16"/>
          <w:szCs w:val="16"/>
        </w:rPr>
        <w:t>Clin Trials</w:t>
      </w:r>
      <w:r w:rsidR="12F20B55" w:rsidRPr="00D7648A">
        <w:rPr>
          <w:rFonts w:ascii="Garamond" w:hAnsi="Garamond"/>
          <w:sz w:val="16"/>
          <w:szCs w:val="16"/>
        </w:rPr>
        <w:t xml:space="preserve"> 547</w:t>
      </w:r>
    </w:p>
  </w:footnote>
  <w:footnote w:id="10">
    <w:p w14:paraId="58E536E5" w14:textId="1574F6B4" w:rsidR="0089497A" w:rsidRPr="00D7648A" w:rsidRDefault="0089497A" w:rsidP="008B221D">
      <w:pPr>
        <w:rPr>
          <w:rFonts w:ascii="Garamond" w:eastAsia="Times New Roman" w:hAnsi="Garamond" w:cs="Times New Roman"/>
          <w:sz w:val="16"/>
          <w:szCs w:val="16"/>
          <w:lang w:eastAsia="en-GB"/>
        </w:rPr>
      </w:pPr>
      <w:r w:rsidRPr="00D7648A">
        <w:rPr>
          <w:rStyle w:val="FootnoteReference"/>
          <w:rFonts w:ascii="Garamond" w:hAnsi="Garamond"/>
          <w:sz w:val="16"/>
          <w:szCs w:val="16"/>
        </w:rPr>
        <w:footnoteRef/>
      </w:r>
      <w:r w:rsidRPr="00D7648A">
        <w:rPr>
          <w:rFonts w:ascii="Garamond" w:hAnsi="Garamond"/>
          <w:sz w:val="16"/>
          <w:szCs w:val="16"/>
        </w:rPr>
        <w:t xml:space="preserve"> </w:t>
      </w:r>
      <w:r w:rsidR="005F25DA" w:rsidRPr="00D7648A">
        <w:rPr>
          <w:rFonts w:ascii="Garamond" w:hAnsi="Garamond"/>
          <w:sz w:val="16"/>
          <w:szCs w:val="16"/>
        </w:rPr>
        <w:t>See, for example:</w:t>
      </w:r>
      <w:r w:rsidR="008B221D" w:rsidRPr="00D7648A">
        <w:rPr>
          <w:rFonts w:ascii="Garamond" w:hAnsi="Garamond"/>
          <w:sz w:val="16"/>
          <w:szCs w:val="16"/>
        </w:rPr>
        <w:t xml:space="preserve"> </w:t>
      </w:r>
      <w:r w:rsidR="005F25DA" w:rsidRPr="00D7648A">
        <w:rPr>
          <w:rFonts w:ascii="Garamond" w:eastAsia="Times New Roman" w:hAnsi="Garamond" w:cs="Open Sans"/>
          <w:sz w:val="16"/>
          <w:szCs w:val="16"/>
          <w:lang w:eastAsia="en-GB"/>
        </w:rPr>
        <w:t>National Commission for the Protection of Subjects of Biomedical and Behavioural Research. 1978. </w:t>
      </w:r>
      <w:r w:rsidR="005F25DA" w:rsidRPr="00D7648A">
        <w:rPr>
          <w:rFonts w:ascii="Garamond" w:eastAsia="Times New Roman" w:hAnsi="Garamond" w:cs="Open Sans"/>
          <w:i/>
          <w:iCs/>
          <w:sz w:val="16"/>
          <w:szCs w:val="16"/>
          <w:lang w:eastAsia="en-GB"/>
        </w:rPr>
        <w:t>The Belmont Report: Ethical Principles and Guidelines for the Protection of Human Subjects of Research</w:t>
      </w:r>
      <w:r w:rsidR="005F25DA" w:rsidRPr="00D7648A">
        <w:rPr>
          <w:rFonts w:ascii="Garamond" w:eastAsia="Times New Roman" w:hAnsi="Garamond" w:cs="Open Sans"/>
          <w:sz w:val="16"/>
          <w:szCs w:val="16"/>
          <w:lang w:eastAsia="en-GB"/>
        </w:rPr>
        <w:t xml:space="preserve">. </w:t>
      </w:r>
      <w:r w:rsidR="008B221D" w:rsidRPr="00D7648A">
        <w:rPr>
          <w:rFonts w:ascii="Garamond" w:eastAsia="Times New Roman" w:hAnsi="Garamond" w:cs="Open Sans"/>
          <w:sz w:val="16"/>
          <w:szCs w:val="16"/>
          <w:lang w:eastAsia="en-GB"/>
        </w:rPr>
        <w:t>(</w:t>
      </w:r>
      <w:r w:rsidR="005F25DA" w:rsidRPr="00D7648A">
        <w:rPr>
          <w:rFonts w:ascii="Garamond" w:eastAsia="Times New Roman" w:hAnsi="Garamond" w:cs="Open Sans"/>
          <w:sz w:val="16"/>
          <w:szCs w:val="16"/>
          <w:lang w:eastAsia="en-GB"/>
        </w:rPr>
        <w:t>1978) Washington DC: Department of Health Education and Welfare: United States Government</w:t>
      </w:r>
    </w:p>
  </w:footnote>
  <w:footnote w:id="11">
    <w:p w14:paraId="2FBF1141" w14:textId="43290D1D" w:rsidR="008B221D" w:rsidRPr="00D7648A" w:rsidRDefault="008B221D">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Iain Brassington, ‘The ethics of reporting all the results of clinical trials’ </w:t>
      </w:r>
      <w:r w:rsidR="001C7428" w:rsidRPr="00D7648A">
        <w:rPr>
          <w:rFonts w:ascii="Garamond" w:hAnsi="Garamond"/>
          <w:sz w:val="16"/>
          <w:szCs w:val="16"/>
        </w:rPr>
        <w:t>(</w:t>
      </w:r>
      <w:r w:rsidRPr="00D7648A">
        <w:rPr>
          <w:rFonts w:ascii="Garamond" w:hAnsi="Garamond"/>
          <w:sz w:val="16"/>
          <w:szCs w:val="16"/>
        </w:rPr>
        <w:t>2017</w:t>
      </w:r>
      <w:r w:rsidR="001C7428" w:rsidRPr="00D7648A">
        <w:rPr>
          <w:rFonts w:ascii="Garamond" w:hAnsi="Garamond"/>
          <w:sz w:val="16"/>
          <w:szCs w:val="16"/>
        </w:rPr>
        <w:t>)</w:t>
      </w:r>
      <w:r w:rsidRPr="00D7648A">
        <w:rPr>
          <w:rFonts w:ascii="Garamond" w:hAnsi="Garamond"/>
          <w:sz w:val="16"/>
          <w:szCs w:val="16"/>
        </w:rPr>
        <w:t xml:space="preserve"> 121</w:t>
      </w:r>
      <w:r w:rsidR="00C30106" w:rsidRPr="00D7648A">
        <w:rPr>
          <w:rFonts w:ascii="Garamond" w:hAnsi="Garamond"/>
          <w:sz w:val="16"/>
          <w:szCs w:val="16"/>
        </w:rPr>
        <w:t>(1)</w:t>
      </w:r>
      <w:r w:rsidRPr="00D7648A">
        <w:rPr>
          <w:rFonts w:ascii="Garamond" w:hAnsi="Garamond"/>
          <w:sz w:val="16"/>
          <w:szCs w:val="16"/>
        </w:rPr>
        <w:t xml:space="preserve">, </w:t>
      </w:r>
      <w:r w:rsidRPr="00D7648A">
        <w:rPr>
          <w:rFonts w:ascii="Garamond" w:hAnsi="Garamond"/>
          <w:i/>
          <w:iCs/>
          <w:sz w:val="16"/>
          <w:szCs w:val="16"/>
        </w:rPr>
        <w:t>Br Med Bull</w:t>
      </w:r>
      <w:r w:rsidRPr="00D7648A">
        <w:rPr>
          <w:rFonts w:ascii="Garamond" w:hAnsi="Garamond"/>
          <w:sz w:val="16"/>
          <w:szCs w:val="16"/>
        </w:rPr>
        <w:t xml:space="preserve"> </w:t>
      </w:r>
      <w:r w:rsidR="00C30106" w:rsidRPr="00D7648A">
        <w:rPr>
          <w:rFonts w:ascii="Garamond" w:hAnsi="Garamond"/>
          <w:sz w:val="16"/>
          <w:szCs w:val="16"/>
        </w:rPr>
        <w:t xml:space="preserve">19, </w:t>
      </w:r>
      <w:r w:rsidRPr="00D7648A">
        <w:rPr>
          <w:rFonts w:ascii="Garamond" w:hAnsi="Garamond"/>
          <w:sz w:val="16"/>
          <w:szCs w:val="16"/>
        </w:rPr>
        <w:t>21</w:t>
      </w:r>
    </w:p>
  </w:footnote>
  <w:footnote w:id="12">
    <w:p w14:paraId="2BF458C1" w14:textId="18E8F471" w:rsidR="0044680C" w:rsidRPr="00D7648A" w:rsidRDefault="0044680C" w:rsidP="0044680C">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James L. Benedict and others, ‘A Call to Accountability: Reporting Outcomes in Vascularised Composite Allotransplantation’ </w:t>
      </w:r>
      <w:r w:rsidR="00614D2E" w:rsidRPr="00D7648A">
        <w:rPr>
          <w:rFonts w:ascii="Garamond" w:hAnsi="Garamond"/>
          <w:sz w:val="16"/>
          <w:szCs w:val="16"/>
        </w:rPr>
        <w:t>(</w:t>
      </w:r>
      <w:r w:rsidRPr="00D7648A">
        <w:rPr>
          <w:rFonts w:ascii="Garamond" w:hAnsi="Garamond"/>
          <w:sz w:val="16"/>
          <w:szCs w:val="16"/>
        </w:rPr>
        <w:t>2019</w:t>
      </w:r>
      <w:r w:rsidR="00614D2E" w:rsidRPr="00D7648A">
        <w:rPr>
          <w:rFonts w:ascii="Garamond" w:hAnsi="Garamond"/>
          <w:sz w:val="16"/>
          <w:szCs w:val="16"/>
        </w:rPr>
        <w:t>)</w:t>
      </w:r>
      <w:r w:rsidRPr="00D7648A">
        <w:rPr>
          <w:rFonts w:ascii="Garamond" w:hAnsi="Garamond"/>
          <w:sz w:val="16"/>
          <w:szCs w:val="16"/>
        </w:rPr>
        <w:t xml:space="preserve"> 7(6), </w:t>
      </w:r>
      <w:proofErr w:type="spellStart"/>
      <w:r w:rsidRPr="00D7648A">
        <w:rPr>
          <w:rFonts w:ascii="Garamond" w:hAnsi="Garamond"/>
          <w:i/>
          <w:iCs/>
          <w:sz w:val="16"/>
          <w:szCs w:val="16"/>
        </w:rPr>
        <w:t>Plast</w:t>
      </w:r>
      <w:proofErr w:type="spellEnd"/>
      <w:r w:rsidRPr="00D7648A">
        <w:rPr>
          <w:rFonts w:ascii="Garamond" w:hAnsi="Garamond"/>
          <w:i/>
          <w:iCs/>
          <w:sz w:val="16"/>
          <w:szCs w:val="16"/>
        </w:rPr>
        <w:t xml:space="preserve"> </w:t>
      </w:r>
      <w:proofErr w:type="spellStart"/>
      <w:r w:rsidRPr="00D7648A">
        <w:rPr>
          <w:rFonts w:ascii="Garamond" w:hAnsi="Garamond"/>
          <w:i/>
          <w:iCs/>
          <w:sz w:val="16"/>
          <w:szCs w:val="16"/>
        </w:rPr>
        <w:t>Reconstr</w:t>
      </w:r>
      <w:proofErr w:type="spellEnd"/>
      <w:r w:rsidRPr="00D7648A">
        <w:rPr>
          <w:rFonts w:ascii="Garamond" w:hAnsi="Garamond"/>
          <w:i/>
          <w:iCs/>
          <w:sz w:val="16"/>
          <w:szCs w:val="16"/>
        </w:rPr>
        <w:t xml:space="preserve"> </w:t>
      </w:r>
      <w:proofErr w:type="spellStart"/>
      <w:r w:rsidRPr="00D7648A">
        <w:rPr>
          <w:rFonts w:ascii="Garamond" w:hAnsi="Garamond"/>
          <w:i/>
          <w:iCs/>
          <w:sz w:val="16"/>
          <w:szCs w:val="16"/>
        </w:rPr>
        <w:t>Surg</w:t>
      </w:r>
      <w:proofErr w:type="spellEnd"/>
      <w:r w:rsidRPr="00D7648A">
        <w:rPr>
          <w:rFonts w:ascii="Garamond" w:hAnsi="Garamond"/>
          <w:i/>
          <w:iCs/>
          <w:sz w:val="16"/>
          <w:szCs w:val="16"/>
        </w:rPr>
        <w:t xml:space="preserve"> Glob Open,</w:t>
      </w:r>
      <w:r w:rsidR="00955B85" w:rsidRPr="00D7648A">
        <w:rPr>
          <w:rFonts w:ascii="Garamond" w:hAnsi="Garamond"/>
          <w:i/>
          <w:iCs/>
          <w:sz w:val="16"/>
          <w:szCs w:val="16"/>
        </w:rPr>
        <w:t xml:space="preserve"> </w:t>
      </w:r>
      <w:r w:rsidR="00490A12" w:rsidRPr="00D7648A">
        <w:rPr>
          <w:rFonts w:ascii="Garamond" w:hAnsi="Garamond"/>
          <w:i/>
          <w:iCs/>
          <w:sz w:val="16"/>
          <w:szCs w:val="16"/>
        </w:rPr>
        <w:t>&lt;</w:t>
      </w:r>
      <w:hyperlink r:id="rId6" w:history="1">
        <w:r w:rsidR="00490A12" w:rsidRPr="00D7648A">
          <w:rPr>
            <w:rStyle w:val="Hyperlink"/>
            <w:rFonts w:ascii="Garamond" w:hAnsi="Garamond"/>
            <w:i/>
            <w:iCs/>
            <w:color w:val="auto"/>
            <w:sz w:val="16"/>
            <w:szCs w:val="16"/>
          </w:rPr>
          <w:t>https://www.ncbi.nlm.nih.gov/pmc/articles/PMC6635189/pdf/gox-7-e2266.pdf</w:t>
        </w:r>
      </w:hyperlink>
      <w:r w:rsidR="00490A12" w:rsidRPr="00D7648A">
        <w:rPr>
          <w:rFonts w:ascii="Garamond" w:hAnsi="Garamond"/>
          <w:sz w:val="16"/>
          <w:szCs w:val="16"/>
        </w:rPr>
        <w:t>&gt;</w:t>
      </w:r>
      <w:r w:rsidR="00834847" w:rsidRPr="00D7648A">
        <w:rPr>
          <w:rFonts w:ascii="Garamond" w:hAnsi="Garamond"/>
          <w:sz w:val="16"/>
          <w:szCs w:val="16"/>
        </w:rPr>
        <w:t xml:space="preserve"> accessed 8 September 2022, 2 </w:t>
      </w:r>
    </w:p>
  </w:footnote>
  <w:footnote w:id="13">
    <w:p w14:paraId="4BA47ABC" w14:textId="6B35E3CB" w:rsidR="001B437F" w:rsidRPr="00D7648A" w:rsidRDefault="001B437F" w:rsidP="002B6977">
      <w:pPr>
        <w:pStyle w:val="NormalWeb"/>
        <w:spacing w:before="0" w:beforeAutospacing="0" w:after="0" w:afterAutospacing="0"/>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See, for example:  S. Matthew Liao and others, ‘The Duty to Disclose Adverse Clinical Trial Results’ </w:t>
      </w:r>
      <w:r w:rsidR="000C1C3C" w:rsidRPr="00D7648A">
        <w:rPr>
          <w:rFonts w:ascii="Garamond" w:hAnsi="Garamond"/>
          <w:sz w:val="16"/>
          <w:szCs w:val="16"/>
        </w:rPr>
        <w:t>(</w:t>
      </w:r>
      <w:r w:rsidRPr="00D7648A">
        <w:rPr>
          <w:rFonts w:ascii="Garamond" w:hAnsi="Garamond"/>
          <w:sz w:val="16"/>
          <w:szCs w:val="16"/>
        </w:rPr>
        <w:t>2009</w:t>
      </w:r>
      <w:r w:rsidR="000C1C3C" w:rsidRPr="00D7648A">
        <w:rPr>
          <w:rFonts w:ascii="Garamond" w:hAnsi="Garamond"/>
          <w:sz w:val="16"/>
          <w:szCs w:val="16"/>
        </w:rPr>
        <w:t>)</w:t>
      </w:r>
      <w:r w:rsidRPr="00D7648A">
        <w:rPr>
          <w:rFonts w:ascii="Garamond" w:hAnsi="Garamond"/>
          <w:sz w:val="16"/>
          <w:szCs w:val="16"/>
        </w:rPr>
        <w:t xml:space="preserve"> 9(8), </w:t>
      </w:r>
      <w:r w:rsidRPr="00D7648A">
        <w:rPr>
          <w:rFonts w:ascii="Garamond" w:hAnsi="Garamond"/>
          <w:i/>
          <w:iCs/>
          <w:sz w:val="16"/>
          <w:szCs w:val="16"/>
        </w:rPr>
        <w:t>Am J</w:t>
      </w:r>
      <w:r w:rsidR="0024773D" w:rsidRPr="00D7648A">
        <w:rPr>
          <w:rFonts w:ascii="Garamond" w:hAnsi="Garamond"/>
          <w:i/>
          <w:iCs/>
          <w:sz w:val="16"/>
          <w:szCs w:val="16"/>
        </w:rPr>
        <w:t xml:space="preserve"> </w:t>
      </w:r>
      <w:r w:rsidRPr="00D7648A">
        <w:rPr>
          <w:rFonts w:ascii="Garamond" w:hAnsi="Garamond"/>
          <w:i/>
          <w:iCs/>
          <w:sz w:val="16"/>
          <w:szCs w:val="16"/>
        </w:rPr>
        <w:t>Bioet</w:t>
      </w:r>
      <w:r w:rsidR="0024773D" w:rsidRPr="00D7648A">
        <w:rPr>
          <w:rFonts w:ascii="Garamond" w:hAnsi="Garamond"/>
          <w:i/>
          <w:iCs/>
          <w:sz w:val="16"/>
          <w:szCs w:val="16"/>
        </w:rPr>
        <w:t>h</w:t>
      </w:r>
      <w:r w:rsidRPr="00D7648A">
        <w:rPr>
          <w:rFonts w:ascii="Garamond" w:hAnsi="Garamond"/>
          <w:sz w:val="16"/>
          <w:szCs w:val="16"/>
        </w:rPr>
        <w:t xml:space="preserve"> 24; and Nicole Hassoun, ‘The Duty to Disclose (Even More) Adverse Clinical Trial Results’ </w:t>
      </w:r>
      <w:r w:rsidR="005C54A4" w:rsidRPr="00D7648A">
        <w:rPr>
          <w:rFonts w:ascii="Garamond" w:hAnsi="Garamond"/>
          <w:sz w:val="16"/>
          <w:szCs w:val="16"/>
        </w:rPr>
        <w:t>(</w:t>
      </w:r>
      <w:r w:rsidRPr="00D7648A">
        <w:rPr>
          <w:rFonts w:ascii="Garamond" w:hAnsi="Garamond"/>
          <w:sz w:val="16"/>
          <w:szCs w:val="16"/>
        </w:rPr>
        <w:t>2009</w:t>
      </w:r>
      <w:r w:rsidR="005C54A4" w:rsidRPr="00D7648A">
        <w:rPr>
          <w:rFonts w:ascii="Garamond" w:hAnsi="Garamond"/>
          <w:sz w:val="16"/>
          <w:szCs w:val="16"/>
        </w:rPr>
        <w:t>)</w:t>
      </w:r>
      <w:r w:rsidRPr="00D7648A">
        <w:rPr>
          <w:rFonts w:ascii="Garamond" w:hAnsi="Garamond"/>
          <w:sz w:val="16"/>
          <w:szCs w:val="16"/>
        </w:rPr>
        <w:t xml:space="preserve"> 9(8), </w:t>
      </w:r>
      <w:r w:rsidR="00DB1E0A" w:rsidRPr="00D7648A">
        <w:rPr>
          <w:rFonts w:ascii="Garamond" w:hAnsi="Garamond"/>
          <w:i/>
          <w:iCs/>
          <w:sz w:val="16"/>
          <w:szCs w:val="16"/>
        </w:rPr>
        <w:t>Am J Bioeth</w:t>
      </w:r>
      <w:r w:rsidRPr="00D7648A">
        <w:rPr>
          <w:rFonts w:ascii="Garamond" w:hAnsi="Garamond"/>
          <w:sz w:val="16"/>
          <w:szCs w:val="16"/>
        </w:rPr>
        <w:t>, 33</w:t>
      </w:r>
    </w:p>
  </w:footnote>
  <w:footnote w:id="14">
    <w:p w14:paraId="767EE392" w14:textId="1E0940B5" w:rsidR="001460C3" w:rsidRPr="00D7648A" w:rsidRDefault="001460C3">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562C78" w:rsidRPr="00D7648A">
        <w:rPr>
          <w:rFonts w:ascii="Garamond" w:hAnsi="Garamond"/>
          <w:sz w:val="16"/>
          <w:szCs w:val="16"/>
        </w:rPr>
        <w:t xml:space="preserve">See, for example: </w:t>
      </w:r>
      <w:r w:rsidRPr="00D7648A">
        <w:rPr>
          <w:rFonts w:ascii="Garamond" w:hAnsi="Garamond"/>
          <w:sz w:val="16"/>
          <w:szCs w:val="16"/>
        </w:rPr>
        <w:t>Open Research Data Taskforce</w:t>
      </w:r>
      <w:r w:rsidR="00FD4855" w:rsidRPr="00D7648A">
        <w:rPr>
          <w:rFonts w:ascii="Garamond" w:hAnsi="Garamond"/>
          <w:sz w:val="16"/>
          <w:szCs w:val="16"/>
        </w:rPr>
        <w:t xml:space="preserve">, Department for Business, Energy, and Industrial </w:t>
      </w:r>
      <w:r w:rsidR="002D70F9" w:rsidRPr="00D7648A">
        <w:rPr>
          <w:rFonts w:ascii="Garamond" w:hAnsi="Garamond"/>
          <w:sz w:val="16"/>
          <w:szCs w:val="16"/>
        </w:rPr>
        <w:t>Strategy, ‘</w:t>
      </w:r>
      <w:r w:rsidRPr="00D7648A">
        <w:rPr>
          <w:rFonts w:ascii="Garamond" w:hAnsi="Garamond"/>
          <w:sz w:val="16"/>
          <w:szCs w:val="16"/>
        </w:rPr>
        <w:t xml:space="preserve">Realising the Potential – Final report of the Open Research Data Taskforce’ </w:t>
      </w:r>
      <w:r w:rsidR="00FD4855" w:rsidRPr="00D7648A">
        <w:rPr>
          <w:rFonts w:ascii="Garamond" w:hAnsi="Garamond"/>
          <w:sz w:val="16"/>
          <w:szCs w:val="16"/>
        </w:rPr>
        <w:t xml:space="preserve">(2019). [online] Available at: </w:t>
      </w:r>
      <w:hyperlink r:id="rId7" w:history="1">
        <w:r w:rsidR="00FD4855" w:rsidRPr="00D7648A">
          <w:rPr>
            <w:rStyle w:val="Hyperlink"/>
            <w:rFonts w:ascii="Garamond" w:hAnsi="Garamond"/>
            <w:color w:val="auto"/>
            <w:sz w:val="16"/>
            <w:szCs w:val="16"/>
          </w:rPr>
          <w:t>https://assets.publishing.service.gov.uk/government/uploads/system/uploads/attachment_data/file/775006/Realising-the-potential-ORDTF-July-2018.pdf</w:t>
        </w:r>
      </w:hyperlink>
      <w:r w:rsidR="00FD4855" w:rsidRPr="00D7648A">
        <w:rPr>
          <w:rFonts w:ascii="Garamond" w:hAnsi="Garamond"/>
          <w:sz w:val="16"/>
          <w:szCs w:val="16"/>
        </w:rPr>
        <w:t xml:space="preserve"> accessed 20 May 2022,</w:t>
      </w:r>
      <w:r w:rsidR="00603609" w:rsidRPr="00D7648A">
        <w:rPr>
          <w:rFonts w:ascii="Garamond" w:hAnsi="Garamond"/>
          <w:sz w:val="16"/>
          <w:szCs w:val="16"/>
        </w:rPr>
        <w:t xml:space="preserve"> </w:t>
      </w:r>
      <w:r w:rsidRPr="00D7648A">
        <w:rPr>
          <w:rFonts w:ascii="Garamond" w:hAnsi="Garamond"/>
          <w:sz w:val="16"/>
          <w:szCs w:val="16"/>
        </w:rPr>
        <w:t>12</w:t>
      </w:r>
      <w:r w:rsidR="00562C78" w:rsidRPr="00D7648A">
        <w:rPr>
          <w:rFonts w:ascii="Garamond" w:hAnsi="Garamond"/>
          <w:sz w:val="16"/>
          <w:szCs w:val="16"/>
        </w:rPr>
        <w:t xml:space="preserve">; Institute of Medicine, </w:t>
      </w:r>
      <w:r w:rsidR="00562C78" w:rsidRPr="00D7648A">
        <w:rPr>
          <w:rFonts w:ascii="Garamond" w:hAnsi="Garamond"/>
          <w:i/>
          <w:iCs/>
          <w:sz w:val="16"/>
          <w:szCs w:val="16"/>
        </w:rPr>
        <w:t>Sharing Clinical</w:t>
      </w:r>
      <w:r w:rsidR="00FD2281" w:rsidRPr="00D7648A">
        <w:rPr>
          <w:rFonts w:ascii="Garamond" w:hAnsi="Garamond"/>
          <w:i/>
          <w:iCs/>
          <w:sz w:val="16"/>
          <w:szCs w:val="16"/>
        </w:rPr>
        <w:t xml:space="preserve"> Research Data</w:t>
      </w:r>
      <w:r w:rsidR="00681F33" w:rsidRPr="00D7648A">
        <w:rPr>
          <w:rFonts w:ascii="Garamond" w:hAnsi="Garamond"/>
          <w:i/>
          <w:iCs/>
          <w:sz w:val="16"/>
          <w:szCs w:val="16"/>
        </w:rPr>
        <w:t>: Workshop Summary</w:t>
      </w:r>
      <w:r w:rsidR="00324D52" w:rsidRPr="00D7648A">
        <w:rPr>
          <w:rFonts w:ascii="Garamond" w:hAnsi="Garamond"/>
          <w:sz w:val="16"/>
          <w:szCs w:val="16"/>
        </w:rPr>
        <w:t xml:space="preserve"> (National Academies Press</w:t>
      </w:r>
      <w:r w:rsidR="0079774C" w:rsidRPr="00D7648A">
        <w:rPr>
          <w:rFonts w:ascii="Garamond" w:hAnsi="Garamond"/>
          <w:sz w:val="16"/>
          <w:szCs w:val="16"/>
        </w:rPr>
        <w:t xml:space="preserve"> 2013)</w:t>
      </w:r>
      <w:r w:rsidR="00603609" w:rsidRPr="00D7648A">
        <w:rPr>
          <w:rFonts w:ascii="Garamond" w:hAnsi="Garamond"/>
          <w:sz w:val="16"/>
          <w:szCs w:val="16"/>
        </w:rPr>
        <w:t>, 12-14</w:t>
      </w:r>
    </w:p>
  </w:footnote>
  <w:footnote w:id="15">
    <w:p w14:paraId="278D6612" w14:textId="64042AFB" w:rsidR="002B6977" w:rsidRPr="00D7648A" w:rsidRDefault="002B6977">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EE63ED" w:rsidRPr="00D7648A">
        <w:rPr>
          <w:rFonts w:ascii="Garamond" w:hAnsi="Garamond"/>
          <w:sz w:val="16"/>
          <w:szCs w:val="16"/>
        </w:rPr>
        <w:t>Brassington</w:t>
      </w:r>
      <w:r w:rsidR="0008620C" w:rsidRPr="00D7648A">
        <w:rPr>
          <w:rFonts w:ascii="Garamond" w:hAnsi="Garamond"/>
          <w:sz w:val="16"/>
          <w:szCs w:val="16"/>
        </w:rPr>
        <w:t xml:space="preserve"> </w:t>
      </w:r>
      <w:r w:rsidR="00EE63ED" w:rsidRPr="00D7648A">
        <w:rPr>
          <w:rFonts w:ascii="Garamond" w:hAnsi="Garamond"/>
          <w:sz w:val="16"/>
          <w:szCs w:val="16"/>
        </w:rPr>
        <w:t>(</w:t>
      </w:r>
      <w:r w:rsidR="0008620C" w:rsidRPr="00D7648A">
        <w:rPr>
          <w:rFonts w:ascii="Garamond" w:hAnsi="Garamond"/>
          <w:sz w:val="16"/>
          <w:szCs w:val="16"/>
        </w:rPr>
        <w:t>n 10</w:t>
      </w:r>
      <w:r w:rsidR="00EE63ED" w:rsidRPr="00D7648A">
        <w:rPr>
          <w:rFonts w:ascii="Garamond" w:hAnsi="Garamond"/>
          <w:sz w:val="16"/>
          <w:szCs w:val="16"/>
        </w:rPr>
        <w:t>)</w:t>
      </w:r>
      <w:r w:rsidR="004D1324" w:rsidRPr="00D7648A">
        <w:rPr>
          <w:rFonts w:ascii="Garamond" w:hAnsi="Garamond"/>
          <w:sz w:val="16"/>
          <w:szCs w:val="16"/>
        </w:rPr>
        <w:t xml:space="preserve"> </w:t>
      </w:r>
      <w:r w:rsidRPr="00D7648A">
        <w:rPr>
          <w:rFonts w:ascii="Garamond" w:hAnsi="Garamond"/>
          <w:sz w:val="16"/>
          <w:szCs w:val="16"/>
        </w:rPr>
        <w:t>20</w:t>
      </w:r>
    </w:p>
  </w:footnote>
  <w:footnote w:id="16">
    <w:p w14:paraId="40A58D8E" w14:textId="0EF1C71D" w:rsidR="009C0C89" w:rsidRPr="00D7648A" w:rsidRDefault="009C0C89" w:rsidP="007D416B">
      <w:pPr>
        <w:rPr>
          <w:rFonts w:ascii="Garamond" w:hAnsi="Garamond"/>
          <w:sz w:val="16"/>
          <w:szCs w:val="16"/>
        </w:rPr>
      </w:pPr>
      <w:r w:rsidRPr="00D7648A">
        <w:rPr>
          <w:rStyle w:val="FootnoteReference"/>
          <w:rFonts w:ascii="Garamond" w:hAnsi="Garamond"/>
          <w:sz w:val="16"/>
          <w:szCs w:val="16"/>
        </w:rPr>
        <w:footnoteRef/>
      </w:r>
      <w:r w:rsidR="12F20B55" w:rsidRPr="00D7648A">
        <w:rPr>
          <w:rFonts w:ascii="Garamond" w:hAnsi="Garamond"/>
          <w:sz w:val="16"/>
          <w:szCs w:val="16"/>
        </w:rPr>
        <w:t xml:space="preserve"> Heather A</w:t>
      </w:r>
      <w:r w:rsidR="00B450D1" w:rsidRPr="00D7648A">
        <w:rPr>
          <w:rFonts w:ascii="Garamond" w:hAnsi="Garamond"/>
          <w:sz w:val="16"/>
          <w:szCs w:val="16"/>
        </w:rPr>
        <w:t>.</w:t>
      </w:r>
      <w:r w:rsidR="12F20B55" w:rsidRPr="00D7648A">
        <w:rPr>
          <w:rFonts w:ascii="Garamond" w:hAnsi="Garamond"/>
          <w:sz w:val="16"/>
          <w:szCs w:val="16"/>
        </w:rPr>
        <w:t xml:space="preserve"> Piwowar </w:t>
      </w:r>
      <w:r w:rsidR="001A07A4" w:rsidRPr="00D7648A">
        <w:rPr>
          <w:rFonts w:ascii="Garamond" w:hAnsi="Garamond"/>
          <w:sz w:val="16"/>
          <w:szCs w:val="16"/>
        </w:rPr>
        <w:t>and others</w:t>
      </w:r>
      <w:r w:rsidR="12F20B55" w:rsidRPr="00D7648A">
        <w:rPr>
          <w:rFonts w:ascii="Garamond" w:eastAsia="Times New Roman" w:hAnsi="Garamond" w:cs="Times New Roman"/>
          <w:sz w:val="16"/>
          <w:szCs w:val="16"/>
          <w:shd w:val="clear" w:color="auto" w:fill="FFFFFF"/>
          <w:lang w:eastAsia="en-GB"/>
        </w:rPr>
        <w:t>,</w:t>
      </w:r>
      <w:r w:rsidR="12F20B55" w:rsidRPr="00D7648A">
        <w:rPr>
          <w:rFonts w:ascii="Garamond" w:hAnsi="Garamond"/>
          <w:sz w:val="16"/>
          <w:szCs w:val="16"/>
        </w:rPr>
        <w:t xml:space="preserve"> ‘Towards a Data Sharing Culture: Recommendations for Leadership from Academic Health </w:t>
      </w:r>
      <w:proofErr w:type="spellStart"/>
      <w:r w:rsidR="12F20B55" w:rsidRPr="00D7648A">
        <w:rPr>
          <w:rFonts w:ascii="Garamond" w:hAnsi="Garamond"/>
          <w:sz w:val="16"/>
          <w:szCs w:val="16"/>
        </w:rPr>
        <w:t>Centers’</w:t>
      </w:r>
      <w:proofErr w:type="spellEnd"/>
      <w:r w:rsidR="008E51CA" w:rsidRPr="00D7648A">
        <w:rPr>
          <w:rFonts w:ascii="Garamond" w:hAnsi="Garamond"/>
          <w:sz w:val="16"/>
          <w:szCs w:val="16"/>
        </w:rPr>
        <w:t xml:space="preserve"> (2008) 5(9)</w:t>
      </w:r>
      <w:r w:rsidR="12F20B55" w:rsidRPr="00D7648A">
        <w:rPr>
          <w:rFonts w:ascii="Garamond" w:hAnsi="Garamond"/>
          <w:sz w:val="16"/>
          <w:szCs w:val="16"/>
        </w:rPr>
        <w:t xml:space="preserve"> </w:t>
      </w:r>
      <w:r w:rsidR="12F20B55" w:rsidRPr="00D7648A">
        <w:rPr>
          <w:rFonts w:ascii="Garamond" w:hAnsi="Garamond"/>
          <w:i/>
          <w:iCs/>
          <w:sz w:val="16"/>
          <w:szCs w:val="16"/>
        </w:rPr>
        <w:t>PL</w:t>
      </w:r>
      <w:r w:rsidR="00D21808" w:rsidRPr="00D7648A">
        <w:rPr>
          <w:rFonts w:ascii="Garamond" w:hAnsi="Garamond"/>
          <w:i/>
          <w:iCs/>
          <w:sz w:val="16"/>
          <w:szCs w:val="16"/>
        </w:rPr>
        <w:t>o</w:t>
      </w:r>
      <w:r w:rsidR="12F20B55" w:rsidRPr="00D7648A">
        <w:rPr>
          <w:rFonts w:ascii="Garamond" w:hAnsi="Garamond"/>
          <w:i/>
          <w:iCs/>
          <w:sz w:val="16"/>
          <w:szCs w:val="16"/>
        </w:rPr>
        <w:t>S Med</w:t>
      </w:r>
      <w:r w:rsidR="12F20B55" w:rsidRPr="00D7648A">
        <w:rPr>
          <w:rFonts w:ascii="Garamond" w:hAnsi="Garamond"/>
          <w:sz w:val="16"/>
          <w:szCs w:val="16"/>
        </w:rPr>
        <w:t>.</w:t>
      </w:r>
      <w:r w:rsidR="008E51CA" w:rsidRPr="00D7648A">
        <w:rPr>
          <w:rFonts w:ascii="Garamond" w:hAnsi="Garamond"/>
          <w:sz w:val="16"/>
          <w:szCs w:val="16"/>
        </w:rPr>
        <w:t xml:space="preserve"> </w:t>
      </w:r>
      <w:r w:rsidR="12F20B55" w:rsidRPr="00D7648A">
        <w:rPr>
          <w:rFonts w:ascii="Garamond" w:eastAsia="Times New Roman" w:hAnsi="Garamond" w:cs="Times New Roman"/>
          <w:sz w:val="16"/>
          <w:szCs w:val="16"/>
          <w:shd w:val="clear" w:color="auto" w:fill="FFFFFF"/>
          <w:lang w:eastAsia="en-GB"/>
        </w:rPr>
        <w:t xml:space="preserve">e183. </w:t>
      </w:r>
      <w:r w:rsidR="00C36A8B" w:rsidRPr="00D7648A">
        <w:rPr>
          <w:rFonts w:ascii="Garamond" w:eastAsia="Times New Roman" w:hAnsi="Garamond" w:cs="Times New Roman"/>
          <w:sz w:val="16"/>
          <w:szCs w:val="16"/>
          <w:shd w:val="clear" w:color="auto" w:fill="FFFFFF"/>
          <w:lang w:eastAsia="en-GB"/>
        </w:rPr>
        <w:t>&lt;</w:t>
      </w:r>
      <w:hyperlink r:id="rId8" w:history="1">
        <w:r w:rsidR="00C36A8B" w:rsidRPr="00D7648A">
          <w:rPr>
            <w:rStyle w:val="Hyperlink"/>
            <w:rFonts w:ascii="Garamond" w:hAnsi="Garamond"/>
            <w:color w:val="auto"/>
            <w:sz w:val="16"/>
            <w:szCs w:val="16"/>
          </w:rPr>
          <w:t>https://doi.org/10.1371/journal.pmed.0050183</w:t>
        </w:r>
      </w:hyperlink>
      <w:r w:rsidR="00C36A8B" w:rsidRPr="00D7648A">
        <w:rPr>
          <w:rFonts w:ascii="Garamond" w:hAnsi="Garamond"/>
          <w:sz w:val="16"/>
          <w:szCs w:val="16"/>
        </w:rPr>
        <w:t>&gt;</w:t>
      </w:r>
      <w:r w:rsidR="00F5649B" w:rsidRPr="00D7648A">
        <w:rPr>
          <w:rFonts w:ascii="Garamond" w:hAnsi="Garamond"/>
          <w:sz w:val="16"/>
          <w:szCs w:val="16"/>
        </w:rPr>
        <w:t xml:space="preserve"> accessed 8 September 2022</w:t>
      </w:r>
      <w:r w:rsidR="00314CEA" w:rsidRPr="00D7648A">
        <w:rPr>
          <w:rFonts w:ascii="Garamond" w:hAnsi="Garamond"/>
          <w:sz w:val="16"/>
          <w:szCs w:val="16"/>
        </w:rPr>
        <w:t>, 131</w:t>
      </w:r>
      <w:r w:rsidR="003F0CEB" w:rsidRPr="00D7648A">
        <w:rPr>
          <w:rFonts w:ascii="Garamond" w:hAnsi="Garamond"/>
          <w:sz w:val="16"/>
          <w:szCs w:val="16"/>
        </w:rPr>
        <w:t xml:space="preserve">6 </w:t>
      </w:r>
    </w:p>
  </w:footnote>
  <w:footnote w:id="17">
    <w:p w14:paraId="4AF76220" w14:textId="6C705489" w:rsidR="002833DA" w:rsidRPr="00D7648A" w:rsidRDefault="002833DA" w:rsidP="002833DA">
      <w:pPr>
        <w:pStyle w:val="FootnoteText"/>
        <w:rPr>
          <w:rFonts w:ascii="Garamond" w:hAnsi="Garamond"/>
          <w:sz w:val="16"/>
          <w:szCs w:val="16"/>
        </w:rPr>
      </w:pPr>
      <w:r w:rsidRPr="00D7648A">
        <w:rPr>
          <w:rStyle w:val="FootnoteReference"/>
          <w:rFonts w:ascii="Garamond" w:hAnsi="Garamond"/>
          <w:sz w:val="16"/>
          <w:szCs w:val="16"/>
        </w:rPr>
        <w:footnoteRef/>
      </w:r>
      <w:r w:rsidR="12F20B55" w:rsidRPr="00D7648A">
        <w:rPr>
          <w:rFonts w:ascii="Garamond" w:hAnsi="Garamond"/>
          <w:sz w:val="16"/>
          <w:szCs w:val="16"/>
        </w:rPr>
        <w:t xml:space="preserve"> V </w:t>
      </w:r>
      <w:proofErr w:type="spellStart"/>
      <w:r w:rsidR="12F20B55" w:rsidRPr="00D7648A">
        <w:rPr>
          <w:rFonts w:ascii="Garamond" w:hAnsi="Garamond"/>
          <w:sz w:val="16"/>
          <w:szCs w:val="16"/>
        </w:rPr>
        <w:t>Danchev</w:t>
      </w:r>
      <w:proofErr w:type="spellEnd"/>
      <w:r w:rsidR="12F20B55" w:rsidRPr="00D7648A">
        <w:rPr>
          <w:rFonts w:ascii="Garamond" w:hAnsi="Garamond"/>
          <w:sz w:val="16"/>
          <w:szCs w:val="16"/>
        </w:rPr>
        <w:t xml:space="preserve"> </w:t>
      </w:r>
      <w:r w:rsidR="00CC3449" w:rsidRPr="00D7648A">
        <w:rPr>
          <w:rFonts w:ascii="Garamond" w:hAnsi="Garamond"/>
          <w:sz w:val="16"/>
          <w:szCs w:val="16"/>
        </w:rPr>
        <w:t>and others</w:t>
      </w:r>
      <w:r w:rsidR="12F20B55" w:rsidRPr="00D7648A">
        <w:rPr>
          <w:rFonts w:ascii="Garamond" w:hAnsi="Garamond"/>
          <w:sz w:val="16"/>
          <w:szCs w:val="16"/>
        </w:rPr>
        <w:t>, ‘Evaluation of Data Sharing After Implementation of the International Committee of Medical Journal Editors Data Sharing Statement Requirement’</w:t>
      </w:r>
      <w:r w:rsidR="00C2366F" w:rsidRPr="00D7648A">
        <w:rPr>
          <w:rFonts w:ascii="Garamond" w:hAnsi="Garamond"/>
          <w:sz w:val="16"/>
          <w:szCs w:val="16"/>
        </w:rPr>
        <w:t xml:space="preserve"> (2021) 4(1)</w:t>
      </w:r>
      <w:r w:rsidR="12F20B55" w:rsidRPr="00D7648A">
        <w:rPr>
          <w:rFonts w:ascii="Garamond" w:hAnsi="Garamond"/>
          <w:sz w:val="16"/>
          <w:szCs w:val="16"/>
        </w:rPr>
        <w:t xml:space="preserve"> </w:t>
      </w:r>
      <w:r w:rsidR="12F20B55" w:rsidRPr="00D7648A">
        <w:rPr>
          <w:rFonts w:ascii="Garamond" w:hAnsi="Garamond" w:cs="GuardianSans-RegularIt"/>
          <w:i/>
          <w:iCs/>
          <w:sz w:val="16"/>
          <w:szCs w:val="16"/>
        </w:rPr>
        <w:t xml:space="preserve">JAMA </w:t>
      </w:r>
      <w:proofErr w:type="spellStart"/>
      <w:r w:rsidR="12F20B55" w:rsidRPr="00D7648A">
        <w:rPr>
          <w:rFonts w:ascii="Garamond" w:hAnsi="Garamond" w:cs="GuardianSans-RegularIt"/>
          <w:i/>
          <w:iCs/>
          <w:sz w:val="16"/>
          <w:szCs w:val="16"/>
        </w:rPr>
        <w:t>Netw</w:t>
      </w:r>
      <w:proofErr w:type="spellEnd"/>
      <w:r w:rsidR="12F20B55" w:rsidRPr="00D7648A">
        <w:rPr>
          <w:rFonts w:ascii="Garamond" w:hAnsi="Garamond" w:cs="GuardianSans-RegularIt"/>
          <w:i/>
          <w:iCs/>
          <w:sz w:val="16"/>
          <w:szCs w:val="16"/>
        </w:rPr>
        <w:t xml:space="preserve"> Open</w:t>
      </w:r>
      <w:r w:rsidR="00C2366F" w:rsidRPr="00D7648A">
        <w:rPr>
          <w:rFonts w:ascii="Garamond" w:eastAsia="GuardianSansGR-Regular" w:hAnsi="Garamond" w:cs="GuardianSansGR-Regular"/>
          <w:sz w:val="16"/>
          <w:szCs w:val="16"/>
        </w:rPr>
        <w:t xml:space="preserve"> </w:t>
      </w:r>
      <w:r w:rsidR="00780B85" w:rsidRPr="00D7648A">
        <w:rPr>
          <w:rFonts w:ascii="Garamond" w:eastAsia="GuardianSansGR-Regular" w:hAnsi="Garamond" w:cs="GuardianSansGR-Regular"/>
          <w:sz w:val="16"/>
          <w:szCs w:val="16"/>
        </w:rPr>
        <w:t>&lt;</w:t>
      </w:r>
      <w:hyperlink r:id="rId9" w:history="1">
        <w:r w:rsidR="00780B85" w:rsidRPr="00D7648A">
          <w:rPr>
            <w:rStyle w:val="Hyperlink"/>
            <w:rFonts w:ascii="Garamond" w:eastAsia="GuardianSansGR-Regular" w:hAnsi="Garamond" w:cs="GuardianSansGR-Regular"/>
            <w:color w:val="auto"/>
            <w:sz w:val="16"/>
            <w:szCs w:val="16"/>
          </w:rPr>
          <w:t>https://jamanetwork.com/journals/jamanetworkopen/fullarticle/2775667</w:t>
        </w:r>
      </w:hyperlink>
      <w:r w:rsidR="00780B85" w:rsidRPr="00D7648A">
        <w:rPr>
          <w:rFonts w:ascii="Garamond" w:eastAsia="GuardianSansGR-Regular" w:hAnsi="Garamond" w:cs="GuardianSansGR-Regular"/>
          <w:sz w:val="16"/>
          <w:szCs w:val="16"/>
        </w:rPr>
        <w:t xml:space="preserve">&gt; </w:t>
      </w:r>
      <w:r w:rsidR="002503CC" w:rsidRPr="00D7648A">
        <w:rPr>
          <w:rFonts w:ascii="Garamond" w:eastAsia="GuardianSansGR-Regular" w:hAnsi="Garamond" w:cs="GuardianSansGR-Regular"/>
          <w:sz w:val="16"/>
          <w:szCs w:val="16"/>
        </w:rPr>
        <w:t xml:space="preserve">accessed 8 September 2022, </w:t>
      </w:r>
      <w:r w:rsidR="00CE744F" w:rsidRPr="00D7648A">
        <w:rPr>
          <w:rFonts w:ascii="Garamond" w:eastAsia="GuardianSansGR-Regular" w:hAnsi="Garamond" w:cs="GuardianSansGR-Regular"/>
          <w:sz w:val="16"/>
          <w:szCs w:val="16"/>
        </w:rPr>
        <w:t xml:space="preserve">2 </w:t>
      </w:r>
    </w:p>
  </w:footnote>
  <w:footnote w:id="18">
    <w:p w14:paraId="3B89AB75" w14:textId="2D6F6EEA" w:rsidR="001B75AC" w:rsidRPr="00D7648A" w:rsidRDefault="001B75AC" w:rsidP="001B75AC">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Bernard Lo &amp; David L. Mets, ‘Incentives for Clinical Triallists to Share Data’ </w:t>
      </w:r>
      <w:r w:rsidR="00745F89" w:rsidRPr="00D7648A">
        <w:rPr>
          <w:rFonts w:ascii="Garamond" w:hAnsi="Garamond"/>
          <w:sz w:val="16"/>
          <w:szCs w:val="16"/>
        </w:rPr>
        <w:t>(</w:t>
      </w:r>
      <w:r w:rsidRPr="00D7648A">
        <w:rPr>
          <w:rFonts w:ascii="Garamond" w:hAnsi="Garamond"/>
          <w:sz w:val="16"/>
          <w:szCs w:val="16"/>
        </w:rPr>
        <w:t>2016</w:t>
      </w:r>
      <w:r w:rsidR="00745F89" w:rsidRPr="00D7648A">
        <w:rPr>
          <w:rFonts w:ascii="Garamond" w:hAnsi="Garamond"/>
          <w:sz w:val="16"/>
          <w:szCs w:val="16"/>
        </w:rPr>
        <w:t>)</w:t>
      </w:r>
      <w:r w:rsidRPr="00D7648A">
        <w:rPr>
          <w:rFonts w:ascii="Garamond" w:hAnsi="Garamond"/>
          <w:sz w:val="16"/>
          <w:szCs w:val="16"/>
        </w:rPr>
        <w:t xml:space="preserve"> 375(12) </w:t>
      </w:r>
      <w:r w:rsidRPr="00D7648A">
        <w:rPr>
          <w:rFonts w:ascii="Garamond" w:hAnsi="Garamond"/>
          <w:i/>
          <w:iCs/>
          <w:sz w:val="16"/>
          <w:szCs w:val="16"/>
        </w:rPr>
        <w:t>New Engl J Med</w:t>
      </w:r>
      <w:r w:rsidRPr="00D7648A">
        <w:rPr>
          <w:rFonts w:ascii="Garamond" w:hAnsi="Garamond"/>
          <w:sz w:val="16"/>
          <w:szCs w:val="16"/>
        </w:rPr>
        <w:t xml:space="preserve"> 1112</w:t>
      </w:r>
    </w:p>
  </w:footnote>
  <w:footnote w:id="19">
    <w:p w14:paraId="6D7440CC" w14:textId="26FECFD7" w:rsidR="00B662C1" w:rsidRPr="00D7648A" w:rsidRDefault="00B662C1" w:rsidP="00B662C1">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CD6653" w:rsidRPr="00D7648A">
        <w:rPr>
          <w:rFonts w:ascii="Garamond" w:hAnsi="Garamond"/>
          <w:sz w:val="16"/>
          <w:szCs w:val="16"/>
        </w:rPr>
        <w:t>i</w:t>
      </w:r>
      <w:r w:rsidR="00D528BA" w:rsidRPr="00D7648A">
        <w:rPr>
          <w:rFonts w:ascii="Garamond" w:hAnsi="Garamond"/>
          <w:sz w:val="16"/>
          <w:szCs w:val="16"/>
        </w:rPr>
        <w:t xml:space="preserve">bid. </w:t>
      </w:r>
      <w:r w:rsidRPr="00D7648A">
        <w:rPr>
          <w:rFonts w:ascii="Garamond" w:hAnsi="Garamond"/>
          <w:sz w:val="16"/>
          <w:szCs w:val="16"/>
        </w:rPr>
        <w:t xml:space="preserve">1112 </w:t>
      </w:r>
    </w:p>
  </w:footnote>
  <w:footnote w:id="20">
    <w:p w14:paraId="3960546D" w14:textId="187833DD" w:rsidR="00556B0D" w:rsidRPr="00D7648A" w:rsidRDefault="00556B0D">
      <w:pPr>
        <w:pStyle w:val="FootnoteText"/>
        <w:rPr>
          <w:rFonts w:ascii="Garamond" w:hAnsi="Garamond"/>
          <w:sz w:val="16"/>
          <w:szCs w:val="16"/>
        </w:rPr>
      </w:pPr>
      <w:r w:rsidRPr="00C96D58">
        <w:rPr>
          <w:rStyle w:val="FootnoteReference"/>
          <w:rFonts w:ascii="Garamond" w:hAnsi="Garamond"/>
          <w:sz w:val="16"/>
          <w:szCs w:val="16"/>
        </w:rPr>
        <w:footnoteRef/>
      </w:r>
      <w:r w:rsidR="4E2276DB" w:rsidRPr="00D7648A">
        <w:rPr>
          <w:rFonts w:ascii="Garamond" w:hAnsi="Garamond"/>
          <w:sz w:val="16"/>
          <w:szCs w:val="16"/>
        </w:rPr>
        <w:t xml:space="preserve"> The International Consortium of Investigators for Fairness in Trial Data Sharing, ‘Toward Fairness in Data Sharing’</w:t>
      </w:r>
      <w:r w:rsidR="00493C96" w:rsidRPr="00D7648A">
        <w:rPr>
          <w:rFonts w:ascii="Garamond" w:hAnsi="Garamond"/>
          <w:sz w:val="16"/>
          <w:szCs w:val="16"/>
        </w:rPr>
        <w:t xml:space="preserve"> (2016)</w:t>
      </w:r>
      <w:r w:rsidR="00FD188C" w:rsidRPr="00D7648A">
        <w:rPr>
          <w:rFonts w:ascii="Garamond" w:hAnsi="Garamond"/>
          <w:sz w:val="16"/>
          <w:szCs w:val="16"/>
        </w:rPr>
        <w:t xml:space="preserve"> 375(5)</w:t>
      </w:r>
      <w:r w:rsidR="4E2276DB" w:rsidRPr="00D7648A">
        <w:rPr>
          <w:rFonts w:ascii="Garamond" w:hAnsi="Garamond"/>
          <w:sz w:val="16"/>
          <w:szCs w:val="16"/>
        </w:rPr>
        <w:t xml:space="preserve"> </w:t>
      </w:r>
      <w:r w:rsidR="4E2276DB" w:rsidRPr="00D7648A">
        <w:rPr>
          <w:rFonts w:ascii="Garamond" w:hAnsi="Garamond"/>
          <w:i/>
          <w:iCs/>
          <w:sz w:val="16"/>
          <w:szCs w:val="16"/>
        </w:rPr>
        <w:t>N</w:t>
      </w:r>
      <w:r w:rsidR="00493C96" w:rsidRPr="00D7648A">
        <w:rPr>
          <w:rFonts w:ascii="Garamond" w:hAnsi="Garamond"/>
          <w:i/>
          <w:iCs/>
          <w:sz w:val="16"/>
          <w:szCs w:val="16"/>
        </w:rPr>
        <w:t xml:space="preserve">ew </w:t>
      </w:r>
      <w:r w:rsidR="4E2276DB" w:rsidRPr="00D7648A">
        <w:rPr>
          <w:rFonts w:ascii="Garamond" w:hAnsi="Garamond"/>
          <w:i/>
          <w:iCs/>
          <w:sz w:val="16"/>
          <w:szCs w:val="16"/>
        </w:rPr>
        <w:t>E</w:t>
      </w:r>
      <w:r w:rsidR="00493C96" w:rsidRPr="00D7648A">
        <w:rPr>
          <w:rFonts w:ascii="Garamond" w:hAnsi="Garamond"/>
          <w:i/>
          <w:iCs/>
          <w:sz w:val="16"/>
          <w:szCs w:val="16"/>
        </w:rPr>
        <w:t xml:space="preserve">ngl </w:t>
      </w:r>
      <w:r w:rsidR="4E2276DB" w:rsidRPr="00D7648A">
        <w:rPr>
          <w:rFonts w:ascii="Garamond" w:hAnsi="Garamond"/>
          <w:i/>
          <w:iCs/>
          <w:sz w:val="16"/>
          <w:szCs w:val="16"/>
        </w:rPr>
        <w:t>J</w:t>
      </w:r>
      <w:r w:rsidR="00493C96" w:rsidRPr="00D7648A">
        <w:rPr>
          <w:rFonts w:ascii="Garamond" w:hAnsi="Garamond"/>
          <w:i/>
          <w:iCs/>
          <w:sz w:val="16"/>
          <w:szCs w:val="16"/>
        </w:rPr>
        <w:t xml:space="preserve"> </w:t>
      </w:r>
      <w:r w:rsidR="4E2276DB" w:rsidRPr="00D7648A">
        <w:rPr>
          <w:rFonts w:ascii="Garamond" w:hAnsi="Garamond"/>
          <w:i/>
          <w:iCs/>
          <w:sz w:val="16"/>
          <w:szCs w:val="16"/>
        </w:rPr>
        <w:t>M</w:t>
      </w:r>
      <w:r w:rsidR="00493C96" w:rsidRPr="00D7648A">
        <w:rPr>
          <w:rFonts w:ascii="Garamond" w:hAnsi="Garamond"/>
          <w:i/>
          <w:iCs/>
          <w:sz w:val="16"/>
          <w:szCs w:val="16"/>
        </w:rPr>
        <w:t>ed</w:t>
      </w:r>
      <w:r w:rsidR="00CC3449" w:rsidRPr="00D7648A">
        <w:rPr>
          <w:rFonts w:ascii="Garamond" w:hAnsi="Garamond"/>
          <w:i/>
          <w:iCs/>
          <w:sz w:val="16"/>
          <w:szCs w:val="16"/>
        </w:rPr>
        <w:t xml:space="preserve"> </w:t>
      </w:r>
      <w:r w:rsidR="00CC3449" w:rsidRPr="00D7648A">
        <w:rPr>
          <w:rFonts w:ascii="Garamond" w:hAnsi="Garamond"/>
          <w:sz w:val="16"/>
          <w:szCs w:val="16"/>
        </w:rPr>
        <w:t>405, 406</w:t>
      </w:r>
    </w:p>
  </w:footnote>
  <w:footnote w:id="21">
    <w:p w14:paraId="4155496C" w14:textId="4B0109CF" w:rsidR="002833DA" w:rsidRPr="00D7648A" w:rsidRDefault="002833DA" w:rsidP="002833DA">
      <w:pPr>
        <w:pStyle w:val="FootnoteText"/>
        <w:rPr>
          <w:rFonts w:ascii="Garamond" w:hAnsi="Garamond"/>
          <w:sz w:val="16"/>
          <w:szCs w:val="16"/>
        </w:rPr>
      </w:pPr>
      <w:r w:rsidRPr="00D7648A">
        <w:rPr>
          <w:rStyle w:val="FootnoteReference"/>
          <w:rFonts w:ascii="Garamond" w:hAnsi="Garamond"/>
          <w:sz w:val="16"/>
          <w:szCs w:val="16"/>
        </w:rPr>
        <w:footnoteRef/>
      </w:r>
      <w:proofErr w:type="spellStart"/>
      <w:r w:rsidR="12F20B55" w:rsidRPr="00D7648A">
        <w:rPr>
          <w:rFonts w:ascii="Garamond" w:hAnsi="Garamond"/>
          <w:sz w:val="16"/>
          <w:szCs w:val="16"/>
        </w:rPr>
        <w:t>Danchev</w:t>
      </w:r>
      <w:proofErr w:type="spellEnd"/>
      <w:r w:rsidR="12F20B55" w:rsidRPr="00D7648A">
        <w:rPr>
          <w:rFonts w:ascii="Garamond" w:hAnsi="Garamond"/>
          <w:sz w:val="16"/>
          <w:szCs w:val="16"/>
        </w:rPr>
        <w:t xml:space="preserve"> </w:t>
      </w:r>
      <w:r w:rsidR="005116A3" w:rsidRPr="00D7648A">
        <w:rPr>
          <w:rFonts w:ascii="Garamond" w:hAnsi="Garamond"/>
          <w:sz w:val="16"/>
          <w:szCs w:val="16"/>
        </w:rPr>
        <w:t xml:space="preserve">and others </w:t>
      </w:r>
      <w:r w:rsidR="00430A7C" w:rsidRPr="00D7648A">
        <w:rPr>
          <w:rFonts w:ascii="Garamond" w:hAnsi="Garamond"/>
          <w:sz w:val="16"/>
          <w:szCs w:val="16"/>
        </w:rPr>
        <w:t>(n 16)</w:t>
      </w:r>
      <w:r w:rsidR="004C5FFC" w:rsidRPr="00D7648A">
        <w:rPr>
          <w:rFonts w:ascii="Garamond" w:hAnsi="Garamond"/>
          <w:sz w:val="16"/>
          <w:szCs w:val="16"/>
        </w:rPr>
        <w:t>, 2</w:t>
      </w:r>
    </w:p>
  </w:footnote>
  <w:footnote w:id="22">
    <w:p w14:paraId="0588F697" w14:textId="01E2361A" w:rsidR="00B06DEF" w:rsidRPr="00D7648A" w:rsidRDefault="00B06DEF" w:rsidP="00B06DEF">
      <w:pPr>
        <w:pStyle w:val="FootnoteText"/>
        <w:rPr>
          <w:rFonts w:ascii="Garamond" w:hAnsi="Garamond"/>
          <w:sz w:val="16"/>
          <w:szCs w:val="16"/>
        </w:rPr>
      </w:pPr>
      <w:r w:rsidRPr="00D7648A">
        <w:rPr>
          <w:rStyle w:val="FootnoteReference"/>
          <w:rFonts w:ascii="Garamond" w:hAnsi="Garamond"/>
          <w:sz w:val="16"/>
          <w:szCs w:val="16"/>
        </w:rPr>
        <w:footnoteRef/>
      </w:r>
      <w:r w:rsidR="12F20B55" w:rsidRPr="00D7648A">
        <w:rPr>
          <w:rFonts w:ascii="Garamond" w:hAnsi="Garamond"/>
          <w:sz w:val="16"/>
          <w:szCs w:val="16"/>
        </w:rPr>
        <w:t xml:space="preserve"> </w:t>
      </w:r>
      <w:proofErr w:type="spellStart"/>
      <w:r w:rsidR="004C5FFC" w:rsidRPr="00D7648A">
        <w:rPr>
          <w:rFonts w:ascii="Garamond" w:hAnsi="Garamond"/>
          <w:sz w:val="16"/>
          <w:szCs w:val="16"/>
        </w:rPr>
        <w:t>Danchev</w:t>
      </w:r>
      <w:proofErr w:type="spellEnd"/>
      <w:r w:rsidR="004C5FFC" w:rsidRPr="00D7648A">
        <w:rPr>
          <w:rFonts w:ascii="Garamond" w:hAnsi="Garamond"/>
          <w:sz w:val="16"/>
          <w:szCs w:val="16"/>
        </w:rPr>
        <w:t xml:space="preserve"> and others (n 16), </w:t>
      </w:r>
      <w:r w:rsidR="00090ED2" w:rsidRPr="00D7648A">
        <w:rPr>
          <w:rFonts w:ascii="Garamond" w:hAnsi="Garamond"/>
          <w:sz w:val="16"/>
          <w:szCs w:val="16"/>
        </w:rPr>
        <w:t>2</w:t>
      </w:r>
    </w:p>
  </w:footnote>
  <w:footnote w:id="23">
    <w:p w14:paraId="6F134C77" w14:textId="5E422623" w:rsidR="00504DB9" w:rsidRPr="00D7648A" w:rsidRDefault="00504DB9">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572234" w:rsidRPr="00D7648A">
        <w:rPr>
          <w:rFonts w:ascii="Garamond" w:hAnsi="Garamond"/>
          <w:sz w:val="16"/>
          <w:szCs w:val="16"/>
        </w:rPr>
        <w:t xml:space="preserve">Darren B </w:t>
      </w:r>
      <w:proofErr w:type="spellStart"/>
      <w:r w:rsidR="00572234" w:rsidRPr="00D7648A">
        <w:rPr>
          <w:rFonts w:ascii="Garamond" w:hAnsi="Garamond"/>
          <w:sz w:val="16"/>
          <w:szCs w:val="16"/>
        </w:rPr>
        <w:t>Taichman</w:t>
      </w:r>
      <w:proofErr w:type="spellEnd"/>
      <w:r w:rsidR="00572234" w:rsidRPr="00D7648A">
        <w:rPr>
          <w:rFonts w:ascii="Garamond" w:hAnsi="Garamond"/>
          <w:sz w:val="16"/>
          <w:szCs w:val="16"/>
        </w:rPr>
        <w:t xml:space="preserve"> and others</w:t>
      </w:r>
      <w:r w:rsidR="00674B0A" w:rsidRPr="00D7648A">
        <w:rPr>
          <w:rFonts w:ascii="Garamond" w:hAnsi="Garamond"/>
          <w:sz w:val="16"/>
          <w:szCs w:val="16"/>
        </w:rPr>
        <w:t>, ‘</w:t>
      </w:r>
      <w:r w:rsidRPr="00D7648A">
        <w:rPr>
          <w:rFonts w:ascii="Garamond" w:hAnsi="Garamond"/>
          <w:sz w:val="16"/>
          <w:szCs w:val="16"/>
        </w:rPr>
        <w:t>Data Sharing Statements for Clinical Trials: A Requirement of the International Committee of Medical Journal Editors’ (2017)</w:t>
      </w:r>
      <w:r w:rsidR="00674B0A" w:rsidRPr="00D7648A">
        <w:rPr>
          <w:rFonts w:ascii="Garamond" w:hAnsi="Garamond"/>
          <w:sz w:val="16"/>
          <w:szCs w:val="16"/>
        </w:rPr>
        <w:t xml:space="preserve"> </w:t>
      </w:r>
      <w:r w:rsidR="001E5E7E" w:rsidRPr="00D7648A">
        <w:rPr>
          <w:rFonts w:ascii="Garamond" w:hAnsi="Garamond"/>
          <w:sz w:val="16"/>
          <w:szCs w:val="16"/>
        </w:rPr>
        <w:t>317(24)</w:t>
      </w:r>
      <w:r w:rsidR="001E5E7E" w:rsidRPr="00D7648A">
        <w:rPr>
          <w:rFonts w:ascii="Garamond" w:hAnsi="Garamond" w:cs="AvenirNextLTPro-It"/>
          <w:i/>
          <w:iCs/>
          <w:sz w:val="16"/>
          <w:szCs w:val="16"/>
        </w:rPr>
        <w:t xml:space="preserve"> JAMA</w:t>
      </w:r>
      <w:r w:rsidR="009C4350" w:rsidRPr="00D7648A">
        <w:rPr>
          <w:rFonts w:ascii="Garamond" w:hAnsi="Garamond" w:cs="AvenirNextLTPro-It"/>
          <w:sz w:val="16"/>
          <w:szCs w:val="16"/>
        </w:rPr>
        <w:t xml:space="preserve"> 2491 </w:t>
      </w:r>
    </w:p>
  </w:footnote>
  <w:footnote w:id="24">
    <w:p w14:paraId="221F4B3E" w14:textId="2ABDEA61" w:rsidR="00983ABD" w:rsidRPr="00D7648A" w:rsidRDefault="00A92513">
      <w:pPr>
        <w:pStyle w:val="FootnoteText"/>
        <w:rPr>
          <w:rFonts w:ascii="Garamond" w:hAnsi="Garamond"/>
          <w:sz w:val="16"/>
          <w:szCs w:val="16"/>
        </w:rPr>
      </w:pPr>
      <w:r w:rsidRPr="00D7648A">
        <w:rPr>
          <w:rStyle w:val="FootnoteReference"/>
          <w:rFonts w:ascii="Garamond" w:hAnsi="Garamond"/>
          <w:sz w:val="16"/>
          <w:szCs w:val="16"/>
        </w:rPr>
        <w:footnoteRef/>
      </w:r>
      <w:r w:rsidR="12F20B55" w:rsidRPr="00D7648A">
        <w:rPr>
          <w:rFonts w:ascii="Garamond" w:hAnsi="Garamond"/>
          <w:sz w:val="16"/>
          <w:szCs w:val="16"/>
        </w:rPr>
        <w:t xml:space="preserve"> </w:t>
      </w:r>
      <w:proofErr w:type="spellStart"/>
      <w:r w:rsidR="00983ABD" w:rsidRPr="00D7648A">
        <w:rPr>
          <w:rFonts w:ascii="Garamond" w:hAnsi="Garamond"/>
          <w:sz w:val="16"/>
          <w:szCs w:val="16"/>
        </w:rPr>
        <w:t>Danchev</w:t>
      </w:r>
      <w:proofErr w:type="spellEnd"/>
      <w:r w:rsidR="00983ABD" w:rsidRPr="00D7648A">
        <w:rPr>
          <w:rFonts w:ascii="Garamond" w:hAnsi="Garamond"/>
          <w:sz w:val="16"/>
          <w:szCs w:val="16"/>
        </w:rPr>
        <w:t xml:space="preserve"> and others (n 16), </w:t>
      </w:r>
      <w:r w:rsidR="008C7833" w:rsidRPr="00D7648A">
        <w:rPr>
          <w:rFonts w:ascii="Garamond" w:hAnsi="Garamond"/>
          <w:sz w:val="16"/>
          <w:szCs w:val="16"/>
        </w:rPr>
        <w:t>7</w:t>
      </w:r>
    </w:p>
  </w:footnote>
  <w:footnote w:id="25">
    <w:p w14:paraId="7C32D346" w14:textId="5D90F916" w:rsidR="0028727A" w:rsidRPr="00D7648A" w:rsidRDefault="0028727A">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N</w:t>
      </w:r>
      <w:r w:rsidR="00767393" w:rsidRPr="00D7648A">
        <w:rPr>
          <w:rFonts w:ascii="Garamond" w:hAnsi="Garamond"/>
          <w:sz w:val="16"/>
          <w:szCs w:val="16"/>
        </w:rPr>
        <w:t>atasha</w:t>
      </w:r>
      <w:r w:rsidRPr="00D7648A">
        <w:rPr>
          <w:rFonts w:ascii="Garamond" w:hAnsi="Garamond"/>
          <w:sz w:val="16"/>
          <w:szCs w:val="16"/>
        </w:rPr>
        <w:t xml:space="preserve"> Hammond-Browning and N</w:t>
      </w:r>
      <w:r w:rsidR="00767393" w:rsidRPr="00D7648A">
        <w:rPr>
          <w:rFonts w:ascii="Garamond" w:hAnsi="Garamond"/>
          <w:sz w:val="16"/>
          <w:szCs w:val="16"/>
        </w:rPr>
        <w:t>icola</w:t>
      </w:r>
      <w:r w:rsidRPr="00D7648A">
        <w:rPr>
          <w:rFonts w:ascii="Garamond" w:hAnsi="Garamond"/>
          <w:sz w:val="16"/>
          <w:szCs w:val="16"/>
        </w:rPr>
        <w:t xml:space="preserve"> J</w:t>
      </w:r>
      <w:r w:rsidR="00767393" w:rsidRPr="00D7648A">
        <w:rPr>
          <w:rFonts w:ascii="Garamond" w:hAnsi="Garamond"/>
          <w:sz w:val="16"/>
          <w:szCs w:val="16"/>
        </w:rPr>
        <w:t>ane</w:t>
      </w:r>
      <w:r w:rsidRPr="00D7648A">
        <w:rPr>
          <w:rFonts w:ascii="Garamond" w:hAnsi="Garamond"/>
          <w:sz w:val="16"/>
          <w:szCs w:val="16"/>
        </w:rPr>
        <w:t xml:space="preserve"> Williams</w:t>
      </w:r>
      <w:r w:rsidR="000F4D81" w:rsidRPr="00D7648A">
        <w:rPr>
          <w:rFonts w:ascii="Garamond" w:hAnsi="Garamond"/>
          <w:sz w:val="16"/>
          <w:szCs w:val="16"/>
        </w:rPr>
        <w:t>, ‘Developing an International Registry for Uterus Transplantation (IRUTx): Promises and Challenges’</w:t>
      </w:r>
      <w:r w:rsidR="00F55AFF" w:rsidRPr="00D7648A">
        <w:rPr>
          <w:rFonts w:ascii="Garamond" w:hAnsi="Garamond"/>
          <w:sz w:val="16"/>
          <w:szCs w:val="16"/>
        </w:rPr>
        <w:t xml:space="preserve"> (2020) 35(12) </w:t>
      </w:r>
      <w:r w:rsidR="00F55AFF" w:rsidRPr="00D7648A">
        <w:rPr>
          <w:rFonts w:ascii="Garamond" w:hAnsi="Garamond"/>
          <w:i/>
          <w:iCs/>
          <w:sz w:val="16"/>
          <w:szCs w:val="16"/>
        </w:rPr>
        <w:t>Hum Rep</w:t>
      </w:r>
      <w:r w:rsidR="00F3786B" w:rsidRPr="00D7648A">
        <w:rPr>
          <w:rFonts w:ascii="Garamond" w:hAnsi="Garamond"/>
          <w:i/>
          <w:iCs/>
          <w:sz w:val="16"/>
          <w:szCs w:val="16"/>
        </w:rPr>
        <w:t>rod</w:t>
      </w:r>
      <w:r w:rsidR="00F55AFF" w:rsidRPr="00D7648A">
        <w:rPr>
          <w:rFonts w:ascii="Garamond" w:hAnsi="Garamond"/>
          <w:sz w:val="16"/>
          <w:szCs w:val="16"/>
        </w:rPr>
        <w:t xml:space="preserve"> 2643</w:t>
      </w:r>
      <w:r w:rsidR="00B32376" w:rsidRPr="00D7648A">
        <w:rPr>
          <w:rFonts w:ascii="Garamond" w:hAnsi="Garamond"/>
          <w:sz w:val="16"/>
          <w:szCs w:val="16"/>
        </w:rPr>
        <w:t xml:space="preserve">, </w:t>
      </w:r>
      <w:r w:rsidR="00A23F33" w:rsidRPr="00D7648A">
        <w:rPr>
          <w:rFonts w:ascii="Garamond" w:hAnsi="Garamond"/>
          <w:sz w:val="16"/>
          <w:szCs w:val="16"/>
        </w:rPr>
        <w:t>2646</w:t>
      </w:r>
    </w:p>
  </w:footnote>
  <w:footnote w:id="26">
    <w:p w14:paraId="7F0DD690" w14:textId="28708881" w:rsidR="007F26E8" w:rsidRPr="00D7648A" w:rsidRDefault="007F26E8">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General Data Protection </w:t>
      </w:r>
      <w:r w:rsidR="0016218B" w:rsidRPr="00D7648A">
        <w:rPr>
          <w:rFonts w:ascii="Garamond" w:hAnsi="Garamond"/>
          <w:sz w:val="16"/>
          <w:szCs w:val="16"/>
        </w:rPr>
        <w:t>Regulation</w:t>
      </w:r>
      <w:r w:rsidRPr="00D7648A">
        <w:rPr>
          <w:rFonts w:ascii="Garamond" w:hAnsi="Garamond"/>
          <w:sz w:val="16"/>
          <w:szCs w:val="16"/>
        </w:rPr>
        <w:t xml:space="preserve"> (GDPR)</w:t>
      </w:r>
      <w:r w:rsidR="0016218B" w:rsidRPr="00D7648A">
        <w:rPr>
          <w:rFonts w:ascii="Garamond" w:hAnsi="Garamond"/>
          <w:sz w:val="16"/>
          <w:szCs w:val="16"/>
        </w:rPr>
        <w:t xml:space="preserve"> </w:t>
      </w:r>
      <w:r w:rsidR="0079256F" w:rsidRPr="00D7648A">
        <w:rPr>
          <w:rFonts w:ascii="Garamond" w:hAnsi="Garamond"/>
          <w:sz w:val="16"/>
          <w:szCs w:val="16"/>
        </w:rPr>
        <w:t xml:space="preserve">(EU) </w:t>
      </w:r>
      <w:r w:rsidR="0016218B" w:rsidRPr="00D7648A">
        <w:rPr>
          <w:rFonts w:ascii="Garamond" w:hAnsi="Garamond"/>
          <w:sz w:val="16"/>
          <w:szCs w:val="16"/>
        </w:rPr>
        <w:t>No 2016/679</w:t>
      </w:r>
    </w:p>
  </w:footnote>
  <w:footnote w:id="27">
    <w:p w14:paraId="30DF8BD4" w14:textId="1DB0A327" w:rsidR="007B508C" w:rsidRPr="00D7648A" w:rsidRDefault="007B508C">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Hammond-Browning and Williams</w:t>
      </w:r>
      <w:r w:rsidR="00724DF2" w:rsidRPr="00D7648A">
        <w:rPr>
          <w:rFonts w:ascii="Garamond" w:hAnsi="Garamond"/>
          <w:sz w:val="16"/>
          <w:szCs w:val="16"/>
        </w:rPr>
        <w:t xml:space="preserve"> (n 24)</w:t>
      </w:r>
      <w:r w:rsidR="00383A57" w:rsidRPr="00D7648A">
        <w:rPr>
          <w:rFonts w:ascii="Garamond" w:hAnsi="Garamond"/>
          <w:sz w:val="16"/>
          <w:szCs w:val="16"/>
        </w:rPr>
        <w:t xml:space="preserve"> 2647</w:t>
      </w:r>
    </w:p>
  </w:footnote>
  <w:footnote w:id="28">
    <w:p w14:paraId="52ED12F7" w14:textId="1C6FC0B3" w:rsidR="005455D1" w:rsidRPr="00D7648A" w:rsidRDefault="005455D1">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0F06D1" w:rsidRPr="00D7648A">
        <w:rPr>
          <w:rFonts w:ascii="Garamond" w:hAnsi="Garamond"/>
          <w:sz w:val="16"/>
          <w:szCs w:val="16"/>
        </w:rPr>
        <w:t xml:space="preserve">James </w:t>
      </w:r>
      <w:proofErr w:type="spellStart"/>
      <w:r w:rsidR="000F06D1" w:rsidRPr="00D7648A">
        <w:rPr>
          <w:rFonts w:ascii="Garamond" w:hAnsi="Garamond"/>
          <w:sz w:val="16"/>
          <w:szCs w:val="16"/>
        </w:rPr>
        <w:t>Scheibner</w:t>
      </w:r>
      <w:proofErr w:type="spellEnd"/>
      <w:r w:rsidR="000F06D1" w:rsidRPr="00D7648A">
        <w:rPr>
          <w:rFonts w:ascii="Garamond" w:hAnsi="Garamond"/>
          <w:sz w:val="16"/>
          <w:szCs w:val="16"/>
        </w:rPr>
        <w:t xml:space="preserve"> and others</w:t>
      </w:r>
      <w:r w:rsidR="007B3D74" w:rsidRPr="00D7648A">
        <w:rPr>
          <w:rFonts w:ascii="Garamond" w:hAnsi="Garamond"/>
          <w:sz w:val="16"/>
          <w:szCs w:val="16"/>
        </w:rPr>
        <w:t>,</w:t>
      </w:r>
      <w:r w:rsidR="00996310" w:rsidRPr="00D7648A">
        <w:rPr>
          <w:rFonts w:ascii="Garamond" w:hAnsi="Garamond"/>
          <w:sz w:val="16"/>
          <w:szCs w:val="16"/>
          <w:shd w:val="clear" w:color="auto" w:fill="FFFFFF"/>
        </w:rPr>
        <w:t xml:space="preserve"> </w:t>
      </w:r>
      <w:r w:rsidR="00767393" w:rsidRPr="00D7648A">
        <w:rPr>
          <w:rFonts w:ascii="Garamond" w:hAnsi="Garamond"/>
          <w:sz w:val="16"/>
          <w:szCs w:val="16"/>
          <w:shd w:val="clear" w:color="auto" w:fill="FFFFFF"/>
        </w:rPr>
        <w:t>‘</w:t>
      </w:r>
      <w:r w:rsidR="00996310" w:rsidRPr="00D7648A">
        <w:rPr>
          <w:rFonts w:ascii="Garamond" w:hAnsi="Garamond"/>
          <w:sz w:val="16"/>
          <w:szCs w:val="16"/>
          <w:shd w:val="clear" w:color="auto" w:fill="FFFFFF"/>
        </w:rPr>
        <w:t>Revolutionizing Medical Data Sharing Using Advanced Privacy-Enhancing Technologies: Technical, Legal, and Ethical Synthesis</w:t>
      </w:r>
      <w:r w:rsidR="00767393" w:rsidRPr="00D7648A">
        <w:rPr>
          <w:rFonts w:ascii="Garamond" w:hAnsi="Garamond"/>
          <w:sz w:val="16"/>
          <w:szCs w:val="16"/>
          <w:shd w:val="clear" w:color="auto" w:fill="FFFFFF"/>
        </w:rPr>
        <w:t>’</w:t>
      </w:r>
      <w:r w:rsidR="007B3D74" w:rsidRPr="00D7648A">
        <w:rPr>
          <w:rFonts w:ascii="Garamond" w:hAnsi="Garamond"/>
          <w:sz w:val="16"/>
          <w:szCs w:val="16"/>
          <w:shd w:val="clear" w:color="auto" w:fill="FFFFFF"/>
        </w:rPr>
        <w:t xml:space="preserve"> </w:t>
      </w:r>
      <w:r w:rsidR="00A56EB1" w:rsidRPr="00D7648A">
        <w:rPr>
          <w:rFonts w:ascii="Garamond" w:hAnsi="Garamond"/>
          <w:sz w:val="16"/>
          <w:szCs w:val="16"/>
          <w:shd w:val="clear" w:color="auto" w:fill="FFFFFF"/>
        </w:rPr>
        <w:t>(</w:t>
      </w:r>
      <w:r w:rsidR="007B3D74" w:rsidRPr="00D7648A">
        <w:rPr>
          <w:rFonts w:ascii="Garamond" w:hAnsi="Garamond"/>
          <w:sz w:val="16"/>
          <w:szCs w:val="16"/>
          <w:shd w:val="clear" w:color="auto" w:fill="FFFFFF"/>
        </w:rPr>
        <w:t>2021</w:t>
      </w:r>
      <w:r w:rsidR="00A56EB1" w:rsidRPr="00D7648A">
        <w:rPr>
          <w:rFonts w:ascii="Garamond" w:hAnsi="Garamond"/>
          <w:sz w:val="16"/>
          <w:szCs w:val="16"/>
          <w:shd w:val="clear" w:color="auto" w:fill="FFFFFF"/>
        </w:rPr>
        <w:t>)</w:t>
      </w:r>
      <w:r w:rsidR="007B3D74" w:rsidRPr="00D7648A">
        <w:rPr>
          <w:rFonts w:ascii="Garamond" w:hAnsi="Garamond"/>
          <w:sz w:val="16"/>
          <w:szCs w:val="16"/>
          <w:shd w:val="clear" w:color="auto" w:fill="FFFFFF"/>
        </w:rPr>
        <w:t xml:space="preserve"> 23(2)</w:t>
      </w:r>
      <w:r w:rsidR="00996310" w:rsidRPr="00D7648A">
        <w:rPr>
          <w:rFonts w:ascii="Garamond" w:hAnsi="Garamond"/>
          <w:sz w:val="16"/>
          <w:szCs w:val="16"/>
          <w:shd w:val="clear" w:color="auto" w:fill="FFFFFF"/>
        </w:rPr>
        <w:t> </w:t>
      </w:r>
      <w:r w:rsidR="00996310" w:rsidRPr="00D7648A">
        <w:rPr>
          <w:rFonts w:ascii="Garamond" w:hAnsi="Garamond"/>
          <w:i/>
          <w:iCs/>
          <w:sz w:val="16"/>
          <w:szCs w:val="16"/>
          <w:shd w:val="clear" w:color="auto" w:fill="FFFFFF"/>
        </w:rPr>
        <w:t>J</w:t>
      </w:r>
      <w:r w:rsidR="008350E6" w:rsidRPr="00D7648A">
        <w:rPr>
          <w:rFonts w:ascii="Garamond" w:hAnsi="Garamond"/>
          <w:i/>
          <w:iCs/>
          <w:sz w:val="16"/>
          <w:szCs w:val="16"/>
          <w:shd w:val="clear" w:color="auto" w:fill="FFFFFF"/>
        </w:rPr>
        <w:t xml:space="preserve"> Med</w:t>
      </w:r>
      <w:r w:rsidR="00996310" w:rsidRPr="00D7648A">
        <w:rPr>
          <w:rFonts w:ascii="Garamond" w:hAnsi="Garamond"/>
          <w:i/>
          <w:iCs/>
          <w:sz w:val="16"/>
          <w:szCs w:val="16"/>
          <w:shd w:val="clear" w:color="auto" w:fill="FFFFFF"/>
        </w:rPr>
        <w:t xml:space="preserve"> Internet </w:t>
      </w:r>
      <w:r w:rsidR="008350E6" w:rsidRPr="00D7648A">
        <w:rPr>
          <w:rFonts w:ascii="Garamond" w:hAnsi="Garamond"/>
          <w:i/>
          <w:iCs/>
          <w:sz w:val="16"/>
          <w:szCs w:val="16"/>
          <w:shd w:val="clear" w:color="auto" w:fill="FFFFFF"/>
        </w:rPr>
        <w:t>R</w:t>
      </w:r>
      <w:r w:rsidR="00996310" w:rsidRPr="00D7648A">
        <w:rPr>
          <w:rFonts w:ascii="Garamond" w:hAnsi="Garamond"/>
          <w:i/>
          <w:iCs/>
          <w:sz w:val="16"/>
          <w:szCs w:val="16"/>
          <w:shd w:val="clear" w:color="auto" w:fill="FFFFFF"/>
        </w:rPr>
        <w:t>es</w:t>
      </w:r>
      <w:r w:rsidR="00996310" w:rsidRPr="00D7648A">
        <w:rPr>
          <w:rFonts w:ascii="Garamond" w:hAnsi="Garamond"/>
          <w:sz w:val="16"/>
          <w:szCs w:val="16"/>
          <w:shd w:val="clear" w:color="auto" w:fill="FFFFFF"/>
        </w:rPr>
        <w:t xml:space="preserve"> e25120</w:t>
      </w:r>
      <w:r w:rsidR="00ED070C" w:rsidRPr="00D7648A">
        <w:rPr>
          <w:rFonts w:ascii="Garamond" w:hAnsi="Garamond"/>
          <w:sz w:val="16"/>
          <w:szCs w:val="16"/>
          <w:shd w:val="clear" w:color="auto" w:fill="FFFFFF"/>
        </w:rPr>
        <w:t xml:space="preserve"> </w:t>
      </w:r>
      <w:r w:rsidR="004A7EA7" w:rsidRPr="00D7648A">
        <w:rPr>
          <w:rFonts w:ascii="Garamond" w:hAnsi="Garamond"/>
          <w:sz w:val="16"/>
          <w:szCs w:val="16"/>
          <w:shd w:val="clear" w:color="auto" w:fill="FFFFFF"/>
        </w:rPr>
        <w:t>&lt;</w:t>
      </w:r>
      <w:hyperlink r:id="rId10" w:history="1">
        <w:r w:rsidR="004A7EA7" w:rsidRPr="00D7648A">
          <w:rPr>
            <w:rStyle w:val="Hyperlink"/>
            <w:rFonts w:ascii="Garamond" w:hAnsi="Garamond"/>
            <w:color w:val="auto"/>
            <w:sz w:val="16"/>
            <w:szCs w:val="16"/>
            <w:shd w:val="clear" w:color="auto" w:fill="FFFFFF"/>
          </w:rPr>
          <w:t>https://www.jmir.org/2021/2/e25120/</w:t>
        </w:r>
      </w:hyperlink>
      <w:r w:rsidR="004A7EA7" w:rsidRPr="00D7648A">
        <w:rPr>
          <w:rFonts w:ascii="Garamond" w:hAnsi="Garamond"/>
          <w:sz w:val="16"/>
          <w:szCs w:val="16"/>
          <w:shd w:val="clear" w:color="auto" w:fill="FFFFFF"/>
        </w:rPr>
        <w:t>&gt; accessed 9 September 2022</w:t>
      </w:r>
      <w:r w:rsidR="00702019" w:rsidRPr="00D7648A">
        <w:rPr>
          <w:rFonts w:ascii="Garamond" w:hAnsi="Garamond"/>
          <w:sz w:val="16"/>
          <w:szCs w:val="16"/>
          <w:shd w:val="clear" w:color="auto" w:fill="FFFFFF"/>
        </w:rPr>
        <w:t xml:space="preserve">, </w:t>
      </w:r>
      <w:r w:rsidR="00C838C2" w:rsidRPr="00D7648A">
        <w:rPr>
          <w:rFonts w:ascii="Garamond" w:hAnsi="Garamond"/>
          <w:sz w:val="16"/>
          <w:szCs w:val="16"/>
          <w:shd w:val="clear" w:color="auto" w:fill="FFFFFF"/>
        </w:rPr>
        <w:t>1</w:t>
      </w:r>
    </w:p>
  </w:footnote>
  <w:footnote w:id="29">
    <w:p w14:paraId="379EA3C8" w14:textId="6B3C7044" w:rsidR="006370EA" w:rsidRPr="00D7648A" w:rsidRDefault="006370EA">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3B4B7A" w:rsidRPr="00D7648A">
        <w:rPr>
          <w:rFonts w:ascii="Garamond" w:hAnsi="Garamond"/>
          <w:sz w:val="16"/>
          <w:szCs w:val="16"/>
          <w:shd w:val="clear" w:color="auto" w:fill="FFFFFF"/>
        </w:rPr>
        <w:t>ibid, 2</w:t>
      </w:r>
    </w:p>
  </w:footnote>
  <w:footnote w:id="30">
    <w:p w14:paraId="341FCE86" w14:textId="3A0071C6" w:rsidR="009B1BD2" w:rsidRPr="00D7648A" w:rsidRDefault="009B1BD2" w:rsidP="00B3310D">
      <w:pPr>
        <w:jc w:val="both"/>
        <w:rPr>
          <w:rFonts w:ascii="Garamond" w:hAnsi="Garamond"/>
          <w:sz w:val="16"/>
          <w:szCs w:val="16"/>
        </w:rPr>
      </w:pPr>
      <w:r w:rsidRPr="00D7648A">
        <w:rPr>
          <w:rStyle w:val="FootnoteReference"/>
          <w:rFonts w:ascii="Garamond" w:hAnsi="Garamond"/>
          <w:sz w:val="16"/>
          <w:szCs w:val="16"/>
        </w:rPr>
        <w:footnoteRef/>
      </w:r>
      <w:r w:rsidR="12F20B55" w:rsidRPr="00D7648A">
        <w:rPr>
          <w:rFonts w:ascii="Garamond" w:hAnsi="Garamond"/>
          <w:sz w:val="16"/>
          <w:szCs w:val="16"/>
        </w:rPr>
        <w:t xml:space="preserve"> It is not only researchers who are likely to engage in data sharing activities with research participants and other interested parties potentially sharing data via both formal and informal means. Many of these methods may be hard to quantify and verify but examples can </w:t>
      </w:r>
      <w:r w:rsidR="12F20B55" w:rsidRPr="00D7648A">
        <w:rPr>
          <w:rStyle w:val="normaltextrun"/>
          <w:rFonts w:ascii="Garamond" w:hAnsi="Garamond" w:cs="Segoe UI"/>
          <w:sz w:val="16"/>
          <w:szCs w:val="16"/>
        </w:rPr>
        <w:t xml:space="preserve">be seen online in forum posts, dedicated public Facebook pages set up by UTx recipients, and broadcast and digital media interviews with donors and recipients. These contexts and the challenges with which they are associated are beyond the scope of this paper. See for example: </w:t>
      </w:r>
      <w:r w:rsidR="008E1427" w:rsidRPr="00D7648A">
        <w:rPr>
          <w:rStyle w:val="normaltextrun"/>
          <w:rFonts w:ascii="Garamond" w:hAnsi="Garamond" w:cs="Segoe UI"/>
          <w:sz w:val="16"/>
          <w:szCs w:val="16"/>
        </w:rPr>
        <w:t xml:space="preserve">Elizabeth Goldman. </w:t>
      </w:r>
      <w:r w:rsidR="004F1B41" w:rsidRPr="00D7648A">
        <w:rPr>
          <w:rStyle w:val="normaltextrun"/>
          <w:rFonts w:ascii="Garamond" w:hAnsi="Garamond" w:cs="Segoe UI"/>
          <w:sz w:val="16"/>
          <w:szCs w:val="16"/>
        </w:rPr>
        <w:t>‘Goldman</w:t>
      </w:r>
      <w:r w:rsidR="00262C2F" w:rsidRPr="00D7648A">
        <w:rPr>
          <w:rStyle w:val="normaltextrun"/>
          <w:rFonts w:ascii="Garamond" w:hAnsi="Garamond" w:cs="Segoe UI"/>
          <w:sz w:val="16"/>
          <w:szCs w:val="16"/>
        </w:rPr>
        <w:t xml:space="preserve"> Baby Adventures: Elizabeth’s Uterus Transplant and IVF Journey’ (</w:t>
      </w:r>
      <w:r w:rsidR="00A645A3" w:rsidRPr="00D7648A">
        <w:rPr>
          <w:rStyle w:val="normaltextrun"/>
          <w:rFonts w:ascii="Garamond" w:hAnsi="Garamond" w:cs="Segoe UI"/>
          <w:sz w:val="16"/>
          <w:szCs w:val="16"/>
        </w:rPr>
        <w:t xml:space="preserve">Facebook Public Group, </w:t>
      </w:r>
      <w:r w:rsidR="000F5066" w:rsidRPr="00D7648A">
        <w:rPr>
          <w:rStyle w:val="normaltextrun"/>
          <w:rFonts w:ascii="Garamond" w:hAnsi="Garamond" w:cs="Segoe UI"/>
          <w:sz w:val="16"/>
          <w:szCs w:val="16"/>
        </w:rPr>
        <w:t>2021</w:t>
      </w:r>
      <w:r w:rsidR="0032481E" w:rsidRPr="00D7648A">
        <w:rPr>
          <w:rStyle w:val="normaltextrun"/>
          <w:rFonts w:ascii="Garamond" w:hAnsi="Garamond" w:cs="Segoe UI"/>
          <w:sz w:val="16"/>
          <w:szCs w:val="16"/>
        </w:rPr>
        <w:t>)</w:t>
      </w:r>
      <w:r w:rsidR="009622C5">
        <w:rPr>
          <w:rStyle w:val="normaltextrun"/>
          <w:rFonts w:ascii="Garamond" w:hAnsi="Garamond" w:cs="Segoe UI"/>
          <w:sz w:val="16"/>
          <w:szCs w:val="16"/>
        </w:rPr>
        <w:t xml:space="preserve"> </w:t>
      </w:r>
      <w:r w:rsidR="0032481E" w:rsidRPr="00D7648A">
        <w:rPr>
          <w:rStyle w:val="normaltextrun"/>
          <w:rFonts w:ascii="Garamond" w:hAnsi="Garamond" w:cs="Segoe UI"/>
          <w:sz w:val="16"/>
          <w:szCs w:val="16"/>
        </w:rPr>
        <w:t>&lt;</w:t>
      </w:r>
      <w:r w:rsidR="0032481E" w:rsidRPr="00D7648A">
        <w:t xml:space="preserve"> </w:t>
      </w:r>
      <w:hyperlink r:id="rId11" w:history="1">
        <w:r w:rsidR="0032481E" w:rsidRPr="00D7648A">
          <w:rPr>
            <w:rStyle w:val="Hyperlink"/>
            <w:rFonts w:ascii="Garamond" w:hAnsi="Garamond" w:cs="Segoe UI"/>
            <w:color w:val="auto"/>
            <w:sz w:val="16"/>
            <w:szCs w:val="16"/>
          </w:rPr>
          <w:t>https://www.facebook.com/groups/236405918240655</w:t>
        </w:r>
      </w:hyperlink>
      <w:r w:rsidR="0032481E" w:rsidRPr="00D7648A">
        <w:rPr>
          <w:rStyle w:val="normaltextrun"/>
          <w:rFonts w:ascii="Garamond" w:hAnsi="Garamond" w:cs="Segoe UI"/>
          <w:sz w:val="16"/>
          <w:szCs w:val="16"/>
        </w:rPr>
        <w:t xml:space="preserve">&gt; </w:t>
      </w:r>
      <w:r w:rsidR="000B00BE" w:rsidRPr="00D7648A">
        <w:rPr>
          <w:rStyle w:val="normaltextrun"/>
          <w:rFonts w:ascii="Garamond" w:hAnsi="Garamond" w:cs="Segoe UI"/>
          <w:sz w:val="16"/>
          <w:szCs w:val="16"/>
        </w:rPr>
        <w:t xml:space="preserve">accessed 9 September 2022; </w:t>
      </w:r>
      <w:r w:rsidR="0003711D" w:rsidRPr="00D7648A">
        <w:rPr>
          <w:rStyle w:val="normaltextrun"/>
          <w:rFonts w:ascii="Garamond" w:hAnsi="Garamond" w:cs="Segoe UI"/>
          <w:sz w:val="16"/>
          <w:szCs w:val="16"/>
        </w:rPr>
        <w:t xml:space="preserve">Michelle Matthews, </w:t>
      </w:r>
      <w:r w:rsidR="00D01DE3" w:rsidRPr="00D7648A">
        <w:rPr>
          <w:rStyle w:val="normaltextrun"/>
          <w:rFonts w:ascii="Garamond" w:hAnsi="Garamond" w:cs="Segoe UI"/>
          <w:sz w:val="16"/>
          <w:szCs w:val="16"/>
        </w:rPr>
        <w:t>‘She Wants a Baby. But First, She Needs a Uterus’</w:t>
      </w:r>
      <w:r w:rsidR="00FA085A" w:rsidRPr="00D7648A">
        <w:rPr>
          <w:rStyle w:val="normaltextrun"/>
          <w:rFonts w:ascii="Garamond" w:hAnsi="Garamond" w:cs="Segoe UI"/>
          <w:sz w:val="16"/>
          <w:szCs w:val="16"/>
        </w:rPr>
        <w:t xml:space="preserve"> </w:t>
      </w:r>
      <w:r w:rsidR="00C11B86" w:rsidRPr="00D7648A">
        <w:rPr>
          <w:rStyle w:val="normaltextrun"/>
          <w:rFonts w:ascii="Garamond" w:hAnsi="Garamond" w:cs="Segoe UI"/>
          <w:sz w:val="16"/>
          <w:szCs w:val="16"/>
        </w:rPr>
        <w:t>(</w:t>
      </w:r>
      <w:r w:rsidR="00FA085A" w:rsidRPr="00D7648A">
        <w:rPr>
          <w:rStyle w:val="normaltextrun"/>
          <w:rFonts w:ascii="Garamond" w:hAnsi="Garamond" w:cs="Segoe UI"/>
          <w:i/>
          <w:iCs/>
          <w:sz w:val="16"/>
          <w:szCs w:val="16"/>
        </w:rPr>
        <w:t>US News and World Report</w:t>
      </w:r>
      <w:r w:rsidR="00FA085A" w:rsidRPr="00D7648A">
        <w:rPr>
          <w:rStyle w:val="normaltextrun"/>
          <w:rFonts w:ascii="Garamond" w:hAnsi="Garamond" w:cs="Segoe UI"/>
          <w:sz w:val="16"/>
          <w:szCs w:val="16"/>
        </w:rPr>
        <w:t xml:space="preserve">, </w:t>
      </w:r>
      <w:r w:rsidR="00C11B86" w:rsidRPr="00D7648A">
        <w:rPr>
          <w:rStyle w:val="normaltextrun"/>
          <w:rFonts w:ascii="Garamond" w:hAnsi="Garamond" w:cs="Segoe UI"/>
          <w:sz w:val="16"/>
          <w:szCs w:val="16"/>
        </w:rPr>
        <w:t>18 July 2021) &lt;</w:t>
      </w:r>
      <w:hyperlink r:id="rId12" w:history="1">
        <w:r w:rsidR="00C11B86" w:rsidRPr="00D7648A">
          <w:rPr>
            <w:rStyle w:val="Hyperlink"/>
            <w:rFonts w:ascii="Garamond" w:hAnsi="Garamond"/>
            <w:color w:val="auto"/>
            <w:sz w:val="16"/>
            <w:szCs w:val="16"/>
          </w:rPr>
          <w:t>https://www.usnews.com/news/best-states/pennsylvania/articles/2021-07-18/she-wants-a-baby-but-first-she-needs-a-uterus</w:t>
        </w:r>
      </w:hyperlink>
      <w:r w:rsidR="00C11B86" w:rsidRPr="00D7648A">
        <w:rPr>
          <w:rFonts w:ascii="Garamond" w:hAnsi="Garamond"/>
          <w:sz w:val="16"/>
          <w:szCs w:val="16"/>
        </w:rPr>
        <w:t xml:space="preserve">&gt; accessed </w:t>
      </w:r>
      <w:r w:rsidR="00FC2050" w:rsidRPr="00D7648A">
        <w:rPr>
          <w:rFonts w:ascii="Garamond" w:hAnsi="Garamond"/>
          <w:sz w:val="16"/>
          <w:szCs w:val="16"/>
        </w:rPr>
        <w:t>9 September 2022</w:t>
      </w:r>
      <w:r w:rsidR="12F20B55" w:rsidRPr="00D7648A">
        <w:rPr>
          <w:rFonts w:ascii="Garamond" w:hAnsi="Garamond"/>
          <w:sz w:val="16"/>
          <w:szCs w:val="16"/>
        </w:rPr>
        <w:t>;</w:t>
      </w:r>
      <w:r w:rsidR="00697BF0" w:rsidRPr="00D7648A">
        <w:rPr>
          <w:rFonts w:ascii="Garamond" w:hAnsi="Garamond"/>
          <w:sz w:val="16"/>
          <w:szCs w:val="16"/>
        </w:rPr>
        <w:t xml:space="preserve"> </w:t>
      </w:r>
      <w:proofErr w:type="spellStart"/>
      <w:r w:rsidR="00697BF0" w:rsidRPr="00D7648A">
        <w:rPr>
          <w:rFonts w:ascii="Garamond" w:hAnsi="Garamond"/>
          <w:sz w:val="16"/>
          <w:szCs w:val="16"/>
        </w:rPr>
        <w:t>Niklas</w:t>
      </w:r>
      <w:proofErr w:type="spellEnd"/>
      <w:r w:rsidR="00697BF0" w:rsidRPr="00D7648A">
        <w:rPr>
          <w:rFonts w:ascii="Garamond" w:hAnsi="Garamond"/>
          <w:sz w:val="16"/>
          <w:szCs w:val="16"/>
        </w:rPr>
        <w:t xml:space="preserve"> Larsson</w:t>
      </w:r>
      <w:r w:rsidR="00B3310D" w:rsidRPr="00D7648A">
        <w:rPr>
          <w:rFonts w:ascii="Garamond" w:hAnsi="Garamond"/>
          <w:sz w:val="16"/>
          <w:szCs w:val="16"/>
        </w:rPr>
        <w:t>, ‘Woman's Womb Does Double Duty, First For Daughter, Then Grandson’ (</w:t>
      </w:r>
      <w:r w:rsidR="00FB6313" w:rsidRPr="00D7648A">
        <w:rPr>
          <w:rFonts w:ascii="Garamond" w:hAnsi="Garamond"/>
          <w:i/>
          <w:iCs/>
          <w:sz w:val="16"/>
          <w:szCs w:val="16"/>
        </w:rPr>
        <w:t>NBC News</w:t>
      </w:r>
      <w:r w:rsidR="00FB6313" w:rsidRPr="00D7648A">
        <w:rPr>
          <w:rFonts w:ascii="Garamond" w:hAnsi="Garamond"/>
          <w:sz w:val="16"/>
          <w:szCs w:val="16"/>
        </w:rPr>
        <w:t>, 7 October 2016) &lt;</w:t>
      </w:r>
      <w:hyperlink r:id="rId13" w:history="1">
        <w:r w:rsidR="00EE1AD2" w:rsidRPr="00D7648A">
          <w:rPr>
            <w:rStyle w:val="Hyperlink"/>
            <w:rFonts w:ascii="Garamond" w:hAnsi="Garamond"/>
            <w:color w:val="auto"/>
            <w:sz w:val="16"/>
            <w:szCs w:val="16"/>
          </w:rPr>
          <w:t>https://www.nbcnews.com/health/health-news/woman-s-womb-does-double-duty-first-daughter-then-grandson-n661746</w:t>
        </w:r>
      </w:hyperlink>
      <w:r w:rsidR="00EE1AD2" w:rsidRPr="00D7648A">
        <w:rPr>
          <w:rFonts w:ascii="Garamond" w:hAnsi="Garamond"/>
          <w:sz w:val="16"/>
          <w:szCs w:val="16"/>
        </w:rPr>
        <w:t>&gt; accessed 9 September 2022</w:t>
      </w:r>
    </w:p>
  </w:footnote>
  <w:footnote w:id="31">
    <w:p w14:paraId="570179D4" w14:textId="6D2FF272" w:rsidR="0067754B" w:rsidRPr="00D7648A" w:rsidRDefault="0067754B" w:rsidP="0067754B">
      <w:pPr>
        <w:pStyle w:val="FootnoteText"/>
        <w:rPr>
          <w:rFonts w:ascii="Garamond" w:hAnsi="Garamond"/>
          <w:sz w:val="16"/>
          <w:szCs w:val="16"/>
        </w:rPr>
      </w:pPr>
      <w:r w:rsidRPr="00D7648A">
        <w:rPr>
          <w:rStyle w:val="FootnoteReference"/>
          <w:rFonts w:ascii="Garamond" w:hAnsi="Garamond"/>
          <w:sz w:val="16"/>
          <w:szCs w:val="16"/>
        </w:rPr>
        <w:footnoteRef/>
      </w:r>
      <w:r w:rsidR="12F20B55" w:rsidRPr="00D7648A">
        <w:rPr>
          <w:rFonts w:ascii="Garamond" w:hAnsi="Garamond"/>
          <w:sz w:val="16"/>
          <w:szCs w:val="16"/>
        </w:rPr>
        <w:t xml:space="preserve"> The Transplantation Society</w:t>
      </w:r>
      <w:r w:rsidR="00192462" w:rsidRPr="00D7648A">
        <w:rPr>
          <w:rFonts w:ascii="Garamond" w:hAnsi="Garamond"/>
          <w:sz w:val="16"/>
          <w:szCs w:val="16"/>
        </w:rPr>
        <w:t xml:space="preserve">. ‘Welcome To </w:t>
      </w:r>
      <w:r w:rsidR="12F20B55" w:rsidRPr="00D7648A">
        <w:rPr>
          <w:rFonts w:ascii="Garamond" w:hAnsi="Garamond"/>
          <w:sz w:val="16"/>
          <w:szCs w:val="16"/>
        </w:rPr>
        <w:t>ISUTx</w:t>
      </w:r>
      <w:r w:rsidR="00192462" w:rsidRPr="00D7648A">
        <w:rPr>
          <w:rFonts w:ascii="Garamond" w:hAnsi="Garamond"/>
          <w:sz w:val="16"/>
          <w:szCs w:val="16"/>
        </w:rPr>
        <w:t xml:space="preserve">’ </w:t>
      </w:r>
      <w:r w:rsidR="00A55EB7" w:rsidRPr="00D7648A">
        <w:rPr>
          <w:rFonts w:ascii="Garamond" w:hAnsi="Garamond"/>
          <w:sz w:val="16"/>
          <w:szCs w:val="16"/>
        </w:rPr>
        <w:t>(</w:t>
      </w:r>
      <w:r w:rsidR="0027259F" w:rsidRPr="00D7648A">
        <w:rPr>
          <w:rFonts w:ascii="Garamond" w:hAnsi="Garamond"/>
          <w:sz w:val="16"/>
          <w:szCs w:val="16"/>
        </w:rPr>
        <w:t>The Transplantation Society, 2021)</w:t>
      </w:r>
      <w:r w:rsidR="009622C5">
        <w:rPr>
          <w:rFonts w:ascii="Garamond" w:hAnsi="Garamond"/>
          <w:sz w:val="16"/>
          <w:szCs w:val="16"/>
        </w:rPr>
        <w:t xml:space="preserve"> </w:t>
      </w:r>
      <w:r w:rsidR="0027259F" w:rsidRPr="00D7648A">
        <w:rPr>
          <w:rFonts w:ascii="Garamond" w:hAnsi="Garamond"/>
          <w:sz w:val="16"/>
          <w:szCs w:val="16"/>
        </w:rPr>
        <w:t>&lt;</w:t>
      </w:r>
      <w:hyperlink r:id="rId14" w:history="1">
        <w:r w:rsidR="0027259F" w:rsidRPr="00D7648A">
          <w:rPr>
            <w:rStyle w:val="Hyperlink"/>
            <w:rFonts w:ascii="Garamond" w:hAnsi="Garamond"/>
            <w:color w:val="auto"/>
            <w:sz w:val="16"/>
            <w:szCs w:val="16"/>
          </w:rPr>
          <w:t>https://tts.org/isutx-home</w:t>
        </w:r>
      </w:hyperlink>
      <w:r w:rsidR="0027259F" w:rsidRPr="00D7648A">
        <w:rPr>
          <w:rFonts w:ascii="Garamond" w:hAnsi="Garamond"/>
          <w:sz w:val="16"/>
          <w:szCs w:val="16"/>
        </w:rPr>
        <w:t xml:space="preserve">&gt; </w:t>
      </w:r>
      <w:r w:rsidR="12F20B55" w:rsidRPr="00D7648A">
        <w:rPr>
          <w:rFonts w:ascii="Garamond" w:hAnsi="Garamond"/>
          <w:sz w:val="16"/>
          <w:szCs w:val="16"/>
        </w:rPr>
        <w:t>accessed 1</w:t>
      </w:r>
      <w:r w:rsidR="0027259F" w:rsidRPr="00D7648A">
        <w:rPr>
          <w:rFonts w:ascii="Garamond" w:hAnsi="Garamond"/>
          <w:sz w:val="16"/>
          <w:szCs w:val="16"/>
        </w:rPr>
        <w:t xml:space="preserve"> September </w:t>
      </w:r>
      <w:r w:rsidR="12F20B55" w:rsidRPr="00D7648A">
        <w:rPr>
          <w:rFonts w:ascii="Garamond" w:hAnsi="Garamond"/>
          <w:sz w:val="16"/>
          <w:szCs w:val="16"/>
        </w:rPr>
        <w:t>2022</w:t>
      </w:r>
    </w:p>
  </w:footnote>
  <w:footnote w:id="32">
    <w:p w14:paraId="6EABAB88" w14:textId="741538C6" w:rsidR="0067754B" w:rsidRPr="00D7648A" w:rsidRDefault="0067754B" w:rsidP="0067754B">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D7648A" w:rsidRPr="00D7648A">
        <w:rPr>
          <w:rFonts w:ascii="Garamond" w:hAnsi="Garamond"/>
          <w:sz w:val="16"/>
          <w:szCs w:val="16"/>
        </w:rPr>
        <w:t>ISUTx newsletter, ISUTx, electronic</w:t>
      </w:r>
      <w:r w:rsidRPr="00D7648A">
        <w:rPr>
          <w:rFonts w:ascii="Garamond" w:hAnsi="Garamond"/>
          <w:sz w:val="16"/>
          <w:szCs w:val="16"/>
        </w:rPr>
        <w:t xml:space="preserve"> communication</w:t>
      </w:r>
    </w:p>
  </w:footnote>
  <w:footnote w:id="33">
    <w:p w14:paraId="4AE0615D" w14:textId="0876AD6E" w:rsidR="0067754B" w:rsidRPr="00D7648A" w:rsidRDefault="0067754B" w:rsidP="0067754B">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F61145">
        <w:rPr>
          <w:rFonts w:ascii="Garamond" w:hAnsi="Garamond"/>
          <w:sz w:val="16"/>
          <w:szCs w:val="16"/>
        </w:rPr>
        <w:t>Greta Jochen</w:t>
      </w:r>
      <w:r w:rsidR="003A10C0">
        <w:rPr>
          <w:rFonts w:ascii="Garamond" w:hAnsi="Garamond"/>
          <w:sz w:val="16"/>
          <w:szCs w:val="16"/>
        </w:rPr>
        <w:t>, ‘First Baby Born to U.S. Uterus Transplant Patient Raises Ethics Questions’</w:t>
      </w:r>
      <w:r w:rsidR="00CE1485">
        <w:rPr>
          <w:rFonts w:ascii="Garamond" w:hAnsi="Garamond"/>
          <w:sz w:val="16"/>
          <w:szCs w:val="16"/>
        </w:rPr>
        <w:t xml:space="preserve"> 5</w:t>
      </w:r>
      <w:r w:rsidR="00CE1485" w:rsidRPr="00CE1485">
        <w:rPr>
          <w:rFonts w:ascii="Garamond" w:hAnsi="Garamond"/>
          <w:sz w:val="16"/>
          <w:szCs w:val="16"/>
          <w:vertAlign w:val="superscript"/>
        </w:rPr>
        <w:t>th</w:t>
      </w:r>
      <w:r w:rsidR="00CE1485">
        <w:rPr>
          <w:rFonts w:ascii="Garamond" w:hAnsi="Garamond"/>
          <w:sz w:val="16"/>
          <w:szCs w:val="16"/>
        </w:rPr>
        <w:t xml:space="preserve"> December 2017, </w:t>
      </w:r>
      <w:hyperlink r:id="rId15" w:history="1">
        <w:r w:rsidR="00CE1485" w:rsidRPr="00A56B82">
          <w:rPr>
            <w:rStyle w:val="Hyperlink"/>
            <w:rFonts w:ascii="Garamond" w:hAnsi="Garamond"/>
            <w:sz w:val="16"/>
            <w:szCs w:val="16"/>
          </w:rPr>
          <w:t>https://www.npr.org/sections/health-shots/2017/12/05/568453168/first-baby-born-to-u-s-uterus-transplant-patient-raises-ethics-questions?t=1657879666299</w:t>
        </w:r>
      </w:hyperlink>
      <w:r w:rsidRPr="00A56B82">
        <w:rPr>
          <w:rFonts w:ascii="Garamond" w:hAnsi="Garamond"/>
          <w:sz w:val="16"/>
          <w:szCs w:val="16"/>
        </w:rPr>
        <w:t xml:space="preserve"> </w:t>
      </w:r>
      <w:r w:rsidR="00CE1485" w:rsidRPr="00A56B82">
        <w:rPr>
          <w:rFonts w:ascii="Garamond" w:hAnsi="Garamond"/>
          <w:sz w:val="16"/>
          <w:szCs w:val="16"/>
        </w:rPr>
        <w:t xml:space="preserve"> accessed 9 September 2022</w:t>
      </w:r>
    </w:p>
  </w:footnote>
  <w:footnote w:id="34">
    <w:p w14:paraId="1D04086D" w14:textId="60E11947" w:rsidR="0067754B" w:rsidRPr="00D7648A" w:rsidRDefault="0067754B" w:rsidP="0067754B">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9F3D2B">
        <w:rPr>
          <w:rFonts w:ascii="Garamond" w:hAnsi="Garamond"/>
          <w:sz w:val="16"/>
          <w:szCs w:val="16"/>
        </w:rPr>
        <w:t>Karen Weintraub,</w:t>
      </w:r>
      <w:r w:rsidR="008559F0">
        <w:rPr>
          <w:rFonts w:ascii="Garamond" w:hAnsi="Garamond"/>
          <w:sz w:val="16"/>
          <w:szCs w:val="16"/>
        </w:rPr>
        <w:t xml:space="preserve"> ‘First Successful Uterus Transplant from Deceased Donor Leads to Healthy Baby’ </w:t>
      </w:r>
      <w:r w:rsidR="006876D6">
        <w:rPr>
          <w:rFonts w:ascii="Garamond" w:hAnsi="Garamond"/>
          <w:sz w:val="16"/>
          <w:szCs w:val="16"/>
        </w:rPr>
        <w:t>5</w:t>
      </w:r>
      <w:r w:rsidR="006876D6" w:rsidRPr="006876D6">
        <w:rPr>
          <w:rFonts w:ascii="Garamond" w:hAnsi="Garamond"/>
          <w:sz w:val="16"/>
          <w:szCs w:val="16"/>
          <w:vertAlign w:val="superscript"/>
        </w:rPr>
        <w:t>th</w:t>
      </w:r>
      <w:r w:rsidR="006876D6">
        <w:rPr>
          <w:rFonts w:ascii="Garamond" w:hAnsi="Garamond"/>
          <w:sz w:val="16"/>
          <w:szCs w:val="16"/>
        </w:rPr>
        <w:t xml:space="preserve"> December 2018, </w:t>
      </w:r>
      <w:hyperlink r:id="rId16" w:history="1">
        <w:r w:rsidR="006876D6" w:rsidRPr="009550D0">
          <w:rPr>
            <w:rStyle w:val="Hyperlink"/>
            <w:rFonts w:ascii="Garamond" w:hAnsi="Garamond"/>
            <w:sz w:val="16"/>
            <w:szCs w:val="16"/>
          </w:rPr>
          <w:t>https://www.scientificamerican.com/article/first-successful-uterus-transplant-from-deceased-donor-leads-to-healthy-baby/</w:t>
        </w:r>
      </w:hyperlink>
      <w:r w:rsidRPr="00D7648A">
        <w:rPr>
          <w:rFonts w:ascii="Garamond" w:hAnsi="Garamond"/>
          <w:sz w:val="16"/>
          <w:szCs w:val="16"/>
        </w:rPr>
        <w:t xml:space="preserve"> </w:t>
      </w:r>
      <w:r w:rsidR="006876D6">
        <w:rPr>
          <w:rFonts w:ascii="Garamond" w:hAnsi="Garamond"/>
          <w:sz w:val="16"/>
          <w:szCs w:val="16"/>
        </w:rPr>
        <w:t>accessed 9 September 2022</w:t>
      </w:r>
    </w:p>
  </w:footnote>
  <w:footnote w:id="35">
    <w:p w14:paraId="57F90DD6" w14:textId="002E2020" w:rsidR="0040678F" w:rsidRPr="00D7648A" w:rsidRDefault="0040678F">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E751E3" w:rsidRPr="00D7648A">
        <w:rPr>
          <w:rFonts w:ascii="Garamond" w:hAnsi="Garamond"/>
          <w:sz w:val="16"/>
          <w:szCs w:val="16"/>
        </w:rPr>
        <w:t xml:space="preserve">Hammond-Browning and Williams (n 24) </w:t>
      </w:r>
      <w:r w:rsidR="0006631B" w:rsidRPr="00D7648A">
        <w:rPr>
          <w:rFonts w:ascii="Garamond" w:hAnsi="Garamond"/>
          <w:sz w:val="16"/>
          <w:szCs w:val="16"/>
        </w:rPr>
        <w:t>2646-2647</w:t>
      </w:r>
    </w:p>
  </w:footnote>
  <w:footnote w:id="36">
    <w:p w14:paraId="10BADA70" w14:textId="6824D061" w:rsidR="00F50D3E" w:rsidRPr="00D7648A" w:rsidRDefault="00F50D3E" w:rsidP="00F50D3E">
      <w:pPr>
        <w:pStyle w:val="FootnoteText"/>
        <w:rPr>
          <w:rFonts w:ascii="Garamond" w:hAnsi="Garamond"/>
          <w:sz w:val="16"/>
          <w:szCs w:val="16"/>
        </w:rPr>
      </w:pPr>
      <w:r w:rsidRPr="00D7648A">
        <w:rPr>
          <w:rStyle w:val="FootnoteReference"/>
          <w:rFonts w:ascii="Garamond" w:hAnsi="Garamond"/>
          <w:sz w:val="16"/>
          <w:szCs w:val="16"/>
        </w:rPr>
        <w:footnoteRef/>
      </w:r>
      <w:r w:rsidR="3EA05ED7" w:rsidRPr="00D7648A">
        <w:rPr>
          <w:rFonts w:ascii="Garamond" w:hAnsi="Garamond"/>
          <w:sz w:val="16"/>
          <w:szCs w:val="16"/>
        </w:rPr>
        <w:t xml:space="preserve"> Clinical Trials.gov</w:t>
      </w:r>
      <w:r w:rsidR="3EA05ED7" w:rsidRPr="3EA05ED7">
        <w:rPr>
          <w:rFonts w:ascii="Garamond" w:hAnsi="Garamond"/>
          <w:sz w:val="16"/>
          <w:szCs w:val="16"/>
        </w:rPr>
        <w:t xml:space="preserve"> </w:t>
      </w:r>
      <w:hyperlink r:id="rId17" w:history="1">
        <w:r w:rsidR="3EA05ED7" w:rsidRPr="3EA05ED7">
          <w:rPr>
            <w:rStyle w:val="Hyperlink"/>
            <w:rFonts w:ascii="Garamond" w:hAnsi="Garamond"/>
            <w:sz w:val="16"/>
            <w:szCs w:val="16"/>
          </w:rPr>
          <w:t>https://clinicaltrials.gov/search?term=uterus%20transplant</w:t>
        </w:r>
      </w:hyperlink>
      <w:r w:rsidR="3EA05ED7" w:rsidRPr="3EA05ED7">
        <w:rPr>
          <w:rFonts w:ascii="Garamond" w:hAnsi="Garamond"/>
          <w:sz w:val="16"/>
          <w:szCs w:val="16"/>
        </w:rPr>
        <w:t xml:space="preserve"> </w:t>
      </w:r>
      <w:r w:rsidR="3EA05ED7" w:rsidRPr="00D7648A">
        <w:rPr>
          <w:rFonts w:ascii="Garamond" w:hAnsi="Garamond"/>
          <w:sz w:val="16"/>
          <w:szCs w:val="16"/>
        </w:rPr>
        <w:t>[accessed 2/10/2023]</w:t>
      </w:r>
    </w:p>
  </w:footnote>
  <w:footnote w:id="37">
    <w:p w14:paraId="621B686C" w14:textId="04931451" w:rsidR="00FC2F3E" w:rsidRPr="00D7648A" w:rsidRDefault="00FC2F3E" w:rsidP="00FD6C10">
      <w:pPr>
        <w:rPr>
          <w:rFonts w:ascii="Garamond" w:eastAsia="Times New Roman" w:hAnsi="Garamond" w:cs="Times New Roman"/>
          <w:sz w:val="16"/>
          <w:szCs w:val="16"/>
          <w:lang w:eastAsia="en-GB"/>
        </w:rPr>
      </w:pPr>
      <w:r w:rsidRPr="00D7648A">
        <w:rPr>
          <w:rStyle w:val="FootnoteReference"/>
          <w:rFonts w:ascii="Garamond" w:hAnsi="Garamond"/>
          <w:sz w:val="16"/>
          <w:szCs w:val="16"/>
        </w:rPr>
        <w:footnoteRef/>
      </w:r>
      <w:r w:rsidR="12F20B55" w:rsidRPr="00D7648A">
        <w:rPr>
          <w:rFonts w:ascii="Garamond" w:hAnsi="Garamond"/>
          <w:sz w:val="16"/>
          <w:szCs w:val="16"/>
        </w:rPr>
        <w:t xml:space="preserve"> Mats </w:t>
      </w:r>
      <w:r w:rsidR="12F20B55" w:rsidRPr="00D7648A">
        <w:rPr>
          <w:rFonts w:ascii="Garamond" w:eastAsia="Times New Roman" w:hAnsi="Garamond" w:cs="Times New Roman"/>
          <w:sz w:val="16"/>
          <w:szCs w:val="16"/>
          <w:shd w:val="clear" w:color="auto" w:fill="FFFFFF"/>
          <w:lang w:eastAsia="en-GB"/>
        </w:rPr>
        <w:t>Brännström</w:t>
      </w:r>
      <w:r w:rsidR="008447D7" w:rsidRPr="00D7648A">
        <w:rPr>
          <w:rFonts w:ascii="Garamond" w:eastAsia="Times New Roman" w:hAnsi="Garamond" w:cs="Times New Roman"/>
          <w:sz w:val="16"/>
          <w:szCs w:val="16"/>
          <w:shd w:val="clear" w:color="auto" w:fill="FFFFFF"/>
          <w:lang w:eastAsia="en-GB"/>
        </w:rPr>
        <w:t xml:space="preserve"> and others, </w:t>
      </w:r>
      <w:r w:rsidR="12F20B55" w:rsidRPr="00D7648A">
        <w:rPr>
          <w:rFonts w:ascii="Garamond" w:eastAsia="Times New Roman" w:hAnsi="Garamond" w:cs="Times New Roman"/>
          <w:sz w:val="16"/>
          <w:szCs w:val="16"/>
          <w:shd w:val="clear" w:color="auto" w:fill="FFFFFF"/>
          <w:lang w:eastAsia="en-GB"/>
        </w:rPr>
        <w:t>‘</w:t>
      </w:r>
      <w:r w:rsidR="12F20B55" w:rsidRPr="00D7648A">
        <w:rPr>
          <w:rFonts w:ascii="Garamond" w:eastAsia="Times New Roman" w:hAnsi="Garamond" w:cs="Times New Roman"/>
          <w:kern w:val="36"/>
          <w:sz w:val="16"/>
          <w:szCs w:val="16"/>
          <w:lang w:eastAsia="en-GB"/>
        </w:rPr>
        <w:t xml:space="preserve">Registry of the International Society of Uterus Transplantation: First Report’ (2022) </w:t>
      </w:r>
      <w:r w:rsidR="00E41F8F" w:rsidRPr="00D7648A">
        <w:rPr>
          <w:rFonts w:ascii="Garamond" w:eastAsia="Times New Roman" w:hAnsi="Garamond" w:cs="Times New Roman"/>
          <w:kern w:val="36"/>
          <w:sz w:val="16"/>
          <w:szCs w:val="16"/>
          <w:lang w:eastAsia="en-GB"/>
        </w:rPr>
        <w:t>online ahead of print</w:t>
      </w:r>
      <w:r w:rsidR="12F20B55" w:rsidRPr="00D7648A">
        <w:rPr>
          <w:rFonts w:ascii="Garamond" w:eastAsia="Times New Roman" w:hAnsi="Garamond" w:cs="Times New Roman"/>
          <w:kern w:val="36"/>
          <w:sz w:val="16"/>
          <w:szCs w:val="16"/>
          <w:lang w:eastAsia="en-GB"/>
        </w:rPr>
        <w:t xml:space="preserve"> </w:t>
      </w:r>
      <w:r w:rsidR="12F20B55" w:rsidRPr="00D7648A">
        <w:rPr>
          <w:rFonts w:ascii="Garamond" w:eastAsia="Times New Roman" w:hAnsi="Garamond" w:cs="Times New Roman"/>
          <w:i/>
          <w:iCs/>
          <w:kern w:val="36"/>
          <w:sz w:val="16"/>
          <w:szCs w:val="16"/>
          <w:lang w:eastAsia="en-GB"/>
        </w:rPr>
        <w:t>Transplantation.</w:t>
      </w:r>
      <w:r w:rsidR="000A24F0" w:rsidRPr="00D7648A">
        <w:rPr>
          <w:rFonts w:ascii="Garamond" w:eastAsia="Times New Roman" w:hAnsi="Garamond" w:cs="Times New Roman"/>
          <w:kern w:val="36"/>
          <w:sz w:val="16"/>
          <w:szCs w:val="16"/>
          <w:lang w:eastAsia="en-GB"/>
        </w:rPr>
        <w:t>&lt;</w:t>
      </w:r>
      <w:hyperlink r:id="rId18" w:history="1">
        <w:r w:rsidR="000A24F0" w:rsidRPr="00D7648A">
          <w:rPr>
            <w:rStyle w:val="Hyperlink"/>
            <w:rFonts w:ascii="Garamond" w:eastAsia="Times New Roman" w:hAnsi="Garamond" w:cs="Times New Roman"/>
            <w:color w:val="auto"/>
            <w:kern w:val="36"/>
            <w:sz w:val="16"/>
            <w:szCs w:val="16"/>
            <w:lang w:eastAsia="en-GB"/>
          </w:rPr>
          <w:t>https://journals.lww.com/transplantjournal/Fulltext/9900/Registry_of_the_International_Society_of_Uterus.136.aspx</w:t>
        </w:r>
      </w:hyperlink>
      <w:r w:rsidR="000A24F0" w:rsidRPr="00D7648A">
        <w:rPr>
          <w:rFonts w:ascii="Garamond" w:eastAsia="Times New Roman" w:hAnsi="Garamond" w:cs="Times New Roman"/>
          <w:kern w:val="36"/>
          <w:sz w:val="16"/>
          <w:szCs w:val="16"/>
          <w:lang w:eastAsia="en-GB"/>
        </w:rPr>
        <w:t xml:space="preserve">&gt; accessed 9 September 2022, </w:t>
      </w:r>
      <w:r w:rsidR="00AC5B7E" w:rsidRPr="00D7648A">
        <w:rPr>
          <w:rFonts w:ascii="Garamond" w:eastAsia="Times New Roman" w:hAnsi="Garamond" w:cs="Times New Roman"/>
          <w:kern w:val="36"/>
          <w:sz w:val="16"/>
          <w:szCs w:val="16"/>
          <w:lang w:eastAsia="en-GB"/>
        </w:rPr>
        <w:t>2</w:t>
      </w:r>
    </w:p>
  </w:footnote>
  <w:footnote w:id="38">
    <w:p w14:paraId="74BEAD06" w14:textId="53DD0CFD" w:rsidR="00FC2F3E" w:rsidRPr="00D7648A" w:rsidRDefault="00FC2F3E" w:rsidP="00FC2F3E">
      <w:pPr>
        <w:pStyle w:val="FootnoteText"/>
        <w:rPr>
          <w:rFonts w:ascii="Garamond" w:hAnsi="Garamond"/>
          <w:sz w:val="16"/>
          <w:szCs w:val="16"/>
        </w:rPr>
      </w:pPr>
      <w:r w:rsidRPr="00D7648A">
        <w:rPr>
          <w:rStyle w:val="FootnoteReference"/>
          <w:rFonts w:ascii="Garamond" w:hAnsi="Garamond"/>
          <w:sz w:val="16"/>
          <w:szCs w:val="16"/>
        </w:rPr>
        <w:footnoteRef/>
      </w:r>
      <w:r w:rsidR="12F20B55" w:rsidRPr="00D7648A">
        <w:rPr>
          <w:rFonts w:ascii="Garamond" w:hAnsi="Garamond"/>
          <w:sz w:val="16"/>
          <w:szCs w:val="16"/>
        </w:rPr>
        <w:t xml:space="preserve"> Mats Brännström</w:t>
      </w:r>
      <w:r w:rsidR="00014951" w:rsidRPr="00D7648A">
        <w:rPr>
          <w:rFonts w:ascii="Garamond" w:hAnsi="Garamond"/>
          <w:sz w:val="16"/>
          <w:szCs w:val="16"/>
        </w:rPr>
        <w:t xml:space="preserve"> and others, </w:t>
      </w:r>
      <w:r w:rsidR="12F20B55" w:rsidRPr="00D7648A">
        <w:rPr>
          <w:rFonts w:ascii="Garamond" w:hAnsi="Garamond"/>
          <w:sz w:val="16"/>
          <w:szCs w:val="16"/>
        </w:rPr>
        <w:t>‘Global results of human uterus transplantation and strategies for pre-transplantation screening of donors’</w:t>
      </w:r>
      <w:r w:rsidR="00014951" w:rsidRPr="00D7648A">
        <w:rPr>
          <w:rFonts w:ascii="Garamond" w:hAnsi="Garamond"/>
          <w:sz w:val="16"/>
          <w:szCs w:val="16"/>
        </w:rPr>
        <w:t xml:space="preserve"> </w:t>
      </w:r>
      <w:r w:rsidR="12F20B55" w:rsidRPr="00D7648A">
        <w:rPr>
          <w:rFonts w:ascii="Garamond" w:hAnsi="Garamond"/>
          <w:sz w:val="16"/>
          <w:szCs w:val="16"/>
        </w:rPr>
        <w:t xml:space="preserve">(2019) 112(1) </w:t>
      </w:r>
      <w:r w:rsidR="12F20B55" w:rsidRPr="00D7648A">
        <w:rPr>
          <w:rFonts w:ascii="Garamond" w:hAnsi="Garamond"/>
          <w:i/>
          <w:iCs/>
          <w:sz w:val="16"/>
          <w:szCs w:val="16"/>
        </w:rPr>
        <w:t xml:space="preserve">Fertil. Steril </w:t>
      </w:r>
      <w:r w:rsidR="12F20B55" w:rsidRPr="00D7648A">
        <w:rPr>
          <w:rFonts w:ascii="Garamond" w:hAnsi="Garamond"/>
          <w:sz w:val="16"/>
          <w:szCs w:val="16"/>
        </w:rPr>
        <w:t>3</w:t>
      </w:r>
      <w:r w:rsidR="00014951" w:rsidRPr="00D7648A">
        <w:rPr>
          <w:rFonts w:ascii="Garamond" w:hAnsi="Garamond"/>
          <w:sz w:val="16"/>
          <w:szCs w:val="16"/>
        </w:rPr>
        <w:t>,</w:t>
      </w:r>
      <w:r w:rsidR="00A50758" w:rsidRPr="00D7648A">
        <w:rPr>
          <w:rFonts w:ascii="Garamond" w:hAnsi="Garamond"/>
          <w:sz w:val="16"/>
          <w:szCs w:val="16"/>
        </w:rPr>
        <w:t xml:space="preserve"> </w:t>
      </w:r>
      <w:r w:rsidR="00BA00A4" w:rsidRPr="00D7648A">
        <w:rPr>
          <w:rFonts w:ascii="Garamond" w:hAnsi="Garamond"/>
          <w:sz w:val="16"/>
          <w:szCs w:val="16"/>
        </w:rPr>
        <w:t>9</w:t>
      </w:r>
    </w:p>
  </w:footnote>
  <w:footnote w:id="39">
    <w:p w14:paraId="44ED5F8C" w14:textId="624816C2" w:rsidR="009D42BF" w:rsidRPr="00D7648A" w:rsidRDefault="009D42BF">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764489" w:rsidRPr="00D7648A">
        <w:rPr>
          <w:rFonts w:ascii="Garamond" w:hAnsi="Garamond"/>
          <w:sz w:val="16"/>
          <w:szCs w:val="16"/>
        </w:rPr>
        <w:t>Hammond-Browning and Williams (n 24)</w:t>
      </w:r>
      <w:r w:rsidR="002043FF" w:rsidRPr="00D7648A">
        <w:rPr>
          <w:rFonts w:ascii="Garamond" w:hAnsi="Garamond"/>
          <w:sz w:val="16"/>
          <w:szCs w:val="16"/>
        </w:rPr>
        <w:t xml:space="preserve"> 2648</w:t>
      </w:r>
    </w:p>
  </w:footnote>
  <w:footnote w:id="40">
    <w:p w14:paraId="010E2B6A" w14:textId="7F2497BE" w:rsidR="001223E0" w:rsidRPr="00D7648A" w:rsidRDefault="001223E0">
      <w:pPr>
        <w:pStyle w:val="FootnoteText"/>
        <w:rPr>
          <w:rFonts w:ascii="Garamond" w:hAnsi="Garamond"/>
          <w:sz w:val="16"/>
          <w:szCs w:val="16"/>
        </w:rPr>
      </w:pPr>
      <w:r w:rsidRPr="00D7648A">
        <w:rPr>
          <w:rStyle w:val="FootnoteReference"/>
          <w:rFonts w:ascii="Garamond" w:hAnsi="Garamond"/>
          <w:sz w:val="16"/>
          <w:szCs w:val="16"/>
        </w:rPr>
        <w:footnoteRef/>
      </w:r>
      <w:r w:rsidR="12F20B55" w:rsidRPr="00D7648A">
        <w:rPr>
          <w:rFonts w:ascii="Garamond" w:hAnsi="Garamond"/>
          <w:sz w:val="16"/>
          <w:szCs w:val="16"/>
        </w:rPr>
        <w:t xml:space="preserve"> </w:t>
      </w:r>
      <w:r w:rsidR="00F23671" w:rsidRPr="00D7648A">
        <w:rPr>
          <w:rFonts w:ascii="Garamond" w:eastAsia="Times New Roman" w:hAnsi="Garamond" w:cs="Times New Roman"/>
          <w:sz w:val="16"/>
          <w:szCs w:val="16"/>
          <w:shd w:val="clear" w:color="auto" w:fill="FFFFFF"/>
          <w:lang w:eastAsia="en-GB"/>
        </w:rPr>
        <w:t xml:space="preserve">Brännström and others (n </w:t>
      </w:r>
      <w:r w:rsidR="00C75025" w:rsidRPr="00D7648A">
        <w:rPr>
          <w:rFonts w:ascii="Garamond" w:eastAsia="Times New Roman" w:hAnsi="Garamond" w:cs="Times New Roman"/>
          <w:sz w:val="16"/>
          <w:szCs w:val="16"/>
          <w:shd w:val="clear" w:color="auto" w:fill="FFFFFF"/>
          <w:lang w:eastAsia="en-GB"/>
        </w:rPr>
        <w:t xml:space="preserve">36), </w:t>
      </w:r>
      <w:r w:rsidR="005E3E3B" w:rsidRPr="00D7648A">
        <w:rPr>
          <w:rFonts w:ascii="Garamond" w:eastAsia="Times New Roman" w:hAnsi="Garamond" w:cs="Times New Roman"/>
          <w:sz w:val="16"/>
          <w:szCs w:val="16"/>
          <w:shd w:val="clear" w:color="auto" w:fill="FFFFFF"/>
          <w:lang w:eastAsia="en-GB"/>
        </w:rPr>
        <w:t>6</w:t>
      </w:r>
    </w:p>
  </w:footnote>
  <w:footnote w:id="41">
    <w:p w14:paraId="5C02E33F" w14:textId="39DE4205" w:rsidR="712C3CAC" w:rsidRDefault="712C3CAC" w:rsidP="712C3CAC">
      <w:pPr>
        <w:pStyle w:val="FootnoteText"/>
        <w:rPr>
          <w:rFonts w:ascii="Garamond" w:eastAsia="Garamond" w:hAnsi="Garamond" w:cs="Garamond"/>
          <w:sz w:val="16"/>
          <w:szCs w:val="16"/>
        </w:rPr>
      </w:pPr>
      <w:r w:rsidRPr="712C3CAC">
        <w:rPr>
          <w:rStyle w:val="FootnoteReference"/>
          <w:rFonts w:ascii="Garamond" w:eastAsia="Garamond" w:hAnsi="Garamond" w:cs="Garamond"/>
          <w:sz w:val="16"/>
          <w:szCs w:val="16"/>
        </w:rPr>
        <w:footnoteRef/>
      </w:r>
      <w:r w:rsidRPr="712C3CAC">
        <w:rPr>
          <w:rFonts w:ascii="Garamond" w:eastAsia="Garamond" w:hAnsi="Garamond" w:cs="Garamond"/>
          <w:sz w:val="16"/>
          <w:szCs w:val="16"/>
        </w:rPr>
        <w:t xml:space="preserve"> </w:t>
      </w:r>
      <w:r w:rsidRPr="712C3CAC">
        <w:rPr>
          <w:rFonts w:ascii="Garamond" w:eastAsia="Garamond" w:hAnsi="Garamond" w:cs="Garamond"/>
          <w:color w:val="333333"/>
          <w:sz w:val="16"/>
          <w:szCs w:val="16"/>
        </w:rPr>
        <w:t xml:space="preserve">P. </w:t>
      </w:r>
      <w:proofErr w:type="spellStart"/>
      <w:r w:rsidRPr="712C3CAC">
        <w:rPr>
          <w:rFonts w:ascii="Garamond" w:eastAsia="Garamond" w:hAnsi="Garamond" w:cs="Garamond"/>
          <w:color w:val="333333"/>
          <w:sz w:val="16"/>
          <w:szCs w:val="16"/>
        </w:rPr>
        <w:t>Petruzzo</w:t>
      </w:r>
      <w:proofErr w:type="spellEnd"/>
      <w:r w:rsidRPr="712C3CAC">
        <w:rPr>
          <w:rFonts w:ascii="Garamond" w:eastAsia="Garamond" w:hAnsi="Garamond" w:cs="Garamond"/>
          <w:color w:val="333333"/>
          <w:sz w:val="16"/>
          <w:szCs w:val="16"/>
        </w:rPr>
        <w:t xml:space="preserve">, C. </w:t>
      </w:r>
      <w:proofErr w:type="spellStart"/>
      <w:r w:rsidRPr="712C3CAC">
        <w:rPr>
          <w:rFonts w:ascii="Garamond" w:eastAsia="Garamond" w:hAnsi="Garamond" w:cs="Garamond"/>
          <w:color w:val="333333"/>
          <w:sz w:val="16"/>
          <w:szCs w:val="16"/>
        </w:rPr>
        <w:t>Sardu</w:t>
      </w:r>
      <w:proofErr w:type="spellEnd"/>
      <w:r w:rsidRPr="712C3CAC">
        <w:rPr>
          <w:rFonts w:ascii="Garamond" w:eastAsia="Garamond" w:hAnsi="Garamond" w:cs="Garamond"/>
          <w:color w:val="333333"/>
          <w:sz w:val="16"/>
          <w:szCs w:val="16"/>
        </w:rPr>
        <w:t xml:space="preserve">, M. </w:t>
      </w:r>
      <w:proofErr w:type="spellStart"/>
      <w:r w:rsidRPr="712C3CAC">
        <w:rPr>
          <w:rFonts w:ascii="Garamond" w:eastAsia="Garamond" w:hAnsi="Garamond" w:cs="Garamond"/>
          <w:color w:val="333333"/>
          <w:sz w:val="16"/>
          <w:szCs w:val="16"/>
        </w:rPr>
        <w:t>Lanzetta</w:t>
      </w:r>
      <w:proofErr w:type="spellEnd"/>
      <w:r w:rsidRPr="712C3CAC">
        <w:rPr>
          <w:rFonts w:ascii="Garamond" w:eastAsia="Garamond" w:hAnsi="Garamond" w:cs="Garamond"/>
          <w:color w:val="333333"/>
          <w:sz w:val="16"/>
          <w:szCs w:val="16"/>
        </w:rPr>
        <w:t xml:space="preserve">, ’Report (2017) of the International Registry on Hand and Composite Tissue Allotransplantation (IRHCTT)’ (2017) 4 </w:t>
      </w:r>
      <w:proofErr w:type="spellStart"/>
      <w:r w:rsidRPr="712C3CAC">
        <w:rPr>
          <w:rFonts w:ascii="Garamond" w:eastAsia="Garamond" w:hAnsi="Garamond" w:cs="Garamond"/>
          <w:i/>
          <w:iCs/>
          <w:color w:val="333333"/>
          <w:sz w:val="16"/>
          <w:szCs w:val="16"/>
        </w:rPr>
        <w:t>Curr</w:t>
      </w:r>
      <w:proofErr w:type="spellEnd"/>
      <w:r w:rsidRPr="712C3CAC">
        <w:rPr>
          <w:rFonts w:ascii="Garamond" w:eastAsia="Garamond" w:hAnsi="Garamond" w:cs="Garamond"/>
          <w:i/>
          <w:iCs/>
          <w:color w:val="333333"/>
          <w:sz w:val="16"/>
          <w:szCs w:val="16"/>
        </w:rPr>
        <w:t xml:space="preserve"> </w:t>
      </w:r>
      <w:proofErr w:type="spellStart"/>
      <w:r w:rsidRPr="712C3CAC">
        <w:rPr>
          <w:rFonts w:ascii="Garamond" w:eastAsia="Garamond" w:hAnsi="Garamond" w:cs="Garamond"/>
          <w:i/>
          <w:iCs/>
          <w:color w:val="333333"/>
          <w:sz w:val="16"/>
          <w:szCs w:val="16"/>
        </w:rPr>
        <w:t>Transpl</w:t>
      </w:r>
      <w:proofErr w:type="spellEnd"/>
      <w:r w:rsidRPr="712C3CAC">
        <w:rPr>
          <w:rFonts w:ascii="Garamond" w:eastAsia="Garamond" w:hAnsi="Garamond" w:cs="Garamond"/>
          <w:i/>
          <w:iCs/>
          <w:color w:val="333333"/>
          <w:sz w:val="16"/>
          <w:szCs w:val="16"/>
        </w:rPr>
        <w:t xml:space="preserve"> Rep</w:t>
      </w:r>
      <w:r w:rsidRPr="712C3CAC">
        <w:rPr>
          <w:rFonts w:ascii="Garamond" w:eastAsia="Garamond" w:hAnsi="Garamond" w:cs="Garamond"/>
          <w:color w:val="333333"/>
          <w:sz w:val="16"/>
          <w:szCs w:val="16"/>
        </w:rPr>
        <w:t xml:space="preserve"> 294, 302</w:t>
      </w:r>
    </w:p>
  </w:footnote>
  <w:footnote w:id="42">
    <w:p w14:paraId="61DE09C1" w14:textId="1E979D40" w:rsidR="005653C8" w:rsidRPr="00D7648A" w:rsidRDefault="005653C8">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2043FF" w:rsidRPr="00D7648A">
        <w:rPr>
          <w:rFonts w:ascii="Garamond" w:hAnsi="Garamond"/>
          <w:sz w:val="16"/>
          <w:szCs w:val="16"/>
        </w:rPr>
        <w:t>Hammond-Browning and Williams (n 24)</w:t>
      </w:r>
      <w:r w:rsidR="003E6E4F" w:rsidRPr="00D7648A">
        <w:rPr>
          <w:rFonts w:ascii="Garamond" w:hAnsi="Garamond"/>
          <w:sz w:val="16"/>
          <w:szCs w:val="16"/>
        </w:rPr>
        <w:t xml:space="preserve"> 2644-2645</w:t>
      </w:r>
    </w:p>
  </w:footnote>
  <w:footnote w:id="43">
    <w:p w14:paraId="262C3514" w14:textId="586775C9" w:rsidR="00557776" w:rsidRPr="00D7648A" w:rsidRDefault="00557776" w:rsidP="00557776">
      <w:pPr>
        <w:pStyle w:val="FootnoteText"/>
        <w:rPr>
          <w:rFonts w:ascii="Garamond" w:hAnsi="Garamond"/>
          <w:sz w:val="16"/>
          <w:szCs w:val="16"/>
        </w:rPr>
      </w:pPr>
      <w:r w:rsidRPr="00D7648A">
        <w:rPr>
          <w:rStyle w:val="FootnoteReference"/>
          <w:rFonts w:ascii="Garamond" w:hAnsi="Garamond"/>
          <w:sz w:val="16"/>
          <w:szCs w:val="16"/>
        </w:rPr>
        <w:footnoteRef/>
      </w:r>
      <w:r w:rsidR="12F20B55" w:rsidRPr="00D7648A">
        <w:rPr>
          <w:rFonts w:ascii="Garamond" w:hAnsi="Garamond"/>
          <w:sz w:val="16"/>
          <w:szCs w:val="16"/>
        </w:rPr>
        <w:t xml:space="preserve"> </w:t>
      </w:r>
      <w:r w:rsidR="005E3E3B" w:rsidRPr="00D7648A">
        <w:rPr>
          <w:rFonts w:ascii="Garamond" w:eastAsia="Times New Roman" w:hAnsi="Garamond" w:cs="Times New Roman"/>
          <w:sz w:val="16"/>
          <w:szCs w:val="16"/>
          <w:shd w:val="clear" w:color="auto" w:fill="FFFFFF"/>
          <w:lang w:eastAsia="en-GB"/>
        </w:rPr>
        <w:t xml:space="preserve">Brännström and others (n 36), </w:t>
      </w:r>
      <w:r w:rsidR="12F20B55" w:rsidRPr="00D7648A">
        <w:rPr>
          <w:rFonts w:ascii="Garamond" w:eastAsia="Times New Roman" w:hAnsi="Garamond" w:cs="Times New Roman"/>
          <w:sz w:val="16"/>
          <w:szCs w:val="16"/>
          <w:shd w:val="clear" w:color="auto" w:fill="FFFFFF"/>
          <w:lang w:eastAsia="en-GB"/>
        </w:rPr>
        <w:t>Supplementary Digital Content</w:t>
      </w:r>
      <w:r w:rsidR="00F161C5" w:rsidRPr="00D7648A">
        <w:rPr>
          <w:rFonts w:ascii="Garamond" w:eastAsia="Times New Roman" w:hAnsi="Garamond" w:cs="Times New Roman"/>
          <w:sz w:val="16"/>
          <w:szCs w:val="16"/>
          <w:shd w:val="clear" w:color="auto" w:fill="FFFFFF"/>
          <w:lang w:eastAsia="en-GB"/>
        </w:rPr>
        <w:t xml:space="preserve">, </w:t>
      </w:r>
      <w:r w:rsidR="12F20B55" w:rsidRPr="00D7648A">
        <w:rPr>
          <w:rFonts w:ascii="Garamond" w:eastAsia="Times New Roman" w:hAnsi="Garamond" w:cs="Times New Roman"/>
          <w:sz w:val="16"/>
          <w:szCs w:val="16"/>
          <w:shd w:val="clear" w:color="auto" w:fill="FFFFFF"/>
          <w:lang w:eastAsia="en-GB"/>
        </w:rPr>
        <w:t>14</w:t>
      </w:r>
    </w:p>
  </w:footnote>
  <w:footnote w:id="44">
    <w:p w14:paraId="1B58F8AF" w14:textId="141E77D7" w:rsidR="6A11A7DE" w:rsidRPr="00D7648A" w:rsidRDefault="6A11A7DE" w:rsidP="6A11A7DE">
      <w:pPr>
        <w:pStyle w:val="FootnoteText"/>
        <w:rPr>
          <w:rFonts w:ascii="Garamond" w:hAnsi="Garamond" w:cs="AvenirNextLTPro-It"/>
        </w:rPr>
      </w:pPr>
      <w:r w:rsidRPr="008C5A8D">
        <w:rPr>
          <w:rStyle w:val="FootnoteReference"/>
          <w:rFonts w:ascii="Garamond" w:hAnsi="Garamond"/>
          <w:sz w:val="16"/>
          <w:szCs w:val="16"/>
        </w:rPr>
        <w:footnoteRef/>
      </w:r>
      <w:r w:rsidRPr="008C5A8D">
        <w:rPr>
          <w:rFonts w:ascii="Garamond" w:hAnsi="Garamond"/>
          <w:sz w:val="16"/>
          <w:szCs w:val="16"/>
        </w:rPr>
        <w:t xml:space="preserve"> </w:t>
      </w:r>
      <w:proofErr w:type="spellStart"/>
      <w:r w:rsidRPr="00D7648A">
        <w:rPr>
          <w:rFonts w:ascii="Garamond" w:hAnsi="Garamond"/>
          <w:sz w:val="16"/>
          <w:szCs w:val="16"/>
        </w:rPr>
        <w:t>Taichman</w:t>
      </w:r>
      <w:proofErr w:type="spellEnd"/>
      <w:r w:rsidRPr="00D7648A">
        <w:rPr>
          <w:rFonts w:ascii="Garamond" w:hAnsi="Garamond"/>
          <w:sz w:val="16"/>
          <w:szCs w:val="16"/>
        </w:rPr>
        <w:t xml:space="preserve"> and others (n 22), 2278</w:t>
      </w:r>
    </w:p>
  </w:footnote>
  <w:footnote w:id="45">
    <w:p w14:paraId="5A05B974" w14:textId="6FE82215" w:rsidR="00A04184" w:rsidRPr="00D7648A" w:rsidRDefault="00A04184" w:rsidP="00A04184">
      <w:pPr>
        <w:pStyle w:val="FootnoteText"/>
        <w:rPr>
          <w:rFonts w:ascii="Garamond" w:hAnsi="Garamond"/>
          <w:sz w:val="16"/>
          <w:szCs w:val="16"/>
        </w:rPr>
      </w:pPr>
      <w:r w:rsidRPr="00D7648A">
        <w:rPr>
          <w:rStyle w:val="FootnoteReference"/>
          <w:rFonts w:ascii="Garamond" w:hAnsi="Garamond"/>
          <w:sz w:val="16"/>
          <w:szCs w:val="16"/>
        </w:rPr>
        <w:footnoteRef/>
      </w:r>
      <w:r w:rsidR="12F20B55" w:rsidRPr="00D7648A">
        <w:rPr>
          <w:rFonts w:ascii="Garamond" w:hAnsi="Garamond"/>
          <w:sz w:val="16"/>
          <w:szCs w:val="16"/>
        </w:rPr>
        <w:t xml:space="preserve"> </w:t>
      </w:r>
      <w:proofErr w:type="spellStart"/>
      <w:r w:rsidR="00CE2062" w:rsidRPr="00D7648A">
        <w:rPr>
          <w:rFonts w:ascii="Garamond" w:hAnsi="Garamond"/>
          <w:sz w:val="16"/>
          <w:szCs w:val="16"/>
        </w:rPr>
        <w:t>Danchev</w:t>
      </w:r>
      <w:proofErr w:type="spellEnd"/>
      <w:r w:rsidR="00CE2062" w:rsidRPr="00D7648A">
        <w:rPr>
          <w:rFonts w:ascii="Garamond" w:hAnsi="Garamond"/>
          <w:sz w:val="16"/>
          <w:szCs w:val="16"/>
        </w:rPr>
        <w:t xml:space="preserve"> and others (n 16), </w:t>
      </w:r>
      <w:r w:rsidR="00DD61DE" w:rsidRPr="00D7648A">
        <w:rPr>
          <w:rFonts w:ascii="Garamond" w:hAnsi="Garamond"/>
          <w:sz w:val="16"/>
          <w:szCs w:val="16"/>
        </w:rPr>
        <w:t>6</w:t>
      </w:r>
    </w:p>
  </w:footnote>
  <w:footnote w:id="46">
    <w:p w14:paraId="57D945FC" w14:textId="37707B90" w:rsidR="6E17E365" w:rsidRPr="00D7648A" w:rsidRDefault="6E17E365" w:rsidP="6E17E365">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Hammond-Browning and Williams (n 24)</w:t>
      </w:r>
    </w:p>
  </w:footnote>
  <w:footnote w:id="47">
    <w:p w14:paraId="51A49750" w14:textId="71410792" w:rsidR="6E17E365" w:rsidRPr="008C5A8D" w:rsidRDefault="6E17E365" w:rsidP="6E17E365">
      <w:pPr>
        <w:pStyle w:val="FootnoteText"/>
        <w:rPr>
          <w:rFonts w:ascii="Garamond" w:hAnsi="Garamond"/>
          <w:sz w:val="16"/>
          <w:szCs w:val="16"/>
        </w:rPr>
      </w:pPr>
      <w:r w:rsidRPr="008C5A8D">
        <w:rPr>
          <w:rStyle w:val="FootnoteReference"/>
          <w:rFonts w:ascii="Garamond" w:hAnsi="Garamond"/>
          <w:sz w:val="16"/>
          <w:szCs w:val="16"/>
        </w:rPr>
        <w:footnoteRef/>
      </w:r>
      <w:r w:rsidRPr="008C5A8D">
        <w:rPr>
          <w:rFonts w:ascii="Garamond" w:hAnsi="Garamond"/>
          <w:sz w:val="16"/>
          <w:szCs w:val="16"/>
        </w:rPr>
        <w:t xml:space="preserve"> Hammond-Browning and Williams (n 24)</w:t>
      </w:r>
    </w:p>
  </w:footnote>
  <w:footnote w:id="48">
    <w:p w14:paraId="54DD480F" w14:textId="66CC5815" w:rsidR="712C3CAC" w:rsidRDefault="712C3CAC" w:rsidP="712C3CAC">
      <w:pPr>
        <w:pStyle w:val="FootnoteText"/>
        <w:rPr>
          <w:rFonts w:ascii="Garamond" w:hAnsi="Garamond"/>
          <w:sz w:val="16"/>
          <w:szCs w:val="16"/>
        </w:rPr>
      </w:pPr>
      <w:r w:rsidRPr="008C5A8D">
        <w:rPr>
          <w:rStyle w:val="FootnoteReference"/>
          <w:rFonts w:ascii="Garamond" w:hAnsi="Garamond"/>
          <w:sz w:val="16"/>
          <w:szCs w:val="16"/>
        </w:rPr>
        <w:footnoteRef/>
      </w:r>
      <w:r w:rsidRPr="008C5A8D">
        <w:rPr>
          <w:sz w:val="16"/>
          <w:szCs w:val="16"/>
        </w:rPr>
        <w:t xml:space="preserve"> </w:t>
      </w:r>
      <w:r w:rsidRPr="712C3CAC">
        <w:rPr>
          <w:rFonts w:ascii="Garamond" w:hAnsi="Garamond"/>
          <w:sz w:val="16"/>
          <w:szCs w:val="16"/>
        </w:rPr>
        <w:t>Hammond-Browning and Williams (n 24)</w:t>
      </w:r>
    </w:p>
  </w:footnote>
  <w:footnote w:id="49">
    <w:p w14:paraId="035C9341" w14:textId="485C1B22" w:rsidR="000D2D86" w:rsidRPr="00901127" w:rsidRDefault="000D2D86">
      <w:pPr>
        <w:pStyle w:val="FootnoteText"/>
        <w:rPr>
          <w:rFonts w:ascii="Garamond" w:hAnsi="Garamond"/>
          <w:sz w:val="16"/>
          <w:szCs w:val="16"/>
        </w:rPr>
      </w:pPr>
      <w:r w:rsidRPr="00D7648A">
        <w:rPr>
          <w:rStyle w:val="FootnoteReference"/>
          <w:rFonts w:ascii="Garamond" w:hAnsi="Garamond"/>
          <w:sz w:val="16"/>
          <w:szCs w:val="16"/>
        </w:rPr>
        <w:footnoteRef/>
      </w:r>
      <w:r w:rsidRPr="00D7648A">
        <w:rPr>
          <w:rFonts w:ascii="Garamond" w:hAnsi="Garamond"/>
          <w:sz w:val="16"/>
          <w:szCs w:val="16"/>
        </w:rPr>
        <w:t xml:space="preserve"> </w:t>
      </w:r>
      <w:r w:rsidR="00A73366" w:rsidRPr="00D7648A">
        <w:rPr>
          <w:rFonts w:ascii="Garamond" w:hAnsi="Garamond"/>
          <w:sz w:val="16"/>
          <w:szCs w:val="16"/>
        </w:rPr>
        <w:t xml:space="preserve">Hammond-Browning and Williams (n 24), </w:t>
      </w:r>
      <w:r w:rsidRPr="00D7648A">
        <w:rPr>
          <w:rFonts w:ascii="Garamond" w:hAnsi="Garamond"/>
          <w:sz w:val="16"/>
          <w:szCs w:val="16"/>
        </w:rPr>
        <w:t>2647</w:t>
      </w:r>
    </w:p>
  </w:footnote>
  <w:footnote w:id="50">
    <w:p w14:paraId="62086FD8" w14:textId="1089CAB6" w:rsidR="006714F2" w:rsidRPr="00D7648A" w:rsidRDefault="006714F2">
      <w:pPr>
        <w:pStyle w:val="FootnoteText"/>
      </w:pPr>
      <w:r w:rsidRPr="00D7648A">
        <w:rPr>
          <w:rStyle w:val="FootnoteReference"/>
          <w:rFonts w:ascii="Garamond" w:hAnsi="Garamond"/>
          <w:sz w:val="16"/>
          <w:szCs w:val="16"/>
        </w:rPr>
        <w:footnoteRef/>
      </w:r>
      <w:r w:rsidR="12F20B55" w:rsidRPr="00D7648A">
        <w:rPr>
          <w:rFonts w:ascii="Garamond" w:hAnsi="Garamond"/>
          <w:sz w:val="16"/>
          <w:szCs w:val="16"/>
        </w:rPr>
        <w:t xml:space="preserve"> </w:t>
      </w:r>
      <w:r w:rsidR="00F161C5" w:rsidRPr="00D7648A">
        <w:rPr>
          <w:rFonts w:ascii="Garamond" w:eastAsia="Times New Roman" w:hAnsi="Garamond" w:cs="Times New Roman"/>
          <w:sz w:val="16"/>
          <w:szCs w:val="16"/>
          <w:shd w:val="clear" w:color="auto" w:fill="FFFFFF"/>
          <w:lang w:eastAsia="en-GB"/>
        </w:rPr>
        <w:t>Brännström and others (n 36),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8343A72" w14:paraId="705817DE" w14:textId="77777777" w:rsidTr="58343A72">
      <w:trPr>
        <w:trHeight w:val="300"/>
      </w:trPr>
      <w:tc>
        <w:tcPr>
          <w:tcW w:w="3005" w:type="dxa"/>
        </w:tcPr>
        <w:p w14:paraId="6BB15AE9" w14:textId="543403A0" w:rsidR="58343A72" w:rsidRDefault="58343A72" w:rsidP="58343A72">
          <w:pPr>
            <w:pStyle w:val="Header"/>
            <w:ind w:left="-115"/>
          </w:pPr>
        </w:p>
      </w:tc>
      <w:tc>
        <w:tcPr>
          <w:tcW w:w="3005" w:type="dxa"/>
        </w:tcPr>
        <w:p w14:paraId="35CDC678" w14:textId="05E93BD5" w:rsidR="58343A72" w:rsidRDefault="58343A72" w:rsidP="58343A72">
          <w:pPr>
            <w:pStyle w:val="Header"/>
            <w:jc w:val="center"/>
          </w:pPr>
        </w:p>
      </w:tc>
      <w:tc>
        <w:tcPr>
          <w:tcW w:w="3005" w:type="dxa"/>
        </w:tcPr>
        <w:p w14:paraId="65FFA6EA" w14:textId="78728A11" w:rsidR="58343A72" w:rsidRDefault="58343A72" w:rsidP="58343A72">
          <w:pPr>
            <w:pStyle w:val="Header"/>
            <w:ind w:right="-115"/>
            <w:jc w:val="right"/>
          </w:pPr>
        </w:p>
      </w:tc>
    </w:tr>
  </w:tbl>
  <w:p w14:paraId="156381BC" w14:textId="731282FB" w:rsidR="58343A72" w:rsidRDefault="58343A72" w:rsidP="58343A7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u3JNjZR" int2:invalidationBookmarkName="" int2:hashCode="O24IyYZdtyxa3L" int2:id="1tJPukxE">
      <int2:state int2:value="Rejected" int2:type="AugLoop_Text_Critique"/>
    </int2:bookmark>
    <int2:bookmark int2:bookmarkName="_Int_CkAbFSwE" int2:invalidationBookmarkName="" int2:hashCode="e0dMsLOcF3PXGS" int2:id="FW78kMh4">
      <int2:state int2:value="Rejected" int2:type="AugLoop_Text_Critique"/>
    </int2:bookmark>
    <int2:bookmark int2:bookmarkName="_Int_oBWOQGdZ" int2:invalidationBookmarkName="" int2:hashCode="QWX4BmO6QCZaIU" int2:id="HKhBY3Yk">
      <int2:state int2:value="Rejected" int2:type="AugLoop_Text_Critique"/>
    </int2:bookmark>
    <int2:bookmark int2:bookmarkName="_Int_7wAMQ9a9" int2:invalidationBookmarkName="" int2:hashCode="0lXQ0GySJQ8tJA" int2:id="aJ0hcwrd">
      <int2:state int2:value="Rejected" int2:type="AugLoop_Text_Critique"/>
    </int2:bookmark>
    <int2:bookmark int2:bookmarkName="_Int_kMxmYpXs" int2:invalidationBookmarkName="" int2:hashCode="30HHAZnkc4RXWk" int2:id="i5Y5bHVR">
      <int2:state int2:value="Rejected" int2:type="AugLoop_Text_Critique"/>
    </int2:bookmark>
    <int2:bookmark int2:bookmarkName="_Int_WwXqyUel" int2:invalidationBookmarkName="" int2:hashCode="VRd/LyDcPFdCnc" int2:id="zktebnFt">
      <int2:state int2:value="Rejected" int2:type="AugLoop_Text_Critique"/>
    </int2:bookmark>
    <int2:entireDocument int2:id="9WLRCndE">
      <int2:extLst>
        <oel:ext uri="E302BA01-7950-474C-9AD3-286E660C40A8">
          <int2:similaritySummary int2:version="1" int2:runId="1662653445292" int2:tilesCheckedInThisRun="37" int2:totalNumOfTiles="37" int2:similarityAnnotationCount="1" int2:numWords="4131" int2:numFlaggedWords="11"/>
        </oel:ext>
      </int2:extLst>
    </int2:entireDocument>
  </int2:observations>
  <int2:intelligenceSettings/>
  <int2:onDemandWorkflows>
    <int2:onDemandWorkflow int2:type="SimilarityCheck" int2:paragraphVersions="57F0407D-00C66658 5650F9B0-77777777 52114D7D-0941B76C 60950A2B-77777777 59538AE5-77777777 4A271B6A-77777777 42D86712-77777777 46C1F041-19873B0D 056406A9-77777777 16A071B3-4CFD21AC 03D501E1-77777777 2656F889-0B857A5B 70EFB0D3-77777777 3B655EB0-3AEE53DD 64141B87-46637403 0674AD4C-1B0E2D85 2025A922-00D91C49 1288FAD0-2C0AB935 437E0914-77B9BA2A 41662CAE-04D46F6B 7EAA8ED7-175796B4 73C42E81-77777777 1B076F7F-2C895FFA 32CBE7FC-77777777 774279BB-2C58D575 6701A54B-31F0692C 0EE46E23-21CAE56D 4F0AE760-4B2A8B73 730E1D44-2C8CEC90 355C20B6-77777777 20902BE6-2944298F 5908DCFF-4413180D 060DE143-3436E132 2DE50872-77777777 237A920F-032F9F1A 5F0C0DCF-77777777 231E153A-373883D7 74CA78E4-77777777 3FAC6BF6-0B0AB141 1B2A3139-3CAF208A 4CE0EFAC-442F8C3C 24AB64CF-5E471A16 68C0A35E-77777777 1FEEFAB9-15C92EC2 2FE89311-2D0151F6 2B528C35-2FF2DDBD 2E1E278B-7D7CE1EB 5A405344-39247167 1AAF9C94-5E1693D5 1A636ED6-3EFD0585 52CF9A27-77777777 3E668DBB-2981C7AD 33B2A068-31D42F44 5BA46555-5C93CEF8 5E180B80-77777777 0F2D565C-4D840DF3 0A44E0A4-77777777 023575EC-37AACCD5 086D7F6C-6BBE058F 5D198733-276F5DB2 73E8290B-0B194345 30833F56-77777777 37102C05-4E5B2888 74CCF642-77777777 26890B1E-0883C0A5 723DCF34-77777777 5F301F2A-12485AC5 7513B587-77777777 3493CCF8-15D3909C 4CFFC233-29761543 3180DED5-61AD7DEF 7C513F68-0AC68ED0 3D8F01E2-799B4E22 4C7C5CEC-26513F4D 15F63AFA-142F9F23 0B0A40E3-77777777 56C8CDA7-7A86E01F 5B79CE5C-03DD9B25 0E40D96F-05213AF5"/>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7F7A"/>
    <w:multiLevelType w:val="hybridMultilevel"/>
    <w:tmpl w:val="9B42CA2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177784B"/>
    <w:multiLevelType w:val="hybridMultilevel"/>
    <w:tmpl w:val="A2BEBD0E"/>
    <w:lvl w:ilvl="0" w:tplc="763C5BA8">
      <w:start w:val="1"/>
      <w:numFmt w:val="decimal"/>
      <w:lvlText w:val="%1."/>
      <w:lvlJc w:val="left"/>
      <w:pPr>
        <w:ind w:left="720" w:hanging="360"/>
      </w:pPr>
    </w:lvl>
    <w:lvl w:ilvl="1" w:tplc="AB4CF862">
      <w:start w:val="1"/>
      <w:numFmt w:val="lowerLetter"/>
      <w:lvlText w:val="%2."/>
      <w:lvlJc w:val="left"/>
      <w:pPr>
        <w:ind w:left="1440" w:hanging="360"/>
      </w:pPr>
    </w:lvl>
    <w:lvl w:ilvl="2" w:tplc="8988A7B8">
      <w:start w:val="1"/>
      <w:numFmt w:val="lowerRoman"/>
      <w:lvlText w:val="%3."/>
      <w:lvlJc w:val="right"/>
      <w:pPr>
        <w:ind w:left="2160" w:hanging="180"/>
      </w:pPr>
    </w:lvl>
    <w:lvl w:ilvl="3" w:tplc="EB62CC6A">
      <w:start w:val="1"/>
      <w:numFmt w:val="decimal"/>
      <w:lvlText w:val="%4."/>
      <w:lvlJc w:val="left"/>
      <w:pPr>
        <w:ind w:left="2880" w:hanging="360"/>
      </w:pPr>
    </w:lvl>
    <w:lvl w:ilvl="4" w:tplc="8E40B65A">
      <w:start w:val="1"/>
      <w:numFmt w:val="lowerLetter"/>
      <w:lvlText w:val="%5."/>
      <w:lvlJc w:val="left"/>
      <w:pPr>
        <w:ind w:left="3600" w:hanging="360"/>
      </w:pPr>
    </w:lvl>
    <w:lvl w:ilvl="5" w:tplc="17CA1CCC">
      <w:start w:val="1"/>
      <w:numFmt w:val="lowerRoman"/>
      <w:lvlText w:val="%6."/>
      <w:lvlJc w:val="right"/>
      <w:pPr>
        <w:ind w:left="4320" w:hanging="180"/>
      </w:pPr>
    </w:lvl>
    <w:lvl w:ilvl="6" w:tplc="3A26301E">
      <w:start w:val="1"/>
      <w:numFmt w:val="decimal"/>
      <w:lvlText w:val="%7."/>
      <w:lvlJc w:val="left"/>
      <w:pPr>
        <w:ind w:left="5040" w:hanging="360"/>
      </w:pPr>
    </w:lvl>
    <w:lvl w:ilvl="7" w:tplc="7444B2F0">
      <w:start w:val="1"/>
      <w:numFmt w:val="lowerLetter"/>
      <w:lvlText w:val="%8."/>
      <w:lvlJc w:val="left"/>
      <w:pPr>
        <w:ind w:left="5760" w:hanging="360"/>
      </w:pPr>
    </w:lvl>
    <w:lvl w:ilvl="8" w:tplc="38104A0E">
      <w:start w:val="1"/>
      <w:numFmt w:val="lowerRoman"/>
      <w:lvlText w:val="%9."/>
      <w:lvlJc w:val="right"/>
      <w:pPr>
        <w:ind w:left="6480" w:hanging="180"/>
      </w:pPr>
    </w:lvl>
  </w:abstractNum>
  <w:abstractNum w:abstractNumId="2" w15:restartNumberingAfterBreak="0">
    <w:nsid w:val="07F74458"/>
    <w:multiLevelType w:val="multilevel"/>
    <w:tmpl w:val="3FF4CF1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66EE0"/>
    <w:multiLevelType w:val="hybridMultilevel"/>
    <w:tmpl w:val="8A5E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A2BDD"/>
    <w:multiLevelType w:val="hybridMultilevel"/>
    <w:tmpl w:val="7F9612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998215F"/>
    <w:multiLevelType w:val="hybridMultilevel"/>
    <w:tmpl w:val="6786DD82"/>
    <w:lvl w:ilvl="0" w:tplc="67B024D4">
      <w:start w:val="1"/>
      <w:numFmt w:val="decimal"/>
      <w:lvlText w:val="%1."/>
      <w:lvlJc w:val="left"/>
      <w:pPr>
        <w:ind w:left="720" w:hanging="360"/>
      </w:pPr>
      <w:rPr>
        <w:rFonts w:ascii="Garamond" w:hAnsi="Garamond" w:hint="default"/>
      </w:rPr>
    </w:lvl>
    <w:lvl w:ilvl="1" w:tplc="218EC5F8">
      <w:start w:val="1"/>
      <w:numFmt w:val="lowerLetter"/>
      <w:lvlText w:val="%2."/>
      <w:lvlJc w:val="left"/>
      <w:pPr>
        <w:ind w:left="1440" w:hanging="360"/>
      </w:pPr>
    </w:lvl>
    <w:lvl w:ilvl="2" w:tplc="388EEDFA">
      <w:start w:val="1"/>
      <w:numFmt w:val="lowerRoman"/>
      <w:lvlText w:val="%3."/>
      <w:lvlJc w:val="right"/>
      <w:pPr>
        <w:ind w:left="2160" w:hanging="180"/>
      </w:pPr>
    </w:lvl>
    <w:lvl w:ilvl="3" w:tplc="352C47EA">
      <w:start w:val="1"/>
      <w:numFmt w:val="decimal"/>
      <w:lvlText w:val="%4."/>
      <w:lvlJc w:val="left"/>
      <w:pPr>
        <w:ind w:left="2880" w:hanging="360"/>
      </w:pPr>
    </w:lvl>
    <w:lvl w:ilvl="4" w:tplc="3B3E0674">
      <w:start w:val="1"/>
      <w:numFmt w:val="lowerLetter"/>
      <w:lvlText w:val="%5."/>
      <w:lvlJc w:val="left"/>
      <w:pPr>
        <w:ind w:left="3600" w:hanging="360"/>
      </w:pPr>
    </w:lvl>
    <w:lvl w:ilvl="5" w:tplc="082284E0">
      <w:start w:val="1"/>
      <w:numFmt w:val="lowerRoman"/>
      <w:lvlText w:val="%6."/>
      <w:lvlJc w:val="right"/>
      <w:pPr>
        <w:ind w:left="4320" w:hanging="180"/>
      </w:pPr>
    </w:lvl>
    <w:lvl w:ilvl="6" w:tplc="EF9482C8">
      <w:start w:val="1"/>
      <w:numFmt w:val="decimal"/>
      <w:lvlText w:val="%7."/>
      <w:lvlJc w:val="left"/>
      <w:pPr>
        <w:ind w:left="5040" w:hanging="360"/>
      </w:pPr>
    </w:lvl>
    <w:lvl w:ilvl="7" w:tplc="BFA83C00">
      <w:start w:val="1"/>
      <w:numFmt w:val="lowerLetter"/>
      <w:lvlText w:val="%8."/>
      <w:lvlJc w:val="left"/>
      <w:pPr>
        <w:ind w:left="5760" w:hanging="360"/>
      </w:pPr>
    </w:lvl>
    <w:lvl w:ilvl="8" w:tplc="5F581330">
      <w:start w:val="1"/>
      <w:numFmt w:val="lowerRoman"/>
      <w:lvlText w:val="%9."/>
      <w:lvlJc w:val="right"/>
      <w:pPr>
        <w:ind w:left="6480" w:hanging="180"/>
      </w:pPr>
    </w:lvl>
  </w:abstractNum>
  <w:abstractNum w:abstractNumId="6" w15:restartNumberingAfterBreak="0">
    <w:nsid w:val="2B0C2B56"/>
    <w:multiLevelType w:val="multilevel"/>
    <w:tmpl w:val="76B68E1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4F8762"/>
    <w:multiLevelType w:val="hybridMultilevel"/>
    <w:tmpl w:val="2026A746"/>
    <w:lvl w:ilvl="0" w:tplc="C8A2A9A6">
      <w:start w:val="1"/>
      <w:numFmt w:val="decimal"/>
      <w:lvlText w:val="%1."/>
      <w:lvlJc w:val="left"/>
      <w:pPr>
        <w:ind w:left="720" w:hanging="360"/>
      </w:pPr>
    </w:lvl>
    <w:lvl w:ilvl="1" w:tplc="E5AEDF52">
      <w:start w:val="1"/>
      <w:numFmt w:val="lowerLetter"/>
      <w:lvlText w:val="%2."/>
      <w:lvlJc w:val="left"/>
      <w:pPr>
        <w:ind w:left="1440" w:hanging="360"/>
      </w:pPr>
    </w:lvl>
    <w:lvl w:ilvl="2" w:tplc="C61CCFA6">
      <w:start w:val="1"/>
      <w:numFmt w:val="lowerRoman"/>
      <w:lvlText w:val="%3."/>
      <w:lvlJc w:val="right"/>
      <w:pPr>
        <w:ind w:left="2160" w:hanging="180"/>
      </w:pPr>
    </w:lvl>
    <w:lvl w:ilvl="3" w:tplc="B642B2E2">
      <w:start w:val="1"/>
      <w:numFmt w:val="decimal"/>
      <w:lvlText w:val="%4."/>
      <w:lvlJc w:val="left"/>
      <w:pPr>
        <w:ind w:left="2880" w:hanging="360"/>
      </w:pPr>
    </w:lvl>
    <w:lvl w:ilvl="4" w:tplc="3F46E63A">
      <w:start w:val="1"/>
      <w:numFmt w:val="lowerLetter"/>
      <w:lvlText w:val="%5."/>
      <w:lvlJc w:val="left"/>
      <w:pPr>
        <w:ind w:left="3600" w:hanging="360"/>
      </w:pPr>
    </w:lvl>
    <w:lvl w:ilvl="5" w:tplc="EA44BD3A">
      <w:start w:val="1"/>
      <w:numFmt w:val="lowerRoman"/>
      <w:lvlText w:val="%6."/>
      <w:lvlJc w:val="right"/>
      <w:pPr>
        <w:ind w:left="4320" w:hanging="180"/>
      </w:pPr>
    </w:lvl>
    <w:lvl w:ilvl="6" w:tplc="E634E142">
      <w:start w:val="1"/>
      <w:numFmt w:val="decimal"/>
      <w:lvlText w:val="%7."/>
      <w:lvlJc w:val="left"/>
      <w:pPr>
        <w:ind w:left="5040" w:hanging="360"/>
      </w:pPr>
    </w:lvl>
    <w:lvl w:ilvl="7" w:tplc="2B9A1790">
      <w:start w:val="1"/>
      <w:numFmt w:val="lowerLetter"/>
      <w:lvlText w:val="%8."/>
      <w:lvlJc w:val="left"/>
      <w:pPr>
        <w:ind w:left="5760" w:hanging="360"/>
      </w:pPr>
    </w:lvl>
    <w:lvl w:ilvl="8" w:tplc="4D901A60">
      <w:start w:val="1"/>
      <w:numFmt w:val="lowerRoman"/>
      <w:lvlText w:val="%9."/>
      <w:lvlJc w:val="right"/>
      <w:pPr>
        <w:ind w:left="6480" w:hanging="180"/>
      </w:pPr>
    </w:lvl>
  </w:abstractNum>
  <w:abstractNum w:abstractNumId="8" w15:restartNumberingAfterBreak="0">
    <w:nsid w:val="47CF13A0"/>
    <w:multiLevelType w:val="hybridMultilevel"/>
    <w:tmpl w:val="40B60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03C6A"/>
    <w:multiLevelType w:val="hybridMultilevel"/>
    <w:tmpl w:val="E79CEC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B5634C7"/>
    <w:multiLevelType w:val="hybridMultilevel"/>
    <w:tmpl w:val="44C475F0"/>
    <w:lvl w:ilvl="0" w:tplc="E38E5160">
      <w:start w:val="1"/>
      <w:numFmt w:val="upp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C5773A"/>
    <w:multiLevelType w:val="hybridMultilevel"/>
    <w:tmpl w:val="9156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AE080B"/>
    <w:multiLevelType w:val="hybridMultilevel"/>
    <w:tmpl w:val="7F9612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40852436">
    <w:abstractNumId w:val="1"/>
  </w:num>
  <w:num w:numId="2" w16cid:durableId="293488014">
    <w:abstractNumId w:val="5"/>
  </w:num>
  <w:num w:numId="3" w16cid:durableId="603074817">
    <w:abstractNumId w:val="7"/>
  </w:num>
  <w:num w:numId="4" w16cid:durableId="1181698827">
    <w:abstractNumId w:val="3"/>
  </w:num>
  <w:num w:numId="5" w16cid:durableId="1193542354">
    <w:abstractNumId w:val="10"/>
  </w:num>
  <w:num w:numId="6" w16cid:durableId="1185484366">
    <w:abstractNumId w:val="0"/>
  </w:num>
  <w:num w:numId="7" w16cid:durableId="340284303">
    <w:abstractNumId w:val="11"/>
  </w:num>
  <w:num w:numId="8" w16cid:durableId="1350335922">
    <w:abstractNumId w:val="9"/>
  </w:num>
  <w:num w:numId="9" w16cid:durableId="2084840068">
    <w:abstractNumId w:val="8"/>
  </w:num>
  <w:num w:numId="10" w16cid:durableId="939484608">
    <w:abstractNumId w:val="6"/>
  </w:num>
  <w:num w:numId="11" w16cid:durableId="10231759">
    <w:abstractNumId w:val="2"/>
  </w:num>
  <w:num w:numId="12" w16cid:durableId="180824157">
    <w:abstractNumId w:val="4"/>
  </w:num>
  <w:num w:numId="13" w16cid:durableId="1320386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A5"/>
    <w:rsid w:val="000005D9"/>
    <w:rsid w:val="000055A5"/>
    <w:rsid w:val="00007ED9"/>
    <w:rsid w:val="00012D0F"/>
    <w:rsid w:val="00014951"/>
    <w:rsid w:val="00017F5F"/>
    <w:rsid w:val="00022E5C"/>
    <w:rsid w:val="000277DE"/>
    <w:rsid w:val="00032D83"/>
    <w:rsid w:val="0003711D"/>
    <w:rsid w:val="0003713A"/>
    <w:rsid w:val="000427F6"/>
    <w:rsid w:val="000502D4"/>
    <w:rsid w:val="00050C24"/>
    <w:rsid w:val="00050F8A"/>
    <w:rsid w:val="00055701"/>
    <w:rsid w:val="00056197"/>
    <w:rsid w:val="00056A25"/>
    <w:rsid w:val="0005710B"/>
    <w:rsid w:val="00061C5C"/>
    <w:rsid w:val="000660C9"/>
    <w:rsid w:val="000660FB"/>
    <w:rsid w:val="0006631B"/>
    <w:rsid w:val="00066570"/>
    <w:rsid w:val="00066C05"/>
    <w:rsid w:val="0006D9A0"/>
    <w:rsid w:val="000708DF"/>
    <w:rsid w:val="0007177E"/>
    <w:rsid w:val="00072A9D"/>
    <w:rsid w:val="00074B1A"/>
    <w:rsid w:val="0007522D"/>
    <w:rsid w:val="000770A9"/>
    <w:rsid w:val="00077E87"/>
    <w:rsid w:val="0008362A"/>
    <w:rsid w:val="0008620C"/>
    <w:rsid w:val="0008634A"/>
    <w:rsid w:val="00087BE5"/>
    <w:rsid w:val="00090ED2"/>
    <w:rsid w:val="00093A38"/>
    <w:rsid w:val="00096203"/>
    <w:rsid w:val="00096D47"/>
    <w:rsid w:val="000A24F0"/>
    <w:rsid w:val="000A2BD6"/>
    <w:rsid w:val="000A47BE"/>
    <w:rsid w:val="000B00BE"/>
    <w:rsid w:val="000B018C"/>
    <w:rsid w:val="000B2884"/>
    <w:rsid w:val="000C081B"/>
    <w:rsid w:val="000C1C3C"/>
    <w:rsid w:val="000C2028"/>
    <w:rsid w:val="000C301C"/>
    <w:rsid w:val="000C72BE"/>
    <w:rsid w:val="000D08E6"/>
    <w:rsid w:val="000D2D86"/>
    <w:rsid w:val="000D47B8"/>
    <w:rsid w:val="000D4EBC"/>
    <w:rsid w:val="000E0B5B"/>
    <w:rsid w:val="000F06D1"/>
    <w:rsid w:val="000F4D81"/>
    <w:rsid w:val="000F5066"/>
    <w:rsid w:val="00100941"/>
    <w:rsid w:val="00100D6D"/>
    <w:rsid w:val="00101B95"/>
    <w:rsid w:val="0010410C"/>
    <w:rsid w:val="00104EBB"/>
    <w:rsid w:val="00105083"/>
    <w:rsid w:val="00110EE0"/>
    <w:rsid w:val="00111226"/>
    <w:rsid w:val="0011370E"/>
    <w:rsid w:val="00117750"/>
    <w:rsid w:val="00121377"/>
    <w:rsid w:val="001217C7"/>
    <w:rsid w:val="001223E0"/>
    <w:rsid w:val="001249DE"/>
    <w:rsid w:val="00125AB0"/>
    <w:rsid w:val="00130647"/>
    <w:rsid w:val="001315EC"/>
    <w:rsid w:val="0013465D"/>
    <w:rsid w:val="00135BCD"/>
    <w:rsid w:val="00144528"/>
    <w:rsid w:val="00145B0D"/>
    <w:rsid w:val="001460C3"/>
    <w:rsid w:val="0015048E"/>
    <w:rsid w:val="0015708D"/>
    <w:rsid w:val="00162131"/>
    <w:rsid w:val="0016218B"/>
    <w:rsid w:val="00172596"/>
    <w:rsid w:val="00173116"/>
    <w:rsid w:val="00173DE9"/>
    <w:rsid w:val="00174B75"/>
    <w:rsid w:val="001753D4"/>
    <w:rsid w:val="00184C48"/>
    <w:rsid w:val="00186DA4"/>
    <w:rsid w:val="00186FCF"/>
    <w:rsid w:val="00192462"/>
    <w:rsid w:val="00192945"/>
    <w:rsid w:val="00196445"/>
    <w:rsid w:val="00196841"/>
    <w:rsid w:val="001A07A4"/>
    <w:rsid w:val="001A3B97"/>
    <w:rsid w:val="001A3F37"/>
    <w:rsid w:val="001A5C66"/>
    <w:rsid w:val="001B437F"/>
    <w:rsid w:val="001B5D3D"/>
    <w:rsid w:val="001B6332"/>
    <w:rsid w:val="001B6EC9"/>
    <w:rsid w:val="001B75AC"/>
    <w:rsid w:val="001C5460"/>
    <w:rsid w:val="001C7428"/>
    <w:rsid w:val="001D1D91"/>
    <w:rsid w:val="001D24F9"/>
    <w:rsid w:val="001D30B2"/>
    <w:rsid w:val="001D67AB"/>
    <w:rsid w:val="001D6FA0"/>
    <w:rsid w:val="001E5344"/>
    <w:rsid w:val="001E5E7E"/>
    <w:rsid w:val="001E6134"/>
    <w:rsid w:val="001E637C"/>
    <w:rsid w:val="001E690C"/>
    <w:rsid w:val="001E7192"/>
    <w:rsid w:val="001F7EF2"/>
    <w:rsid w:val="0020342E"/>
    <w:rsid w:val="002043FF"/>
    <w:rsid w:val="00206141"/>
    <w:rsid w:val="0020683D"/>
    <w:rsid w:val="00206B32"/>
    <w:rsid w:val="00207563"/>
    <w:rsid w:val="00210110"/>
    <w:rsid w:val="002222EB"/>
    <w:rsid w:val="0022437C"/>
    <w:rsid w:val="002260EB"/>
    <w:rsid w:val="00232CB2"/>
    <w:rsid w:val="002339D5"/>
    <w:rsid w:val="00235AE2"/>
    <w:rsid w:val="00240C51"/>
    <w:rsid w:val="00244AF0"/>
    <w:rsid w:val="002469BB"/>
    <w:rsid w:val="0024773D"/>
    <w:rsid w:val="002503CC"/>
    <w:rsid w:val="0025122E"/>
    <w:rsid w:val="0025209D"/>
    <w:rsid w:val="00254042"/>
    <w:rsid w:val="00255546"/>
    <w:rsid w:val="002566CF"/>
    <w:rsid w:val="00262014"/>
    <w:rsid w:val="00262C2F"/>
    <w:rsid w:val="002666F3"/>
    <w:rsid w:val="00270F30"/>
    <w:rsid w:val="002721F3"/>
    <w:rsid w:val="0027259F"/>
    <w:rsid w:val="00277213"/>
    <w:rsid w:val="002833DA"/>
    <w:rsid w:val="0028727A"/>
    <w:rsid w:val="002A2E34"/>
    <w:rsid w:val="002A6D4A"/>
    <w:rsid w:val="002B0089"/>
    <w:rsid w:val="002B1029"/>
    <w:rsid w:val="002B6977"/>
    <w:rsid w:val="002C06D1"/>
    <w:rsid w:val="002C7B84"/>
    <w:rsid w:val="002D47CC"/>
    <w:rsid w:val="002D551E"/>
    <w:rsid w:val="002D70F9"/>
    <w:rsid w:val="002E2C2C"/>
    <w:rsid w:val="002E721F"/>
    <w:rsid w:val="002E72B2"/>
    <w:rsid w:val="002E78F3"/>
    <w:rsid w:val="002F186E"/>
    <w:rsid w:val="00300E5B"/>
    <w:rsid w:val="0030156B"/>
    <w:rsid w:val="00301CF2"/>
    <w:rsid w:val="00302D0A"/>
    <w:rsid w:val="00303027"/>
    <w:rsid w:val="00304369"/>
    <w:rsid w:val="0031213B"/>
    <w:rsid w:val="00312EF6"/>
    <w:rsid w:val="00314CEA"/>
    <w:rsid w:val="00315816"/>
    <w:rsid w:val="00316FEF"/>
    <w:rsid w:val="003220BF"/>
    <w:rsid w:val="0032404D"/>
    <w:rsid w:val="0032481E"/>
    <w:rsid w:val="00324D52"/>
    <w:rsid w:val="003279BA"/>
    <w:rsid w:val="00332CAC"/>
    <w:rsid w:val="003374B7"/>
    <w:rsid w:val="003376D5"/>
    <w:rsid w:val="0033790C"/>
    <w:rsid w:val="003444C8"/>
    <w:rsid w:val="00344E89"/>
    <w:rsid w:val="00346A75"/>
    <w:rsid w:val="003514B5"/>
    <w:rsid w:val="00351AF9"/>
    <w:rsid w:val="00356312"/>
    <w:rsid w:val="0036406D"/>
    <w:rsid w:val="00364921"/>
    <w:rsid w:val="0038082C"/>
    <w:rsid w:val="00383797"/>
    <w:rsid w:val="00383A57"/>
    <w:rsid w:val="0039148D"/>
    <w:rsid w:val="003915EF"/>
    <w:rsid w:val="00393FB3"/>
    <w:rsid w:val="003A0A31"/>
    <w:rsid w:val="003A10C0"/>
    <w:rsid w:val="003A3102"/>
    <w:rsid w:val="003A330D"/>
    <w:rsid w:val="003A3F59"/>
    <w:rsid w:val="003A4737"/>
    <w:rsid w:val="003A55ED"/>
    <w:rsid w:val="003A5EB9"/>
    <w:rsid w:val="003B0945"/>
    <w:rsid w:val="003B4B7A"/>
    <w:rsid w:val="003C4A50"/>
    <w:rsid w:val="003D2FCF"/>
    <w:rsid w:val="003D5A97"/>
    <w:rsid w:val="003E0D5C"/>
    <w:rsid w:val="003E2665"/>
    <w:rsid w:val="003E374A"/>
    <w:rsid w:val="003E6E4F"/>
    <w:rsid w:val="003E70B6"/>
    <w:rsid w:val="003F0CEB"/>
    <w:rsid w:val="003F6392"/>
    <w:rsid w:val="003F6925"/>
    <w:rsid w:val="00400C8F"/>
    <w:rsid w:val="00403349"/>
    <w:rsid w:val="0040609A"/>
    <w:rsid w:val="0040678F"/>
    <w:rsid w:val="0040685D"/>
    <w:rsid w:val="00407EBB"/>
    <w:rsid w:val="00420A5B"/>
    <w:rsid w:val="004216BA"/>
    <w:rsid w:val="004246DF"/>
    <w:rsid w:val="00425D0B"/>
    <w:rsid w:val="00430336"/>
    <w:rsid w:val="00430A7C"/>
    <w:rsid w:val="00440C49"/>
    <w:rsid w:val="004426B7"/>
    <w:rsid w:val="00445204"/>
    <w:rsid w:val="004459FA"/>
    <w:rsid w:val="00445D2B"/>
    <w:rsid w:val="0044680C"/>
    <w:rsid w:val="004538AD"/>
    <w:rsid w:val="0046312D"/>
    <w:rsid w:val="0047059B"/>
    <w:rsid w:val="00470723"/>
    <w:rsid w:val="00475280"/>
    <w:rsid w:val="00484395"/>
    <w:rsid w:val="00486743"/>
    <w:rsid w:val="00490A12"/>
    <w:rsid w:val="00493C96"/>
    <w:rsid w:val="004945D0"/>
    <w:rsid w:val="00495C68"/>
    <w:rsid w:val="0049695E"/>
    <w:rsid w:val="0049785D"/>
    <w:rsid w:val="00497D24"/>
    <w:rsid w:val="004A03A3"/>
    <w:rsid w:val="004A3179"/>
    <w:rsid w:val="004A5311"/>
    <w:rsid w:val="004A68D8"/>
    <w:rsid w:val="004A7242"/>
    <w:rsid w:val="004A7EA7"/>
    <w:rsid w:val="004B0147"/>
    <w:rsid w:val="004C5588"/>
    <w:rsid w:val="004C5FFC"/>
    <w:rsid w:val="004C6403"/>
    <w:rsid w:val="004C6CFF"/>
    <w:rsid w:val="004D1324"/>
    <w:rsid w:val="004D4F12"/>
    <w:rsid w:val="004D6976"/>
    <w:rsid w:val="004D6A61"/>
    <w:rsid w:val="004E1FD3"/>
    <w:rsid w:val="004E3BE9"/>
    <w:rsid w:val="004E440A"/>
    <w:rsid w:val="004E7F63"/>
    <w:rsid w:val="004F1B41"/>
    <w:rsid w:val="005014FC"/>
    <w:rsid w:val="00503FA4"/>
    <w:rsid w:val="00504DB9"/>
    <w:rsid w:val="005050FC"/>
    <w:rsid w:val="00505E7D"/>
    <w:rsid w:val="00510612"/>
    <w:rsid w:val="005116A3"/>
    <w:rsid w:val="00512638"/>
    <w:rsid w:val="00517424"/>
    <w:rsid w:val="00520B81"/>
    <w:rsid w:val="0052307C"/>
    <w:rsid w:val="00525579"/>
    <w:rsid w:val="00530624"/>
    <w:rsid w:val="00533D99"/>
    <w:rsid w:val="005348FF"/>
    <w:rsid w:val="00537213"/>
    <w:rsid w:val="0054151A"/>
    <w:rsid w:val="00543D6A"/>
    <w:rsid w:val="00544557"/>
    <w:rsid w:val="005455D1"/>
    <w:rsid w:val="00546DEB"/>
    <w:rsid w:val="00551717"/>
    <w:rsid w:val="00555406"/>
    <w:rsid w:val="00556B0D"/>
    <w:rsid w:val="00557776"/>
    <w:rsid w:val="0056157F"/>
    <w:rsid w:val="00562C78"/>
    <w:rsid w:val="005636E6"/>
    <w:rsid w:val="005648FE"/>
    <w:rsid w:val="005653C8"/>
    <w:rsid w:val="005654B7"/>
    <w:rsid w:val="00571445"/>
    <w:rsid w:val="00572234"/>
    <w:rsid w:val="005729F6"/>
    <w:rsid w:val="00574C66"/>
    <w:rsid w:val="00574C7E"/>
    <w:rsid w:val="00576263"/>
    <w:rsid w:val="00586E60"/>
    <w:rsid w:val="005871B7"/>
    <w:rsid w:val="005914CA"/>
    <w:rsid w:val="00596252"/>
    <w:rsid w:val="005A38B5"/>
    <w:rsid w:val="005A47D9"/>
    <w:rsid w:val="005A7F62"/>
    <w:rsid w:val="005C4B2C"/>
    <w:rsid w:val="005C54A4"/>
    <w:rsid w:val="005C7D57"/>
    <w:rsid w:val="005D1C4F"/>
    <w:rsid w:val="005D2C97"/>
    <w:rsid w:val="005D3C62"/>
    <w:rsid w:val="005D4BDB"/>
    <w:rsid w:val="005E1647"/>
    <w:rsid w:val="005E27CF"/>
    <w:rsid w:val="005E3647"/>
    <w:rsid w:val="005E3E3B"/>
    <w:rsid w:val="005E4978"/>
    <w:rsid w:val="005F24D8"/>
    <w:rsid w:val="005F25DA"/>
    <w:rsid w:val="005F3F1B"/>
    <w:rsid w:val="005F4FA0"/>
    <w:rsid w:val="00603609"/>
    <w:rsid w:val="006037B6"/>
    <w:rsid w:val="00605E81"/>
    <w:rsid w:val="006104B9"/>
    <w:rsid w:val="00612A2A"/>
    <w:rsid w:val="00614D2E"/>
    <w:rsid w:val="006170D7"/>
    <w:rsid w:val="0062060D"/>
    <w:rsid w:val="00620A2C"/>
    <w:rsid w:val="00621480"/>
    <w:rsid w:val="0062270B"/>
    <w:rsid w:val="00632B41"/>
    <w:rsid w:val="00635CF1"/>
    <w:rsid w:val="006370EA"/>
    <w:rsid w:val="00640111"/>
    <w:rsid w:val="006426A9"/>
    <w:rsid w:val="0064581F"/>
    <w:rsid w:val="00645AC3"/>
    <w:rsid w:val="00647D45"/>
    <w:rsid w:val="00650882"/>
    <w:rsid w:val="00651548"/>
    <w:rsid w:val="00653128"/>
    <w:rsid w:val="006568BF"/>
    <w:rsid w:val="00656A2E"/>
    <w:rsid w:val="00656D1A"/>
    <w:rsid w:val="00657F52"/>
    <w:rsid w:val="006644B6"/>
    <w:rsid w:val="006713F9"/>
    <w:rsid w:val="006714F2"/>
    <w:rsid w:val="00671C71"/>
    <w:rsid w:val="00674B0A"/>
    <w:rsid w:val="0067754B"/>
    <w:rsid w:val="0068039B"/>
    <w:rsid w:val="00680F2A"/>
    <w:rsid w:val="00681F33"/>
    <w:rsid w:val="00684478"/>
    <w:rsid w:val="0068488E"/>
    <w:rsid w:val="006876D6"/>
    <w:rsid w:val="00690C4D"/>
    <w:rsid w:val="006910FD"/>
    <w:rsid w:val="00691152"/>
    <w:rsid w:val="0069519E"/>
    <w:rsid w:val="00697BF0"/>
    <w:rsid w:val="00697D81"/>
    <w:rsid w:val="006A1A72"/>
    <w:rsid w:val="006A38EB"/>
    <w:rsid w:val="006A45E9"/>
    <w:rsid w:val="006A6F9D"/>
    <w:rsid w:val="006B02F2"/>
    <w:rsid w:val="006B3A92"/>
    <w:rsid w:val="006B3B6F"/>
    <w:rsid w:val="006B5ADF"/>
    <w:rsid w:val="006C013F"/>
    <w:rsid w:val="006C126E"/>
    <w:rsid w:val="006C2CE2"/>
    <w:rsid w:val="006D0AE0"/>
    <w:rsid w:val="006E655A"/>
    <w:rsid w:val="006F0948"/>
    <w:rsid w:val="006F353C"/>
    <w:rsid w:val="006F61AF"/>
    <w:rsid w:val="006F6792"/>
    <w:rsid w:val="006F7D06"/>
    <w:rsid w:val="007005FF"/>
    <w:rsid w:val="00701D63"/>
    <w:rsid w:val="00702019"/>
    <w:rsid w:val="00706249"/>
    <w:rsid w:val="00710820"/>
    <w:rsid w:val="00711B89"/>
    <w:rsid w:val="00717697"/>
    <w:rsid w:val="00724DF2"/>
    <w:rsid w:val="0072789A"/>
    <w:rsid w:val="00730068"/>
    <w:rsid w:val="00730C28"/>
    <w:rsid w:val="00733427"/>
    <w:rsid w:val="00734620"/>
    <w:rsid w:val="00736198"/>
    <w:rsid w:val="00736663"/>
    <w:rsid w:val="00737761"/>
    <w:rsid w:val="007415E7"/>
    <w:rsid w:val="00745443"/>
    <w:rsid w:val="00745F89"/>
    <w:rsid w:val="007556CA"/>
    <w:rsid w:val="00760A09"/>
    <w:rsid w:val="0076197A"/>
    <w:rsid w:val="00764489"/>
    <w:rsid w:val="0076478E"/>
    <w:rsid w:val="00767393"/>
    <w:rsid w:val="007675D7"/>
    <w:rsid w:val="00776068"/>
    <w:rsid w:val="00780B85"/>
    <w:rsid w:val="00781273"/>
    <w:rsid w:val="00781FDF"/>
    <w:rsid w:val="00787471"/>
    <w:rsid w:val="007914CC"/>
    <w:rsid w:val="0079256F"/>
    <w:rsid w:val="00793FC5"/>
    <w:rsid w:val="007949C8"/>
    <w:rsid w:val="0079774C"/>
    <w:rsid w:val="007A2089"/>
    <w:rsid w:val="007A336C"/>
    <w:rsid w:val="007A35B5"/>
    <w:rsid w:val="007B3D74"/>
    <w:rsid w:val="007B4322"/>
    <w:rsid w:val="007B508C"/>
    <w:rsid w:val="007B6DD7"/>
    <w:rsid w:val="007D1C24"/>
    <w:rsid w:val="007D1CC5"/>
    <w:rsid w:val="007D28EA"/>
    <w:rsid w:val="007D416B"/>
    <w:rsid w:val="007D4308"/>
    <w:rsid w:val="007D43CF"/>
    <w:rsid w:val="007D64A5"/>
    <w:rsid w:val="007E1AE6"/>
    <w:rsid w:val="007E4B71"/>
    <w:rsid w:val="007F26E8"/>
    <w:rsid w:val="007F4A99"/>
    <w:rsid w:val="007F6EAA"/>
    <w:rsid w:val="008011A4"/>
    <w:rsid w:val="00807AFC"/>
    <w:rsid w:val="00812AAC"/>
    <w:rsid w:val="0081357C"/>
    <w:rsid w:val="0082193E"/>
    <w:rsid w:val="008322AB"/>
    <w:rsid w:val="00833D70"/>
    <w:rsid w:val="00834847"/>
    <w:rsid w:val="008350E6"/>
    <w:rsid w:val="00840D5F"/>
    <w:rsid w:val="00842EAF"/>
    <w:rsid w:val="008447D7"/>
    <w:rsid w:val="00850A82"/>
    <w:rsid w:val="00850C3E"/>
    <w:rsid w:val="00850EE4"/>
    <w:rsid w:val="008559F0"/>
    <w:rsid w:val="008564DA"/>
    <w:rsid w:val="0085F11C"/>
    <w:rsid w:val="00861AF9"/>
    <w:rsid w:val="00863D98"/>
    <w:rsid w:val="00872200"/>
    <w:rsid w:val="00874185"/>
    <w:rsid w:val="008743CD"/>
    <w:rsid w:val="008764A6"/>
    <w:rsid w:val="00882B55"/>
    <w:rsid w:val="00883AC6"/>
    <w:rsid w:val="00885074"/>
    <w:rsid w:val="008871FC"/>
    <w:rsid w:val="0089497A"/>
    <w:rsid w:val="00897253"/>
    <w:rsid w:val="00897C3E"/>
    <w:rsid w:val="008A0C3E"/>
    <w:rsid w:val="008A2F06"/>
    <w:rsid w:val="008A44E5"/>
    <w:rsid w:val="008A7312"/>
    <w:rsid w:val="008A7328"/>
    <w:rsid w:val="008B1899"/>
    <w:rsid w:val="008B221D"/>
    <w:rsid w:val="008B4372"/>
    <w:rsid w:val="008C08F8"/>
    <w:rsid w:val="008C26C9"/>
    <w:rsid w:val="008C2869"/>
    <w:rsid w:val="008C5A8D"/>
    <w:rsid w:val="008C5C59"/>
    <w:rsid w:val="008C7833"/>
    <w:rsid w:val="008D3AE2"/>
    <w:rsid w:val="008E1427"/>
    <w:rsid w:val="008E51CA"/>
    <w:rsid w:val="008F1BB1"/>
    <w:rsid w:val="008F2811"/>
    <w:rsid w:val="008F44D6"/>
    <w:rsid w:val="008F6382"/>
    <w:rsid w:val="00901127"/>
    <w:rsid w:val="00903530"/>
    <w:rsid w:val="00904AFD"/>
    <w:rsid w:val="00906F7F"/>
    <w:rsid w:val="009111AC"/>
    <w:rsid w:val="00912AFA"/>
    <w:rsid w:val="009148BB"/>
    <w:rsid w:val="0092144C"/>
    <w:rsid w:val="00925273"/>
    <w:rsid w:val="00933908"/>
    <w:rsid w:val="009361DB"/>
    <w:rsid w:val="00942609"/>
    <w:rsid w:val="00943F28"/>
    <w:rsid w:val="009443AD"/>
    <w:rsid w:val="009452AE"/>
    <w:rsid w:val="009519F7"/>
    <w:rsid w:val="00955B85"/>
    <w:rsid w:val="00960A7A"/>
    <w:rsid w:val="009622C5"/>
    <w:rsid w:val="00962933"/>
    <w:rsid w:val="009655B8"/>
    <w:rsid w:val="00980D5B"/>
    <w:rsid w:val="00981050"/>
    <w:rsid w:val="00982C81"/>
    <w:rsid w:val="00983ABD"/>
    <w:rsid w:val="009924CD"/>
    <w:rsid w:val="009924EC"/>
    <w:rsid w:val="00993813"/>
    <w:rsid w:val="00996310"/>
    <w:rsid w:val="009A096B"/>
    <w:rsid w:val="009A1739"/>
    <w:rsid w:val="009A1BF0"/>
    <w:rsid w:val="009A2459"/>
    <w:rsid w:val="009A2C04"/>
    <w:rsid w:val="009B1BD2"/>
    <w:rsid w:val="009B278B"/>
    <w:rsid w:val="009B7283"/>
    <w:rsid w:val="009C0C89"/>
    <w:rsid w:val="009C36FB"/>
    <w:rsid w:val="009C3B94"/>
    <w:rsid w:val="009C4350"/>
    <w:rsid w:val="009C6D9D"/>
    <w:rsid w:val="009D0845"/>
    <w:rsid w:val="009D25E9"/>
    <w:rsid w:val="009D42BF"/>
    <w:rsid w:val="009F3091"/>
    <w:rsid w:val="009F3D2B"/>
    <w:rsid w:val="009F57DD"/>
    <w:rsid w:val="00A02BAA"/>
    <w:rsid w:val="00A04184"/>
    <w:rsid w:val="00A05F95"/>
    <w:rsid w:val="00A10AF5"/>
    <w:rsid w:val="00A17932"/>
    <w:rsid w:val="00A17E7B"/>
    <w:rsid w:val="00A2394B"/>
    <w:rsid w:val="00A23F33"/>
    <w:rsid w:val="00A246B0"/>
    <w:rsid w:val="00A27F54"/>
    <w:rsid w:val="00A30916"/>
    <w:rsid w:val="00A3199B"/>
    <w:rsid w:val="00A34B25"/>
    <w:rsid w:val="00A360C4"/>
    <w:rsid w:val="00A37B69"/>
    <w:rsid w:val="00A42F6A"/>
    <w:rsid w:val="00A47794"/>
    <w:rsid w:val="00A50758"/>
    <w:rsid w:val="00A52EA2"/>
    <w:rsid w:val="00A557EF"/>
    <w:rsid w:val="00A55EB7"/>
    <w:rsid w:val="00A56B82"/>
    <w:rsid w:val="00A56EB1"/>
    <w:rsid w:val="00A6189B"/>
    <w:rsid w:val="00A645A3"/>
    <w:rsid w:val="00A64C58"/>
    <w:rsid w:val="00A65719"/>
    <w:rsid w:val="00A66619"/>
    <w:rsid w:val="00A71DC9"/>
    <w:rsid w:val="00A7211F"/>
    <w:rsid w:val="00A72AF7"/>
    <w:rsid w:val="00A73366"/>
    <w:rsid w:val="00A73F65"/>
    <w:rsid w:val="00A74108"/>
    <w:rsid w:val="00A77147"/>
    <w:rsid w:val="00A85AF7"/>
    <w:rsid w:val="00A8666E"/>
    <w:rsid w:val="00A86D15"/>
    <w:rsid w:val="00A92513"/>
    <w:rsid w:val="00A97426"/>
    <w:rsid w:val="00AA4701"/>
    <w:rsid w:val="00AA4DC7"/>
    <w:rsid w:val="00AA5CAA"/>
    <w:rsid w:val="00AA64C0"/>
    <w:rsid w:val="00AB293F"/>
    <w:rsid w:val="00AB2B2B"/>
    <w:rsid w:val="00AB4ED5"/>
    <w:rsid w:val="00AB540D"/>
    <w:rsid w:val="00AB634A"/>
    <w:rsid w:val="00AC2E45"/>
    <w:rsid w:val="00AC5B7E"/>
    <w:rsid w:val="00AC6808"/>
    <w:rsid w:val="00AC72D2"/>
    <w:rsid w:val="00AD18B7"/>
    <w:rsid w:val="00AD2D24"/>
    <w:rsid w:val="00AD3B7A"/>
    <w:rsid w:val="00AD783E"/>
    <w:rsid w:val="00AE0630"/>
    <w:rsid w:val="00AE27A6"/>
    <w:rsid w:val="00AE37E1"/>
    <w:rsid w:val="00AF1B18"/>
    <w:rsid w:val="00AF34DC"/>
    <w:rsid w:val="00AF43CE"/>
    <w:rsid w:val="00AF75E0"/>
    <w:rsid w:val="00AF7E4C"/>
    <w:rsid w:val="00B06DEF"/>
    <w:rsid w:val="00B07029"/>
    <w:rsid w:val="00B1165A"/>
    <w:rsid w:val="00B21CD1"/>
    <w:rsid w:val="00B2253A"/>
    <w:rsid w:val="00B26599"/>
    <w:rsid w:val="00B32376"/>
    <w:rsid w:val="00B3310D"/>
    <w:rsid w:val="00B377A0"/>
    <w:rsid w:val="00B443A6"/>
    <w:rsid w:val="00B450D1"/>
    <w:rsid w:val="00B45AF1"/>
    <w:rsid w:val="00B4757B"/>
    <w:rsid w:val="00B526E7"/>
    <w:rsid w:val="00B52C4D"/>
    <w:rsid w:val="00B62B6B"/>
    <w:rsid w:val="00B647B2"/>
    <w:rsid w:val="00B662C1"/>
    <w:rsid w:val="00B677E4"/>
    <w:rsid w:val="00B83F8C"/>
    <w:rsid w:val="00B849DD"/>
    <w:rsid w:val="00B85200"/>
    <w:rsid w:val="00B937ED"/>
    <w:rsid w:val="00BA00A4"/>
    <w:rsid w:val="00BB3E1F"/>
    <w:rsid w:val="00BB74F2"/>
    <w:rsid w:val="00BB7EB3"/>
    <w:rsid w:val="00BC1D83"/>
    <w:rsid w:val="00BD3639"/>
    <w:rsid w:val="00BE3A46"/>
    <w:rsid w:val="00BF0FF1"/>
    <w:rsid w:val="00BF17C9"/>
    <w:rsid w:val="00BF641B"/>
    <w:rsid w:val="00C04DF9"/>
    <w:rsid w:val="00C061AD"/>
    <w:rsid w:val="00C07B3A"/>
    <w:rsid w:val="00C11B86"/>
    <w:rsid w:val="00C122EE"/>
    <w:rsid w:val="00C1510F"/>
    <w:rsid w:val="00C17AD7"/>
    <w:rsid w:val="00C17D31"/>
    <w:rsid w:val="00C2366F"/>
    <w:rsid w:val="00C26D91"/>
    <w:rsid w:val="00C30106"/>
    <w:rsid w:val="00C3012B"/>
    <w:rsid w:val="00C32A5A"/>
    <w:rsid w:val="00C33BDC"/>
    <w:rsid w:val="00C36213"/>
    <w:rsid w:val="00C36A8B"/>
    <w:rsid w:val="00C42183"/>
    <w:rsid w:val="00C44148"/>
    <w:rsid w:val="00C453B6"/>
    <w:rsid w:val="00C45A38"/>
    <w:rsid w:val="00C53B59"/>
    <w:rsid w:val="00C53DFF"/>
    <w:rsid w:val="00C70494"/>
    <w:rsid w:val="00C74F5A"/>
    <w:rsid w:val="00C75025"/>
    <w:rsid w:val="00C778A0"/>
    <w:rsid w:val="00C838C2"/>
    <w:rsid w:val="00C863C5"/>
    <w:rsid w:val="00C907D4"/>
    <w:rsid w:val="00C92607"/>
    <w:rsid w:val="00C92ECC"/>
    <w:rsid w:val="00C956EB"/>
    <w:rsid w:val="00C9636B"/>
    <w:rsid w:val="00C96939"/>
    <w:rsid w:val="00C96D58"/>
    <w:rsid w:val="00CA03DC"/>
    <w:rsid w:val="00CA23E7"/>
    <w:rsid w:val="00CA2CFE"/>
    <w:rsid w:val="00CA57F1"/>
    <w:rsid w:val="00CA5DA2"/>
    <w:rsid w:val="00CB74D1"/>
    <w:rsid w:val="00CB7ABC"/>
    <w:rsid w:val="00CC1C8B"/>
    <w:rsid w:val="00CC3259"/>
    <w:rsid w:val="00CC3449"/>
    <w:rsid w:val="00CC7F0D"/>
    <w:rsid w:val="00CC7F63"/>
    <w:rsid w:val="00CD023D"/>
    <w:rsid w:val="00CD065E"/>
    <w:rsid w:val="00CD1B3E"/>
    <w:rsid w:val="00CD245C"/>
    <w:rsid w:val="00CD6653"/>
    <w:rsid w:val="00CE1485"/>
    <w:rsid w:val="00CE1E56"/>
    <w:rsid w:val="00CE2062"/>
    <w:rsid w:val="00CE3CBB"/>
    <w:rsid w:val="00CE4521"/>
    <w:rsid w:val="00CE6CC8"/>
    <w:rsid w:val="00CE744F"/>
    <w:rsid w:val="00CF312C"/>
    <w:rsid w:val="00D0012D"/>
    <w:rsid w:val="00D01DE3"/>
    <w:rsid w:val="00D03345"/>
    <w:rsid w:val="00D06BF3"/>
    <w:rsid w:val="00D11509"/>
    <w:rsid w:val="00D11940"/>
    <w:rsid w:val="00D11DB8"/>
    <w:rsid w:val="00D12B67"/>
    <w:rsid w:val="00D14C1E"/>
    <w:rsid w:val="00D15362"/>
    <w:rsid w:val="00D17F8C"/>
    <w:rsid w:val="00D21808"/>
    <w:rsid w:val="00D24848"/>
    <w:rsid w:val="00D40A43"/>
    <w:rsid w:val="00D432F1"/>
    <w:rsid w:val="00D479AA"/>
    <w:rsid w:val="00D528BA"/>
    <w:rsid w:val="00D531A1"/>
    <w:rsid w:val="00D55B0B"/>
    <w:rsid w:val="00D6164B"/>
    <w:rsid w:val="00D63A5B"/>
    <w:rsid w:val="00D75B96"/>
    <w:rsid w:val="00D7648A"/>
    <w:rsid w:val="00D82954"/>
    <w:rsid w:val="00D86129"/>
    <w:rsid w:val="00D95EA8"/>
    <w:rsid w:val="00D971D1"/>
    <w:rsid w:val="00DA6F73"/>
    <w:rsid w:val="00DB1E0A"/>
    <w:rsid w:val="00DB1FEF"/>
    <w:rsid w:val="00DB62B8"/>
    <w:rsid w:val="00DB7823"/>
    <w:rsid w:val="00DC6E5F"/>
    <w:rsid w:val="00DD0EF0"/>
    <w:rsid w:val="00DD4A93"/>
    <w:rsid w:val="00DD61DE"/>
    <w:rsid w:val="00DE780E"/>
    <w:rsid w:val="00DF13FC"/>
    <w:rsid w:val="00DF7378"/>
    <w:rsid w:val="00E04D3E"/>
    <w:rsid w:val="00E06F97"/>
    <w:rsid w:val="00E07632"/>
    <w:rsid w:val="00E0779C"/>
    <w:rsid w:val="00E10288"/>
    <w:rsid w:val="00E10879"/>
    <w:rsid w:val="00E14F66"/>
    <w:rsid w:val="00E17385"/>
    <w:rsid w:val="00E21471"/>
    <w:rsid w:val="00E24619"/>
    <w:rsid w:val="00E25FAD"/>
    <w:rsid w:val="00E365CE"/>
    <w:rsid w:val="00E41F4D"/>
    <w:rsid w:val="00E41F8F"/>
    <w:rsid w:val="00E425A0"/>
    <w:rsid w:val="00E5437A"/>
    <w:rsid w:val="00E54C1A"/>
    <w:rsid w:val="00E579B9"/>
    <w:rsid w:val="00E601CD"/>
    <w:rsid w:val="00E61075"/>
    <w:rsid w:val="00E7017F"/>
    <w:rsid w:val="00E712AF"/>
    <w:rsid w:val="00E73C2D"/>
    <w:rsid w:val="00E751E3"/>
    <w:rsid w:val="00E7D7A9"/>
    <w:rsid w:val="00E80845"/>
    <w:rsid w:val="00E83EA2"/>
    <w:rsid w:val="00E84B6B"/>
    <w:rsid w:val="00E85B73"/>
    <w:rsid w:val="00E85D1B"/>
    <w:rsid w:val="00E8771D"/>
    <w:rsid w:val="00E87E46"/>
    <w:rsid w:val="00E91C7D"/>
    <w:rsid w:val="00EA0C2B"/>
    <w:rsid w:val="00EA386F"/>
    <w:rsid w:val="00EA5898"/>
    <w:rsid w:val="00EA63A4"/>
    <w:rsid w:val="00EA7FDF"/>
    <w:rsid w:val="00EB0F37"/>
    <w:rsid w:val="00EB5BB7"/>
    <w:rsid w:val="00EC729F"/>
    <w:rsid w:val="00ED070C"/>
    <w:rsid w:val="00ED1D8D"/>
    <w:rsid w:val="00EE01C1"/>
    <w:rsid w:val="00EE1AD2"/>
    <w:rsid w:val="00EE63ED"/>
    <w:rsid w:val="00EE6E5E"/>
    <w:rsid w:val="00EE71A0"/>
    <w:rsid w:val="00EF0FFA"/>
    <w:rsid w:val="00EF4A29"/>
    <w:rsid w:val="00EF5B29"/>
    <w:rsid w:val="00EF5D16"/>
    <w:rsid w:val="00F04521"/>
    <w:rsid w:val="00F05FBE"/>
    <w:rsid w:val="00F161C5"/>
    <w:rsid w:val="00F22C31"/>
    <w:rsid w:val="00F2304D"/>
    <w:rsid w:val="00F23671"/>
    <w:rsid w:val="00F3159B"/>
    <w:rsid w:val="00F319FB"/>
    <w:rsid w:val="00F3786B"/>
    <w:rsid w:val="00F424E4"/>
    <w:rsid w:val="00F449A3"/>
    <w:rsid w:val="00F45711"/>
    <w:rsid w:val="00F45E53"/>
    <w:rsid w:val="00F47279"/>
    <w:rsid w:val="00F50D3E"/>
    <w:rsid w:val="00F51FD8"/>
    <w:rsid w:val="00F544B9"/>
    <w:rsid w:val="00F55AFF"/>
    <w:rsid w:val="00F5649B"/>
    <w:rsid w:val="00F61145"/>
    <w:rsid w:val="00F65190"/>
    <w:rsid w:val="00F739DC"/>
    <w:rsid w:val="00F7444A"/>
    <w:rsid w:val="00F75061"/>
    <w:rsid w:val="00F755DB"/>
    <w:rsid w:val="00F816B6"/>
    <w:rsid w:val="00F85C9F"/>
    <w:rsid w:val="00F872FA"/>
    <w:rsid w:val="00F933B4"/>
    <w:rsid w:val="00F9483E"/>
    <w:rsid w:val="00F95C1A"/>
    <w:rsid w:val="00FA085A"/>
    <w:rsid w:val="00FA1010"/>
    <w:rsid w:val="00FA2D05"/>
    <w:rsid w:val="00FA4C4B"/>
    <w:rsid w:val="00FA6115"/>
    <w:rsid w:val="00FB5C3C"/>
    <w:rsid w:val="00FB6313"/>
    <w:rsid w:val="00FC2050"/>
    <w:rsid w:val="00FC27E0"/>
    <w:rsid w:val="00FC2F3E"/>
    <w:rsid w:val="00FC3FE1"/>
    <w:rsid w:val="00FC694B"/>
    <w:rsid w:val="00FC6C6D"/>
    <w:rsid w:val="00FD188C"/>
    <w:rsid w:val="00FD2281"/>
    <w:rsid w:val="00FD387F"/>
    <w:rsid w:val="00FD4855"/>
    <w:rsid w:val="00FD6C10"/>
    <w:rsid w:val="00FE5F65"/>
    <w:rsid w:val="00FE650C"/>
    <w:rsid w:val="00FF5913"/>
    <w:rsid w:val="011134B7"/>
    <w:rsid w:val="0112138E"/>
    <w:rsid w:val="01265C9C"/>
    <w:rsid w:val="01283E02"/>
    <w:rsid w:val="01539048"/>
    <w:rsid w:val="01606CEC"/>
    <w:rsid w:val="0177225D"/>
    <w:rsid w:val="0185E28A"/>
    <w:rsid w:val="01960E8D"/>
    <w:rsid w:val="01A9E7C5"/>
    <w:rsid w:val="01CC1FB4"/>
    <w:rsid w:val="01E4CABA"/>
    <w:rsid w:val="01F4AFB7"/>
    <w:rsid w:val="02321DDD"/>
    <w:rsid w:val="0274B3AB"/>
    <w:rsid w:val="02833067"/>
    <w:rsid w:val="02897E93"/>
    <w:rsid w:val="02A4124E"/>
    <w:rsid w:val="02B67C15"/>
    <w:rsid w:val="02C987EC"/>
    <w:rsid w:val="03171737"/>
    <w:rsid w:val="03556E5D"/>
    <w:rsid w:val="03569CF8"/>
    <w:rsid w:val="035ACA8C"/>
    <w:rsid w:val="037C1296"/>
    <w:rsid w:val="03881F07"/>
    <w:rsid w:val="0391C242"/>
    <w:rsid w:val="0398379E"/>
    <w:rsid w:val="03DC1640"/>
    <w:rsid w:val="03F56721"/>
    <w:rsid w:val="040BF4C1"/>
    <w:rsid w:val="041004E6"/>
    <w:rsid w:val="042B2FDE"/>
    <w:rsid w:val="04488A57"/>
    <w:rsid w:val="044A4375"/>
    <w:rsid w:val="0478598C"/>
    <w:rsid w:val="049A5B1E"/>
    <w:rsid w:val="04BD0417"/>
    <w:rsid w:val="052C5079"/>
    <w:rsid w:val="054578D6"/>
    <w:rsid w:val="0555E97A"/>
    <w:rsid w:val="056E0EEA"/>
    <w:rsid w:val="057D6DB1"/>
    <w:rsid w:val="057E4AA7"/>
    <w:rsid w:val="057FC209"/>
    <w:rsid w:val="05B26A0B"/>
    <w:rsid w:val="05C93F96"/>
    <w:rsid w:val="05CBE2C0"/>
    <w:rsid w:val="05E5CBA5"/>
    <w:rsid w:val="05E772A8"/>
    <w:rsid w:val="061DBE7A"/>
    <w:rsid w:val="0623F692"/>
    <w:rsid w:val="06324A78"/>
    <w:rsid w:val="0649821D"/>
    <w:rsid w:val="064CFF27"/>
    <w:rsid w:val="06717EF0"/>
    <w:rsid w:val="067B7045"/>
    <w:rsid w:val="067EFB21"/>
    <w:rsid w:val="06876F85"/>
    <w:rsid w:val="06C9B487"/>
    <w:rsid w:val="071D99D6"/>
    <w:rsid w:val="073E9FB7"/>
    <w:rsid w:val="07650FF7"/>
    <w:rsid w:val="0781E437"/>
    <w:rsid w:val="07D0E7E2"/>
    <w:rsid w:val="0801714F"/>
    <w:rsid w:val="0848DF72"/>
    <w:rsid w:val="0858D205"/>
    <w:rsid w:val="0863F13B"/>
    <w:rsid w:val="087365C0"/>
    <w:rsid w:val="0887EDDC"/>
    <w:rsid w:val="089AD8E1"/>
    <w:rsid w:val="08AA794C"/>
    <w:rsid w:val="08B39C64"/>
    <w:rsid w:val="08F5DCBC"/>
    <w:rsid w:val="08FB2983"/>
    <w:rsid w:val="0900E058"/>
    <w:rsid w:val="091413B2"/>
    <w:rsid w:val="091DB498"/>
    <w:rsid w:val="091E9A5C"/>
    <w:rsid w:val="0925F06A"/>
    <w:rsid w:val="09377AA7"/>
    <w:rsid w:val="0949D271"/>
    <w:rsid w:val="096D784F"/>
    <w:rsid w:val="097A042F"/>
    <w:rsid w:val="098658BB"/>
    <w:rsid w:val="099F8118"/>
    <w:rsid w:val="09CDAF8C"/>
    <w:rsid w:val="09EBAD8F"/>
    <w:rsid w:val="09FC56CB"/>
    <w:rsid w:val="0A491BD7"/>
    <w:rsid w:val="0A5FA66B"/>
    <w:rsid w:val="0A693DAE"/>
    <w:rsid w:val="0A6CBDF5"/>
    <w:rsid w:val="0A83417E"/>
    <w:rsid w:val="0A9CB0B9"/>
    <w:rsid w:val="0AE2ABF7"/>
    <w:rsid w:val="0AE31BE2"/>
    <w:rsid w:val="0AFFC74E"/>
    <w:rsid w:val="0B266BC6"/>
    <w:rsid w:val="0B26CD11"/>
    <w:rsid w:val="0B4AE460"/>
    <w:rsid w:val="0B6C946C"/>
    <w:rsid w:val="0BACB8C7"/>
    <w:rsid w:val="0BB8FBB3"/>
    <w:rsid w:val="0BDC5A22"/>
    <w:rsid w:val="0BE860B6"/>
    <w:rsid w:val="0C2B0817"/>
    <w:rsid w:val="0C52252A"/>
    <w:rsid w:val="0D0A1A03"/>
    <w:rsid w:val="0D24BB44"/>
    <w:rsid w:val="0DA99D6E"/>
    <w:rsid w:val="0DB1BC70"/>
    <w:rsid w:val="0E42B932"/>
    <w:rsid w:val="0E98C311"/>
    <w:rsid w:val="0EB90F1B"/>
    <w:rsid w:val="0EC3127D"/>
    <w:rsid w:val="0ED332BF"/>
    <w:rsid w:val="0EF3B045"/>
    <w:rsid w:val="0F4035F6"/>
    <w:rsid w:val="0F7A75FA"/>
    <w:rsid w:val="0F8B1A54"/>
    <w:rsid w:val="0FC10080"/>
    <w:rsid w:val="100D7F53"/>
    <w:rsid w:val="101D9321"/>
    <w:rsid w:val="1049F5A1"/>
    <w:rsid w:val="10692AF7"/>
    <w:rsid w:val="1087781D"/>
    <w:rsid w:val="10E69094"/>
    <w:rsid w:val="114BD3B9"/>
    <w:rsid w:val="114EF8AE"/>
    <w:rsid w:val="11544CDE"/>
    <w:rsid w:val="115F27D9"/>
    <w:rsid w:val="116AF59C"/>
    <w:rsid w:val="11BC3F9D"/>
    <w:rsid w:val="11D1AD1F"/>
    <w:rsid w:val="11E53EAF"/>
    <w:rsid w:val="11EBB6ED"/>
    <w:rsid w:val="120539C9"/>
    <w:rsid w:val="1205A898"/>
    <w:rsid w:val="121025D4"/>
    <w:rsid w:val="12359B72"/>
    <w:rsid w:val="125BC412"/>
    <w:rsid w:val="127513F2"/>
    <w:rsid w:val="128A584F"/>
    <w:rsid w:val="129E4197"/>
    <w:rsid w:val="12BC0957"/>
    <w:rsid w:val="12CE3317"/>
    <w:rsid w:val="12F20B55"/>
    <w:rsid w:val="130EA271"/>
    <w:rsid w:val="131D0DF3"/>
    <w:rsid w:val="1320CD2A"/>
    <w:rsid w:val="132E23C2"/>
    <w:rsid w:val="135D055F"/>
    <w:rsid w:val="135EEC7B"/>
    <w:rsid w:val="13B67D0E"/>
    <w:rsid w:val="13B9D70D"/>
    <w:rsid w:val="13C7533E"/>
    <w:rsid w:val="13FA5668"/>
    <w:rsid w:val="14139296"/>
    <w:rsid w:val="14291D5A"/>
    <w:rsid w:val="14606E3D"/>
    <w:rsid w:val="1492DE0C"/>
    <w:rsid w:val="14B688E8"/>
    <w:rsid w:val="14CABD71"/>
    <w:rsid w:val="14E5FCFD"/>
    <w:rsid w:val="150CBD7B"/>
    <w:rsid w:val="1526B928"/>
    <w:rsid w:val="152A481B"/>
    <w:rsid w:val="1577A1B5"/>
    <w:rsid w:val="15CE27A4"/>
    <w:rsid w:val="15D8E279"/>
    <w:rsid w:val="15FA52CC"/>
    <w:rsid w:val="1603B2F5"/>
    <w:rsid w:val="1647D6B4"/>
    <w:rsid w:val="166CB4F0"/>
    <w:rsid w:val="16922A8E"/>
    <w:rsid w:val="16971824"/>
    <w:rsid w:val="16B08C05"/>
    <w:rsid w:val="16EAD1AB"/>
    <w:rsid w:val="1726850D"/>
    <w:rsid w:val="17AE884F"/>
    <w:rsid w:val="17C3D56F"/>
    <w:rsid w:val="17C467BF"/>
    <w:rsid w:val="1800AC24"/>
    <w:rsid w:val="183BDBC7"/>
    <w:rsid w:val="18796FEA"/>
    <w:rsid w:val="1880D2B6"/>
    <w:rsid w:val="18933C7D"/>
    <w:rsid w:val="18B93F6B"/>
    <w:rsid w:val="18CD84CC"/>
    <w:rsid w:val="18D0EECA"/>
    <w:rsid w:val="19024622"/>
    <w:rsid w:val="1924B23F"/>
    <w:rsid w:val="192D1991"/>
    <w:rsid w:val="19758C20"/>
    <w:rsid w:val="1A20744D"/>
    <w:rsid w:val="1AA8BC04"/>
    <w:rsid w:val="1AAD1CBA"/>
    <w:rsid w:val="1B3C559D"/>
    <w:rsid w:val="1B5FA764"/>
    <w:rsid w:val="1B8B114F"/>
    <w:rsid w:val="1BCC6723"/>
    <w:rsid w:val="1C1692C4"/>
    <w:rsid w:val="1C19C5D0"/>
    <w:rsid w:val="1C2EE908"/>
    <w:rsid w:val="1C63C05A"/>
    <w:rsid w:val="1C8DB532"/>
    <w:rsid w:val="1C8E8D4B"/>
    <w:rsid w:val="1CC585C6"/>
    <w:rsid w:val="1CCB32B8"/>
    <w:rsid w:val="1CD37271"/>
    <w:rsid w:val="1CDE22FB"/>
    <w:rsid w:val="1D07BEEF"/>
    <w:rsid w:val="1D438980"/>
    <w:rsid w:val="1D5CDD8D"/>
    <w:rsid w:val="1D6AD3FF"/>
    <w:rsid w:val="1D7555AD"/>
    <w:rsid w:val="1DAEB7DD"/>
    <w:rsid w:val="1DBCAD1D"/>
    <w:rsid w:val="1DBCEE42"/>
    <w:rsid w:val="1DDFBA33"/>
    <w:rsid w:val="1DEBADE8"/>
    <w:rsid w:val="1DEEAF24"/>
    <w:rsid w:val="1E009F88"/>
    <w:rsid w:val="1E0B2F39"/>
    <w:rsid w:val="1E0F340F"/>
    <w:rsid w:val="1E31B343"/>
    <w:rsid w:val="1E7D23AA"/>
    <w:rsid w:val="1EC66D5E"/>
    <w:rsid w:val="1EF501A5"/>
    <w:rsid w:val="1F2FAE54"/>
    <w:rsid w:val="1F43C843"/>
    <w:rsid w:val="1F4925E4"/>
    <w:rsid w:val="1F4A883E"/>
    <w:rsid w:val="1FC6235A"/>
    <w:rsid w:val="1FCD5806"/>
    <w:rsid w:val="1FE5061D"/>
    <w:rsid w:val="1FFA0B17"/>
    <w:rsid w:val="2006E150"/>
    <w:rsid w:val="200C4128"/>
    <w:rsid w:val="20247C24"/>
    <w:rsid w:val="20478836"/>
    <w:rsid w:val="20767BDF"/>
    <w:rsid w:val="2084C40C"/>
    <w:rsid w:val="20B97DAE"/>
    <w:rsid w:val="20C86FA1"/>
    <w:rsid w:val="20E6589F"/>
    <w:rsid w:val="21098538"/>
    <w:rsid w:val="210DE5EE"/>
    <w:rsid w:val="210DF43D"/>
    <w:rsid w:val="21137E5A"/>
    <w:rsid w:val="21392A8D"/>
    <w:rsid w:val="216941B8"/>
    <w:rsid w:val="21744C44"/>
    <w:rsid w:val="21937721"/>
    <w:rsid w:val="21DB3629"/>
    <w:rsid w:val="21E6180C"/>
    <w:rsid w:val="2229CC4D"/>
    <w:rsid w:val="22EA00F9"/>
    <w:rsid w:val="22F5061C"/>
    <w:rsid w:val="22FC67F7"/>
    <w:rsid w:val="23312768"/>
    <w:rsid w:val="237B4032"/>
    <w:rsid w:val="2392B833"/>
    <w:rsid w:val="23A1C0A2"/>
    <w:rsid w:val="23B452C8"/>
    <w:rsid w:val="23FB4BF5"/>
    <w:rsid w:val="242D84F1"/>
    <w:rsid w:val="243721BE"/>
    <w:rsid w:val="244C771C"/>
    <w:rsid w:val="2490D67D"/>
    <w:rsid w:val="24D7F891"/>
    <w:rsid w:val="2516E710"/>
    <w:rsid w:val="25171093"/>
    <w:rsid w:val="252C4BC2"/>
    <w:rsid w:val="2539C340"/>
    <w:rsid w:val="2543B70A"/>
    <w:rsid w:val="2574F113"/>
    <w:rsid w:val="258433E4"/>
    <w:rsid w:val="259221E5"/>
    <w:rsid w:val="2594D83E"/>
    <w:rsid w:val="25B5ED10"/>
    <w:rsid w:val="25DB949A"/>
    <w:rsid w:val="25E2A6AF"/>
    <w:rsid w:val="25F62855"/>
    <w:rsid w:val="2608921C"/>
    <w:rsid w:val="262CA6DE"/>
    <w:rsid w:val="263332A3"/>
    <w:rsid w:val="263B2029"/>
    <w:rsid w:val="26A8B2FF"/>
    <w:rsid w:val="26BB62F5"/>
    <w:rsid w:val="26BD69BE"/>
    <w:rsid w:val="2705032B"/>
    <w:rsid w:val="2731B1C0"/>
    <w:rsid w:val="273579BF"/>
    <w:rsid w:val="275423E5"/>
    <w:rsid w:val="27783713"/>
    <w:rsid w:val="27BCBE58"/>
    <w:rsid w:val="27C8773F"/>
    <w:rsid w:val="27CA0AEC"/>
    <w:rsid w:val="27E59BDC"/>
    <w:rsid w:val="27F11421"/>
    <w:rsid w:val="283B04E7"/>
    <w:rsid w:val="285B80AE"/>
    <w:rsid w:val="28F16A84"/>
    <w:rsid w:val="2903C3E7"/>
    <w:rsid w:val="2937E1AC"/>
    <w:rsid w:val="295806B3"/>
    <w:rsid w:val="296447A0"/>
    <w:rsid w:val="29698B30"/>
    <w:rsid w:val="2972C0EB"/>
    <w:rsid w:val="29751C75"/>
    <w:rsid w:val="2996F641"/>
    <w:rsid w:val="29C02813"/>
    <w:rsid w:val="29C394F7"/>
    <w:rsid w:val="29D12FD6"/>
    <w:rsid w:val="29E5B096"/>
    <w:rsid w:val="29F7AFCE"/>
    <w:rsid w:val="2A01419B"/>
    <w:rsid w:val="2A37B96D"/>
    <w:rsid w:val="2AA77DD9"/>
    <w:rsid w:val="2AD47B5B"/>
    <w:rsid w:val="2AEF9824"/>
    <w:rsid w:val="2B089C1A"/>
    <w:rsid w:val="2B2C2240"/>
    <w:rsid w:val="2B5FB572"/>
    <w:rsid w:val="2B924C2A"/>
    <w:rsid w:val="2BA8146A"/>
    <w:rsid w:val="2BBE7D54"/>
    <w:rsid w:val="2BD5AE7A"/>
    <w:rsid w:val="2C15CE23"/>
    <w:rsid w:val="2C16BE92"/>
    <w:rsid w:val="2C45FCE1"/>
    <w:rsid w:val="2C577948"/>
    <w:rsid w:val="2C780671"/>
    <w:rsid w:val="2C78E623"/>
    <w:rsid w:val="2C9BE878"/>
    <w:rsid w:val="2CA0D60E"/>
    <w:rsid w:val="2CAA61AD"/>
    <w:rsid w:val="2D3F31D6"/>
    <w:rsid w:val="2D8B62B4"/>
    <w:rsid w:val="2DAB0990"/>
    <w:rsid w:val="2DB68EB2"/>
    <w:rsid w:val="2DBED3FC"/>
    <w:rsid w:val="2DC4C849"/>
    <w:rsid w:val="2DE54F9B"/>
    <w:rsid w:val="2E1DA20B"/>
    <w:rsid w:val="2E35F430"/>
    <w:rsid w:val="2E4599B1"/>
    <w:rsid w:val="2E51DD55"/>
    <w:rsid w:val="2E563E0B"/>
    <w:rsid w:val="2E8DFEF8"/>
    <w:rsid w:val="2EAEA71A"/>
    <w:rsid w:val="2EC277C2"/>
    <w:rsid w:val="2ED32E08"/>
    <w:rsid w:val="2ED8A30A"/>
    <w:rsid w:val="2ED9632B"/>
    <w:rsid w:val="2EDD8D0E"/>
    <w:rsid w:val="2EFE18A8"/>
    <w:rsid w:val="2F1E6CD0"/>
    <w:rsid w:val="2F21F213"/>
    <w:rsid w:val="2F2E7029"/>
    <w:rsid w:val="2F4312B5"/>
    <w:rsid w:val="2FD38924"/>
    <w:rsid w:val="2FEAA172"/>
    <w:rsid w:val="2FF196E4"/>
    <w:rsid w:val="2FFFEF44"/>
    <w:rsid w:val="3028F73A"/>
    <w:rsid w:val="3087A620"/>
    <w:rsid w:val="30DE31C9"/>
    <w:rsid w:val="30E615A8"/>
    <w:rsid w:val="30E796B6"/>
    <w:rsid w:val="30EE19B0"/>
    <w:rsid w:val="30F06411"/>
    <w:rsid w:val="312E3998"/>
    <w:rsid w:val="3140E22E"/>
    <w:rsid w:val="316D7C10"/>
    <w:rsid w:val="317A3B7E"/>
    <w:rsid w:val="31F74A5F"/>
    <w:rsid w:val="31F785BB"/>
    <w:rsid w:val="322050AE"/>
    <w:rsid w:val="3269CD04"/>
    <w:rsid w:val="32836717"/>
    <w:rsid w:val="32B1C670"/>
    <w:rsid w:val="32CC8C01"/>
    <w:rsid w:val="32DCB28F"/>
    <w:rsid w:val="32F1132E"/>
    <w:rsid w:val="3323ECB7"/>
    <w:rsid w:val="333E8072"/>
    <w:rsid w:val="3386D5C4"/>
    <w:rsid w:val="33B88C95"/>
    <w:rsid w:val="33F56BD2"/>
    <w:rsid w:val="340010CF"/>
    <w:rsid w:val="3402A38F"/>
    <w:rsid w:val="3462945E"/>
    <w:rsid w:val="34785FA4"/>
    <w:rsid w:val="347E0A59"/>
    <w:rsid w:val="34B57392"/>
    <w:rsid w:val="35396C3E"/>
    <w:rsid w:val="353B9822"/>
    <w:rsid w:val="353DCCF4"/>
    <w:rsid w:val="3557E748"/>
    <w:rsid w:val="355EE1DC"/>
    <w:rsid w:val="35623BDB"/>
    <w:rsid w:val="360832FC"/>
    <w:rsid w:val="3615FF12"/>
    <w:rsid w:val="3631110E"/>
    <w:rsid w:val="365E3E49"/>
    <w:rsid w:val="366A4542"/>
    <w:rsid w:val="367FDD47"/>
    <w:rsid w:val="368039C9"/>
    <w:rsid w:val="3681CD60"/>
    <w:rsid w:val="36B1405C"/>
    <w:rsid w:val="36C51790"/>
    <w:rsid w:val="37089315"/>
    <w:rsid w:val="3717A3D8"/>
    <w:rsid w:val="373DF939"/>
    <w:rsid w:val="374EB108"/>
    <w:rsid w:val="3755C275"/>
    <w:rsid w:val="37562A50"/>
    <w:rsid w:val="375A0AFB"/>
    <w:rsid w:val="375E0183"/>
    <w:rsid w:val="3764712D"/>
    <w:rsid w:val="376B94C0"/>
    <w:rsid w:val="37716F02"/>
    <w:rsid w:val="3796ACAF"/>
    <w:rsid w:val="37B6F85B"/>
    <w:rsid w:val="37DF8D16"/>
    <w:rsid w:val="37EA205F"/>
    <w:rsid w:val="37ED1454"/>
    <w:rsid w:val="38013EF3"/>
    <w:rsid w:val="381CD378"/>
    <w:rsid w:val="38235515"/>
    <w:rsid w:val="384B833F"/>
    <w:rsid w:val="384F13AF"/>
    <w:rsid w:val="3860E7F1"/>
    <w:rsid w:val="389A46B4"/>
    <w:rsid w:val="38A3E03C"/>
    <w:rsid w:val="38B1CB6B"/>
    <w:rsid w:val="38F192D6"/>
    <w:rsid w:val="390DD3E4"/>
    <w:rsid w:val="390F7BD4"/>
    <w:rsid w:val="393D62CB"/>
    <w:rsid w:val="396A5F99"/>
    <w:rsid w:val="3973DFBB"/>
    <w:rsid w:val="397B1233"/>
    <w:rsid w:val="39B12E63"/>
    <w:rsid w:val="39B1592C"/>
    <w:rsid w:val="39BECAF7"/>
    <w:rsid w:val="39E44095"/>
    <w:rsid w:val="3A231987"/>
    <w:rsid w:val="3A47B230"/>
    <w:rsid w:val="3A563506"/>
    <w:rsid w:val="3A9F66D1"/>
    <w:rsid w:val="3AAB4C35"/>
    <w:rsid w:val="3AC82538"/>
    <w:rsid w:val="3B072C19"/>
    <w:rsid w:val="3B1D3DB5"/>
    <w:rsid w:val="3B21F4BC"/>
    <w:rsid w:val="3B35DBE0"/>
    <w:rsid w:val="3B421ECC"/>
    <w:rsid w:val="3B4A917C"/>
    <w:rsid w:val="3B590F17"/>
    <w:rsid w:val="3B8DF1CE"/>
    <w:rsid w:val="3B98A039"/>
    <w:rsid w:val="3BA46367"/>
    <w:rsid w:val="3BE3BBD3"/>
    <w:rsid w:val="3BE55284"/>
    <w:rsid w:val="3C125006"/>
    <w:rsid w:val="3C230536"/>
    <w:rsid w:val="3C2F2618"/>
    <w:rsid w:val="3C8BE19A"/>
    <w:rsid w:val="3CB270E9"/>
    <w:rsid w:val="3CB5129B"/>
    <w:rsid w:val="3CBBF206"/>
    <w:rsid w:val="3CC0CF7D"/>
    <w:rsid w:val="3CDB4086"/>
    <w:rsid w:val="3CDDEF2D"/>
    <w:rsid w:val="3CE96E39"/>
    <w:rsid w:val="3CFBC88E"/>
    <w:rsid w:val="3D282141"/>
    <w:rsid w:val="3D4990D8"/>
    <w:rsid w:val="3D993D61"/>
    <w:rsid w:val="3DBBD364"/>
    <w:rsid w:val="3DBF2968"/>
    <w:rsid w:val="3DC64752"/>
    <w:rsid w:val="3DE90B7F"/>
    <w:rsid w:val="3E2047A9"/>
    <w:rsid w:val="3E432B3C"/>
    <w:rsid w:val="3E528F11"/>
    <w:rsid w:val="3E79BF8E"/>
    <w:rsid w:val="3E8AB436"/>
    <w:rsid w:val="3EA05ED7"/>
    <w:rsid w:val="3EAB5A79"/>
    <w:rsid w:val="3ED16E9C"/>
    <w:rsid w:val="3EDC0429"/>
    <w:rsid w:val="3EE1E57C"/>
    <w:rsid w:val="3F42D17F"/>
    <w:rsid w:val="3F5D12B8"/>
    <w:rsid w:val="3F5D7675"/>
    <w:rsid w:val="3F68A8CB"/>
    <w:rsid w:val="3FF19A74"/>
    <w:rsid w:val="3FF35622"/>
    <w:rsid w:val="40122D5A"/>
    <w:rsid w:val="40258878"/>
    <w:rsid w:val="402D8A79"/>
    <w:rsid w:val="403AF3BE"/>
    <w:rsid w:val="40564D45"/>
    <w:rsid w:val="405788F0"/>
    <w:rsid w:val="405B6EA4"/>
    <w:rsid w:val="407E9023"/>
    <w:rsid w:val="4084F657"/>
    <w:rsid w:val="40A14ABC"/>
    <w:rsid w:val="40E25039"/>
    <w:rsid w:val="40F0DE75"/>
    <w:rsid w:val="40F1451C"/>
    <w:rsid w:val="411A8DB9"/>
    <w:rsid w:val="413EFFA8"/>
    <w:rsid w:val="415D4540"/>
    <w:rsid w:val="418D6AD5"/>
    <w:rsid w:val="41B90CEC"/>
    <w:rsid w:val="41C7A758"/>
    <w:rsid w:val="41CF39B1"/>
    <w:rsid w:val="41D9AF66"/>
    <w:rsid w:val="41DB9BBA"/>
    <w:rsid w:val="422C0538"/>
    <w:rsid w:val="4253E577"/>
    <w:rsid w:val="4281C45B"/>
    <w:rsid w:val="4283D039"/>
    <w:rsid w:val="42B34DC1"/>
    <w:rsid w:val="4310347E"/>
    <w:rsid w:val="43293B36"/>
    <w:rsid w:val="435544DC"/>
    <w:rsid w:val="435E572F"/>
    <w:rsid w:val="436A75DF"/>
    <w:rsid w:val="436E3501"/>
    <w:rsid w:val="437C5979"/>
    <w:rsid w:val="438E7CDA"/>
    <w:rsid w:val="43BC1378"/>
    <w:rsid w:val="43C891E6"/>
    <w:rsid w:val="43E22508"/>
    <w:rsid w:val="44103DE4"/>
    <w:rsid w:val="443F1BA5"/>
    <w:rsid w:val="445AC6CE"/>
    <w:rsid w:val="445B9B3F"/>
    <w:rsid w:val="445FFBF5"/>
    <w:rsid w:val="449928E0"/>
    <w:rsid w:val="449E5C0E"/>
    <w:rsid w:val="44A8D95C"/>
    <w:rsid w:val="44E260F4"/>
    <w:rsid w:val="44E3F0DE"/>
    <w:rsid w:val="44F13282"/>
    <w:rsid w:val="44F995D5"/>
    <w:rsid w:val="452D4C30"/>
    <w:rsid w:val="45382E13"/>
    <w:rsid w:val="4581335A"/>
    <w:rsid w:val="45A75EF8"/>
    <w:rsid w:val="45D603AC"/>
    <w:rsid w:val="45DA410C"/>
    <w:rsid w:val="4648A5A8"/>
    <w:rsid w:val="467469BC"/>
    <w:rsid w:val="469EEE92"/>
    <w:rsid w:val="46AD8CB7"/>
    <w:rsid w:val="46BC37D8"/>
    <w:rsid w:val="46C3B0C8"/>
    <w:rsid w:val="46C46A1E"/>
    <w:rsid w:val="473FBE12"/>
    <w:rsid w:val="47420253"/>
    <w:rsid w:val="47440DFB"/>
    <w:rsid w:val="47948281"/>
    <w:rsid w:val="479E8D23"/>
    <w:rsid w:val="47B7E976"/>
    <w:rsid w:val="47BA96E1"/>
    <w:rsid w:val="47E47609"/>
    <w:rsid w:val="481364B0"/>
    <w:rsid w:val="4825C47A"/>
    <w:rsid w:val="482A0E98"/>
    <w:rsid w:val="484F8436"/>
    <w:rsid w:val="48A57255"/>
    <w:rsid w:val="48BB845A"/>
    <w:rsid w:val="48BC6001"/>
    <w:rsid w:val="48C4AA57"/>
    <w:rsid w:val="48D649EB"/>
    <w:rsid w:val="492DAAA1"/>
    <w:rsid w:val="49483E5C"/>
    <w:rsid w:val="4968BAA1"/>
    <w:rsid w:val="496A0563"/>
    <w:rsid w:val="4980466A"/>
    <w:rsid w:val="4995C6E5"/>
    <w:rsid w:val="499706EC"/>
    <w:rsid w:val="49CB002B"/>
    <w:rsid w:val="49E6F374"/>
    <w:rsid w:val="4A041752"/>
    <w:rsid w:val="4A0ED5D8"/>
    <w:rsid w:val="4A1AA9EA"/>
    <w:rsid w:val="4A24CA83"/>
    <w:rsid w:val="4A2525BD"/>
    <w:rsid w:val="4A6D17F6"/>
    <w:rsid w:val="4AECAFBD"/>
    <w:rsid w:val="4B020B8B"/>
    <w:rsid w:val="4B24B828"/>
    <w:rsid w:val="4B3BD41A"/>
    <w:rsid w:val="4B432A28"/>
    <w:rsid w:val="4B520A34"/>
    <w:rsid w:val="4B615C75"/>
    <w:rsid w:val="4B75BA37"/>
    <w:rsid w:val="4B7B8A20"/>
    <w:rsid w:val="4BAA1B4B"/>
    <w:rsid w:val="4BAB7154"/>
    <w:rsid w:val="4BDCBCD3"/>
    <w:rsid w:val="4BDF00EE"/>
    <w:rsid w:val="4BDF4D0F"/>
    <w:rsid w:val="4BF919BF"/>
    <w:rsid w:val="4BFC4B19"/>
    <w:rsid w:val="4C18C04B"/>
    <w:rsid w:val="4C24966F"/>
    <w:rsid w:val="4C5E212C"/>
    <w:rsid w:val="4C89F7B3"/>
    <w:rsid w:val="4CB100E8"/>
    <w:rsid w:val="4CCF36D3"/>
    <w:rsid w:val="4D37C69D"/>
    <w:rsid w:val="4D4276AA"/>
    <w:rsid w:val="4D5B0F15"/>
    <w:rsid w:val="4D61AA9F"/>
    <w:rsid w:val="4D850FA3"/>
    <w:rsid w:val="4DA2332A"/>
    <w:rsid w:val="4DC066D0"/>
    <w:rsid w:val="4DC17294"/>
    <w:rsid w:val="4DE8BDB0"/>
    <w:rsid w:val="4E194B97"/>
    <w:rsid w:val="4E2276DB"/>
    <w:rsid w:val="4E23B063"/>
    <w:rsid w:val="4E269162"/>
    <w:rsid w:val="4E30F228"/>
    <w:rsid w:val="4E63C3CA"/>
    <w:rsid w:val="4E6B41AD"/>
    <w:rsid w:val="4EB452EE"/>
    <w:rsid w:val="4ED93263"/>
    <w:rsid w:val="4EEEDAD2"/>
    <w:rsid w:val="4F1791CE"/>
    <w:rsid w:val="4F62FD4C"/>
    <w:rsid w:val="4FD535D7"/>
    <w:rsid w:val="4FEDFE7F"/>
    <w:rsid w:val="4FF7E738"/>
    <w:rsid w:val="50006846"/>
    <w:rsid w:val="501E3DD3"/>
    <w:rsid w:val="50415C95"/>
    <w:rsid w:val="505FF2F0"/>
    <w:rsid w:val="506B9F06"/>
    <w:rsid w:val="50866430"/>
    <w:rsid w:val="50A94E43"/>
    <w:rsid w:val="50DB58A8"/>
    <w:rsid w:val="50EF25B8"/>
    <w:rsid w:val="50F168B2"/>
    <w:rsid w:val="50F8BFA0"/>
    <w:rsid w:val="510F11C6"/>
    <w:rsid w:val="5110EA03"/>
    <w:rsid w:val="51167ED9"/>
    <w:rsid w:val="5116DE50"/>
    <w:rsid w:val="5122B17A"/>
    <w:rsid w:val="514C5834"/>
    <w:rsid w:val="51612C10"/>
    <w:rsid w:val="516763D0"/>
    <w:rsid w:val="51A85412"/>
    <w:rsid w:val="51D0D5C3"/>
    <w:rsid w:val="51F26289"/>
    <w:rsid w:val="520BE9DF"/>
    <w:rsid w:val="522AB911"/>
    <w:rsid w:val="52502EAF"/>
    <w:rsid w:val="52617601"/>
    <w:rsid w:val="526F0993"/>
    <w:rsid w:val="52808630"/>
    <w:rsid w:val="52B74E53"/>
    <w:rsid w:val="52CB0E7A"/>
    <w:rsid w:val="53228CBB"/>
    <w:rsid w:val="532728B0"/>
    <w:rsid w:val="534E2251"/>
    <w:rsid w:val="536D8B3A"/>
    <w:rsid w:val="53CABDF0"/>
    <w:rsid w:val="53D923AB"/>
    <w:rsid w:val="53D97BF9"/>
    <w:rsid w:val="5408F0AB"/>
    <w:rsid w:val="540E522B"/>
    <w:rsid w:val="541DD9B8"/>
    <w:rsid w:val="543492C4"/>
    <w:rsid w:val="544F7B31"/>
    <w:rsid w:val="545CA4D3"/>
    <w:rsid w:val="5462E390"/>
    <w:rsid w:val="54660844"/>
    <w:rsid w:val="546D1AEA"/>
    <w:rsid w:val="54838BCB"/>
    <w:rsid w:val="548F7A6E"/>
    <w:rsid w:val="54A6EF45"/>
    <w:rsid w:val="54A89826"/>
    <w:rsid w:val="54B6F391"/>
    <w:rsid w:val="54BB7B55"/>
    <w:rsid w:val="54E9F2B2"/>
    <w:rsid w:val="552503DD"/>
    <w:rsid w:val="557266B5"/>
    <w:rsid w:val="5572988B"/>
    <w:rsid w:val="55881BEB"/>
    <w:rsid w:val="5599E054"/>
    <w:rsid w:val="55A32D5F"/>
    <w:rsid w:val="55CA4540"/>
    <w:rsid w:val="55D57553"/>
    <w:rsid w:val="5603DC77"/>
    <w:rsid w:val="562F4662"/>
    <w:rsid w:val="5630B35F"/>
    <w:rsid w:val="5634D7FC"/>
    <w:rsid w:val="56401C7C"/>
    <w:rsid w:val="566C9C48"/>
    <w:rsid w:val="56A30040"/>
    <w:rsid w:val="56A4E9C7"/>
    <w:rsid w:val="56B1AB61"/>
    <w:rsid w:val="56D58D68"/>
    <w:rsid w:val="56D86405"/>
    <w:rsid w:val="56EDD41E"/>
    <w:rsid w:val="56F9DEB9"/>
    <w:rsid w:val="572BD508"/>
    <w:rsid w:val="575ECDC3"/>
    <w:rsid w:val="57674916"/>
    <w:rsid w:val="5797BDF3"/>
    <w:rsid w:val="57CB02A1"/>
    <w:rsid w:val="57DD41BA"/>
    <w:rsid w:val="580BA6D3"/>
    <w:rsid w:val="5818C877"/>
    <w:rsid w:val="5822C6E0"/>
    <w:rsid w:val="58343A72"/>
    <w:rsid w:val="587A8D9D"/>
    <w:rsid w:val="588B8245"/>
    <w:rsid w:val="58B451E2"/>
    <w:rsid w:val="58CC3687"/>
    <w:rsid w:val="591F3FA9"/>
    <w:rsid w:val="591F4CED"/>
    <w:rsid w:val="5940DA0E"/>
    <w:rsid w:val="59426DA5"/>
    <w:rsid w:val="5955B48D"/>
    <w:rsid w:val="595FF466"/>
    <w:rsid w:val="59681519"/>
    <w:rsid w:val="59983AC4"/>
    <w:rsid w:val="59D24FD0"/>
    <w:rsid w:val="59DC9575"/>
    <w:rsid w:val="59F0B66D"/>
    <w:rsid w:val="59FEF62A"/>
    <w:rsid w:val="5A0A3F4E"/>
    <w:rsid w:val="5A200368"/>
    <w:rsid w:val="5A555CD7"/>
    <w:rsid w:val="5A5AA91C"/>
    <w:rsid w:val="5A5B05D6"/>
    <w:rsid w:val="5A69B9DF"/>
    <w:rsid w:val="5A74B56B"/>
    <w:rsid w:val="5A8751B8"/>
    <w:rsid w:val="5A8FC6DF"/>
    <w:rsid w:val="5A9EE9D8"/>
    <w:rsid w:val="5AE514B6"/>
    <w:rsid w:val="5B097F31"/>
    <w:rsid w:val="5B17D11B"/>
    <w:rsid w:val="5B5DE807"/>
    <w:rsid w:val="5B6EE97F"/>
    <w:rsid w:val="5B82F46F"/>
    <w:rsid w:val="5B99AFED"/>
    <w:rsid w:val="5BADAE54"/>
    <w:rsid w:val="5BCE7429"/>
    <w:rsid w:val="5BF46475"/>
    <w:rsid w:val="5BFE90A9"/>
    <w:rsid w:val="5C26F9A7"/>
    <w:rsid w:val="5C36F362"/>
    <w:rsid w:val="5C5FE9EB"/>
    <w:rsid w:val="5D0631D6"/>
    <w:rsid w:val="5D10E0FE"/>
    <w:rsid w:val="5D36569C"/>
    <w:rsid w:val="5D413205"/>
    <w:rsid w:val="5D5A59AE"/>
    <w:rsid w:val="5D5D8576"/>
    <w:rsid w:val="5D690A3C"/>
    <w:rsid w:val="5D7CE122"/>
    <w:rsid w:val="5DA84B0D"/>
    <w:rsid w:val="5DAE3F44"/>
    <w:rsid w:val="5DC1CDE9"/>
    <w:rsid w:val="5DE1ACC1"/>
    <w:rsid w:val="5DFEED71"/>
    <w:rsid w:val="5E052B22"/>
    <w:rsid w:val="5E2CB360"/>
    <w:rsid w:val="5E30B522"/>
    <w:rsid w:val="5E57BD9D"/>
    <w:rsid w:val="5E594220"/>
    <w:rsid w:val="5E6449BD"/>
    <w:rsid w:val="5EA7BDC0"/>
    <w:rsid w:val="5EDC28AE"/>
    <w:rsid w:val="5EDDBEFB"/>
    <w:rsid w:val="5EE007D5"/>
    <w:rsid w:val="5EF0AC2F"/>
    <w:rsid w:val="5F173EBB"/>
    <w:rsid w:val="5F18FA6C"/>
    <w:rsid w:val="5F218D19"/>
    <w:rsid w:val="5F448053"/>
    <w:rsid w:val="5F51FC46"/>
    <w:rsid w:val="5F7D2992"/>
    <w:rsid w:val="5F8221F1"/>
    <w:rsid w:val="5F8599D5"/>
    <w:rsid w:val="5F866DFD"/>
    <w:rsid w:val="5FC99473"/>
    <w:rsid w:val="5FF05EE6"/>
    <w:rsid w:val="5FF30163"/>
    <w:rsid w:val="5FF82182"/>
    <w:rsid w:val="5FF83773"/>
    <w:rsid w:val="605A5316"/>
    <w:rsid w:val="605FF491"/>
    <w:rsid w:val="60689A73"/>
    <w:rsid w:val="607AD51A"/>
    <w:rsid w:val="610BB696"/>
    <w:rsid w:val="61199807"/>
    <w:rsid w:val="614CE812"/>
    <w:rsid w:val="6152A638"/>
    <w:rsid w:val="620148BB"/>
    <w:rsid w:val="6203D372"/>
    <w:rsid w:val="62182F78"/>
    <w:rsid w:val="62216FE3"/>
    <w:rsid w:val="62883D4C"/>
    <w:rsid w:val="62A72EE1"/>
    <w:rsid w:val="62BABED2"/>
    <w:rsid w:val="62E03470"/>
    <w:rsid w:val="631424EC"/>
    <w:rsid w:val="632CE519"/>
    <w:rsid w:val="6344FD34"/>
    <w:rsid w:val="63779E7F"/>
    <w:rsid w:val="63AD84AB"/>
    <w:rsid w:val="63FA037E"/>
    <w:rsid w:val="641D80C8"/>
    <w:rsid w:val="642D36CD"/>
    <w:rsid w:val="642EF9E4"/>
    <w:rsid w:val="644DB9A4"/>
    <w:rsid w:val="64A7CCCB"/>
    <w:rsid w:val="64AF5B47"/>
    <w:rsid w:val="64B3EEFE"/>
    <w:rsid w:val="64C1AA83"/>
    <w:rsid w:val="6503821A"/>
    <w:rsid w:val="6506BBFD"/>
    <w:rsid w:val="651B5B6B"/>
    <w:rsid w:val="65755403"/>
    <w:rsid w:val="657F6958"/>
    <w:rsid w:val="65828E32"/>
    <w:rsid w:val="65844E0D"/>
    <w:rsid w:val="659E1D6E"/>
    <w:rsid w:val="65B1DBFD"/>
    <w:rsid w:val="65D246CB"/>
    <w:rsid w:val="65D3DA62"/>
    <w:rsid w:val="65D83B18"/>
    <w:rsid w:val="65E98A05"/>
    <w:rsid w:val="65F7BC69"/>
    <w:rsid w:val="6654EC5F"/>
    <w:rsid w:val="6660D0F6"/>
    <w:rsid w:val="6669B0DA"/>
    <w:rsid w:val="66942A69"/>
    <w:rsid w:val="669F7444"/>
    <w:rsid w:val="66B06D36"/>
    <w:rsid w:val="66CA32E4"/>
    <w:rsid w:val="66EEFA3C"/>
    <w:rsid w:val="6714E576"/>
    <w:rsid w:val="675445D2"/>
    <w:rsid w:val="67ADB146"/>
    <w:rsid w:val="67B211FC"/>
    <w:rsid w:val="67D535C8"/>
    <w:rsid w:val="67ED4B79"/>
    <w:rsid w:val="67F8CE58"/>
    <w:rsid w:val="683476FB"/>
    <w:rsid w:val="683B44A5"/>
    <w:rsid w:val="684258B8"/>
    <w:rsid w:val="688A441A"/>
    <w:rsid w:val="689245E1"/>
    <w:rsid w:val="68A7F9B5"/>
    <w:rsid w:val="68B35DA9"/>
    <w:rsid w:val="68C8694B"/>
    <w:rsid w:val="68C892CE"/>
    <w:rsid w:val="68EEBC5A"/>
    <w:rsid w:val="6902A56C"/>
    <w:rsid w:val="69905A4B"/>
    <w:rsid w:val="699D6528"/>
    <w:rsid w:val="69A56084"/>
    <w:rsid w:val="69C8DA1F"/>
    <w:rsid w:val="69E39439"/>
    <w:rsid w:val="69E8B78D"/>
    <w:rsid w:val="6A0E4DDF"/>
    <w:rsid w:val="6A11A7DE"/>
    <w:rsid w:val="6A575E81"/>
    <w:rsid w:val="6A73634D"/>
    <w:rsid w:val="6A7EAEB9"/>
    <w:rsid w:val="6A9FFD08"/>
    <w:rsid w:val="6ABCFB28"/>
    <w:rsid w:val="6ABF0704"/>
    <w:rsid w:val="6AC85E0B"/>
    <w:rsid w:val="6AD84BEB"/>
    <w:rsid w:val="6ADEDB9B"/>
    <w:rsid w:val="6AF0A32A"/>
    <w:rsid w:val="6B20EE37"/>
    <w:rsid w:val="6B3CF5AE"/>
    <w:rsid w:val="6B5266DF"/>
    <w:rsid w:val="6B62D951"/>
    <w:rsid w:val="6B6C62F1"/>
    <w:rsid w:val="6BD5D28F"/>
    <w:rsid w:val="6C044BFF"/>
    <w:rsid w:val="6C285FF2"/>
    <w:rsid w:val="6C2F57FF"/>
    <w:rsid w:val="6C3047E5"/>
    <w:rsid w:val="6C39044C"/>
    <w:rsid w:val="6C4221D1"/>
    <w:rsid w:val="6C7FC0A8"/>
    <w:rsid w:val="6C8503C1"/>
    <w:rsid w:val="6C9A5463"/>
    <w:rsid w:val="6CACBE2A"/>
    <w:rsid w:val="6CCA7A0E"/>
    <w:rsid w:val="6D4E5825"/>
    <w:rsid w:val="6DA8E978"/>
    <w:rsid w:val="6DBEC956"/>
    <w:rsid w:val="6DC821CA"/>
    <w:rsid w:val="6DF49BEA"/>
    <w:rsid w:val="6E17E365"/>
    <w:rsid w:val="6E828F9E"/>
    <w:rsid w:val="6E95402F"/>
    <w:rsid w:val="6E99A0E5"/>
    <w:rsid w:val="6EA749BC"/>
    <w:rsid w:val="6ED5E02F"/>
    <w:rsid w:val="6ED866BF"/>
    <w:rsid w:val="6F37D452"/>
    <w:rsid w:val="6F718175"/>
    <w:rsid w:val="6F769902"/>
    <w:rsid w:val="6FD9869D"/>
    <w:rsid w:val="6FDC0DBA"/>
    <w:rsid w:val="6FE46B34"/>
    <w:rsid w:val="70093ECE"/>
    <w:rsid w:val="703FC8A7"/>
    <w:rsid w:val="704F58C9"/>
    <w:rsid w:val="7067C105"/>
    <w:rsid w:val="70753D36"/>
    <w:rsid w:val="7086299E"/>
    <w:rsid w:val="70948CB1"/>
    <w:rsid w:val="70BA024F"/>
    <w:rsid w:val="70D95DAF"/>
    <w:rsid w:val="7111E028"/>
    <w:rsid w:val="71137F84"/>
    <w:rsid w:val="71205D5F"/>
    <w:rsid w:val="712384D6"/>
    <w:rsid w:val="712C3CAC"/>
    <w:rsid w:val="712D872A"/>
    <w:rsid w:val="712FE791"/>
    <w:rsid w:val="713D16D0"/>
    <w:rsid w:val="7178A769"/>
    <w:rsid w:val="717AACBE"/>
    <w:rsid w:val="71A6CB5F"/>
    <w:rsid w:val="71C19D3A"/>
    <w:rsid w:val="71DDC8B5"/>
    <w:rsid w:val="72562334"/>
    <w:rsid w:val="727C119C"/>
    <w:rsid w:val="72A62E19"/>
    <w:rsid w:val="730A3549"/>
    <w:rsid w:val="73401486"/>
    <w:rsid w:val="7345021C"/>
    <w:rsid w:val="7369B770"/>
    <w:rsid w:val="73B208F7"/>
    <w:rsid w:val="73E382A1"/>
    <w:rsid w:val="742BA3D8"/>
    <w:rsid w:val="7441DB9D"/>
    <w:rsid w:val="7468F457"/>
    <w:rsid w:val="74C48752"/>
    <w:rsid w:val="74E9C5BF"/>
    <w:rsid w:val="7556258D"/>
    <w:rsid w:val="757CCF18"/>
    <w:rsid w:val="75812FCE"/>
    <w:rsid w:val="75833E80"/>
    <w:rsid w:val="75BE5F2C"/>
    <w:rsid w:val="75C4C3D2"/>
    <w:rsid w:val="761F82E7"/>
    <w:rsid w:val="766DD0AF"/>
    <w:rsid w:val="76882FF5"/>
    <w:rsid w:val="768BEEC5"/>
    <w:rsid w:val="76B81D2C"/>
    <w:rsid w:val="7703F129"/>
    <w:rsid w:val="7704C3E7"/>
    <w:rsid w:val="7747FADB"/>
    <w:rsid w:val="77507606"/>
    <w:rsid w:val="7756A5FC"/>
    <w:rsid w:val="77582166"/>
    <w:rsid w:val="775B06B2"/>
    <w:rsid w:val="775DCE0B"/>
    <w:rsid w:val="7796C4E8"/>
    <w:rsid w:val="77ECDB59"/>
    <w:rsid w:val="780D915C"/>
    <w:rsid w:val="7838FB47"/>
    <w:rsid w:val="785E780D"/>
    <w:rsid w:val="7862D185"/>
    <w:rsid w:val="78845984"/>
    <w:rsid w:val="78A633E6"/>
    <w:rsid w:val="78C47CBC"/>
    <w:rsid w:val="78C4AE92"/>
    <w:rsid w:val="78C7FEB8"/>
    <w:rsid w:val="7955A783"/>
    <w:rsid w:val="7955F27E"/>
    <w:rsid w:val="7972ED1D"/>
    <w:rsid w:val="797C3B4D"/>
    <w:rsid w:val="79815C69"/>
    <w:rsid w:val="799432F1"/>
    <w:rsid w:val="79B35F64"/>
    <w:rsid w:val="79BAF984"/>
    <w:rsid w:val="79F51647"/>
    <w:rsid w:val="7AB91931"/>
    <w:rsid w:val="7AF710D7"/>
    <w:rsid w:val="7B1909FE"/>
    <w:rsid w:val="7B1AF388"/>
    <w:rsid w:val="7B2B0DA2"/>
    <w:rsid w:val="7B4141D2"/>
    <w:rsid w:val="7BCAF094"/>
    <w:rsid w:val="7BCC40EA"/>
    <w:rsid w:val="7BDD984C"/>
    <w:rsid w:val="7BFD057A"/>
    <w:rsid w:val="7C030DEA"/>
    <w:rsid w:val="7C2BF826"/>
    <w:rsid w:val="7C456DE3"/>
    <w:rsid w:val="7C7984B0"/>
    <w:rsid w:val="7C92F015"/>
    <w:rsid w:val="7CB91089"/>
    <w:rsid w:val="7CE604D8"/>
    <w:rsid w:val="7D2465D7"/>
    <w:rsid w:val="7D2CDFB2"/>
    <w:rsid w:val="7D4A3488"/>
    <w:rsid w:val="7D7BCA59"/>
    <w:rsid w:val="7DAD7142"/>
    <w:rsid w:val="7DBBCFE6"/>
    <w:rsid w:val="7DC3B249"/>
    <w:rsid w:val="7DE4FB42"/>
    <w:rsid w:val="7E0BBAFB"/>
    <w:rsid w:val="7E55E6ED"/>
    <w:rsid w:val="7E7065A7"/>
    <w:rsid w:val="7E892021"/>
    <w:rsid w:val="7EC0FF86"/>
    <w:rsid w:val="7ECA2A78"/>
    <w:rsid w:val="7EE7009A"/>
    <w:rsid w:val="7F1A95E3"/>
    <w:rsid w:val="7F208A30"/>
    <w:rsid w:val="7F31821F"/>
    <w:rsid w:val="7F8753D6"/>
    <w:rsid w:val="7FB1FFF2"/>
    <w:rsid w:val="7FEFD5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6AA0"/>
  <w15:docId w15:val="{A3AEE779-1FFD-4044-8547-D7263C9D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184"/>
  </w:style>
  <w:style w:type="paragraph" w:styleId="Heading1">
    <w:name w:val="heading 1"/>
    <w:basedOn w:val="Normal"/>
    <w:next w:val="Normal"/>
    <w:link w:val="Heading1Char"/>
    <w:uiPriority w:val="9"/>
    <w:qFormat/>
    <w:rsid w:val="00E06F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075"/>
    <w:pPr>
      <w:ind w:left="720"/>
      <w:contextualSpacing/>
    </w:pPr>
  </w:style>
  <w:style w:type="paragraph" w:styleId="FootnoteText">
    <w:name w:val="footnote text"/>
    <w:basedOn w:val="Normal"/>
    <w:link w:val="FootnoteTextChar"/>
    <w:uiPriority w:val="99"/>
    <w:unhideWhenUsed/>
    <w:rsid w:val="005014FC"/>
    <w:rPr>
      <w:sz w:val="20"/>
      <w:szCs w:val="20"/>
    </w:rPr>
  </w:style>
  <w:style w:type="character" w:customStyle="1" w:styleId="FootnoteTextChar">
    <w:name w:val="Footnote Text Char"/>
    <w:basedOn w:val="DefaultParagraphFont"/>
    <w:link w:val="FootnoteText"/>
    <w:uiPriority w:val="99"/>
    <w:rsid w:val="005014FC"/>
    <w:rPr>
      <w:sz w:val="20"/>
      <w:szCs w:val="20"/>
    </w:rPr>
  </w:style>
  <w:style w:type="character" w:styleId="FootnoteReference">
    <w:name w:val="footnote reference"/>
    <w:basedOn w:val="DefaultParagraphFont"/>
    <w:uiPriority w:val="99"/>
    <w:unhideWhenUsed/>
    <w:rsid w:val="005014FC"/>
    <w:rPr>
      <w:vertAlign w:val="superscript"/>
    </w:rPr>
  </w:style>
  <w:style w:type="character" w:styleId="Hyperlink">
    <w:name w:val="Hyperlink"/>
    <w:basedOn w:val="DefaultParagraphFont"/>
    <w:uiPriority w:val="99"/>
    <w:unhideWhenUsed/>
    <w:rsid w:val="006C2CE2"/>
    <w:rPr>
      <w:color w:val="0563C1" w:themeColor="hyperlink"/>
      <w:u w:val="single"/>
    </w:rPr>
  </w:style>
  <w:style w:type="character" w:styleId="UnresolvedMention">
    <w:name w:val="Unresolved Mention"/>
    <w:basedOn w:val="DefaultParagraphFont"/>
    <w:uiPriority w:val="99"/>
    <w:semiHidden/>
    <w:unhideWhenUsed/>
    <w:rsid w:val="006C2CE2"/>
    <w:rPr>
      <w:color w:val="605E5C"/>
      <w:shd w:val="clear" w:color="auto" w:fill="E1DFDD"/>
    </w:rPr>
  </w:style>
  <w:style w:type="paragraph" w:styleId="NormalWeb">
    <w:name w:val="Normal (Web)"/>
    <w:basedOn w:val="Normal"/>
    <w:uiPriority w:val="99"/>
    <w:unhideWhenUsed/>
    <w:rsid w:val="00050F8A"/>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050F8A"/>
    <w:rPr>
      <w:color w:val="954F72" w:themeColor="followedHyperlink"/>
      <w:u w:val="single"/>
    </w:rPr>
  </w:style>
  <w:style w:type="character" w:customStyle="1" w:styleId="Heading1Char">
    <w:name w:val="Heading 1 Char"/>
    <w:basedOn w:val="DefaultParagraphFont"/>
    <w:link w:val="Heading1"/>
    <w:uiPriority w:val="9"/>
    <w:rsid w:val="00E06F97"/>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5F25DA"/>
  </w:style>
  <w:style w:type="character" w:styleId="CommentReference">
    <w:name w:val="annotation reference"/>
    <w:basedOn w:val="DefaultParagraphFont"/>
    <w:uiPriority w:val="99"/>
    <w:semiHidden/>
    <w:unhideWhenUsed/>
    <w:rsid w:val="009C3B94"/>
    <w:rPr>
      <w:sz w:val="16"/>
      <w:szCs w:val="16"/>
    </w:rPr>
  </w:style>
  <w:style w:type="paragraph" w:styleId="CommentText">
    <w:name w:val="annotation text"/>
    <w:basedOn w:val="Normal"/>
    <w:link w:val="CommentTextChar"/>
    <w:uiPriority w:val="99"/>
    <w:unhideWhenUsed/>
    <w:rsid w:val="009C3B94"/>
    <w:rPr>
      <w:sz w:val="20"/>
      <w:szCs w:val="20"/>
    </w:rPr>
  </w:style>
  <w:style w:type="character" w:customStyle="1" w:styleId="CommentTextChar">
    <w:name w:val="Comment Text Char"/>
    <w:basedOn w:val="DefaultParagraphFont"/>
    <w:link w:val="CommentText"/>
    <w:uiPriority w:val="99"/>
    <w:rsid w:val="009C3B94"/>
    <w:rPr>
      <w:sz w:val="20"/>
      <w:szCs w:val="20"/>
    </w:rPr>
  </w:style>
  <w:style w:type="paragraph" w:styleId="CommentSubject">
    <w:name w:val="annotation subject"/>
    <w:basedOn w:val="CommentText"/>
    <w:next w:val="CommentText"/>
    <w:link w:val="CommentSubjectChar"/>
    <w:uiPriority w:val="99"/>
    <w:semiHidden/>
    <w:unhideWhenUsed/>
    <w:rsid w:val="009C3B94"/>
    <w:rPr>
      <w:b/>
      <w:bCs/>
    </w:rPr>
  </w:style>
  <w:style w:type="character" w:customStyle="1" w:styleId="CommentSubjectChar">
    <w:name w:val="Comment Subject Char"/>
    <w:basedOn w:val="CommentTextChar"/>
    <w:link w:val="CommentSubject"/>
    <w:uiPriority w:val="99"/>
    <w:semiHidden/>
    <w:rsid w:val="009C3B94"/>
    <w:rPr>
      <w:b/>
      <w:bCs/>
      <w:sz w:val="20"/>
      <w:szCs w:val="20"/>
    </w:rPr>
  </w:style>
  <w:style w:type="paragraph" w:styleId="Header">
    <w:name w:val="header"/>
    <w:basedOn w:val="Normal"/>
    <w:link w:val="HeaderChar"/>
    <w:uiPriority w:val="99"/>
    <w:semiHidden/>
    <w:unhideWhenUsed/>
    <w:rsid w:val="009D25E9"/>
    <w:pPr>
      <w:tabs>
        <w:tab w:val="center" w:pos="4513"/>
        <w:tab w:val="right" w:pos="9026"/>
      </w:tabs>
    </w:pPr>
  </w:style>
  <w:style w:type="character" w:customStyle="1" w:styleId="HeaderChar">
    <w:name w:val="Header Char"/>
    <w:basedOn w:val="DefaultParagraphFont"/>
    <w:link w:val="Header"/>
    <w:uiPriority w:val="99"/>
    <w:semiHidden/>
    <w:rsid w:val="009D25E9"/>
  </w:style>
  <w:style w:type="paragraph" w:styleId="Footer">
    <w:name w:val="footer"/>
    <w:basedOn w:val="Normal"/>
    <w:link w:val="FooterChar"/>
    <w:uiPriority w:val="99"/>
    <w:semiHidden/>
    <w:unhideWhenUsed/>
    <w:rsid w:val="009D25E9"/>
    <w:pPr>
      <w:tabs>
        <w:tab w:val="center" w:pos="4513"/>
        <w:tab w:val="right" w:pos="9026"/>
      </w:tabs>
    </w:pPr>
  </w:style>
  <w:style w:type="character" w:customStyle="1" w:styleId="FooterChar">
    <w:name w:val="Footer Char"/>
    <w:basedOn w:val="DefaultParagraphFont"/>
    <w:link w:val="Footer"/>
    <w:uiPriority w:val="99"/>
    <w:semiHidden/>
    <w:rsid w:val="009D25E9"/>
  </w:style>
  <w:style w:type="paragraph" w:styleId="Revision">
    <w:name w:val="Revision"/>
    <w:hidden/>
    <w:uiPriority w:val="99"/>
    <w:semiHidden/>
    <w:rsid w:val="00E83EA2"/>
  </w:style>
  <w:style w:type="paragraph" w:customStyle="1" w:styleId="paragraph">
    <w:name w:val="paragraph"/>
    <w:basedOn w:val="Normal"/>
    <w:rsid w:val="0067754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7754B"/>
  </w:style>
  <w:style w:type="character" w:customStyle="1" w:styleId="eop">
    <w:name w:val="eop"/>
    <w:basedOn w:val="DefaultParagraphFont"/>
    <w:rsid w:val="0067754B"/>
  </w:style>
  <w:style w:type="character" w:customStyle="1" w:styleId="superscript">
    <w:name w:val="superscript"/>
    <w:basedOn w:val="DefaultParagraphFont"/>
    <w:rsid w:val="0067754B"/>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033777">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474491624">
      <w:bodyDiv w:val="1"/>
      <w:marLeft w:val="0"/>
      <w:marRight w:val="0"/>
      <w:marTop w:val="0"/>
      <w:marBottom w:val="0"/>
      <w:divBdr>
        <w:top w:val="none" w:sz="0" w:space="0" w:color="auto"/>
        <w:left w:val="none" w:sz="0" w:space="0" w:color="auto"/>
        <w:bottom w:val="none" w:sz="0" w:space="0" w:color="auto"/>
        <w:right w:val="none" w:sz="0" w:space="0" w:color="auto"/>
      </w:divBdr>
    </w:div>
    <w:div w:id="613054855">
      <w:bodyDiv w:val="1"/>
      <w:marLeft w:val="0"/>
      <w:marRight w:val="0"/>
      <w:marTop w:val="0"/>
      <w:marBottom w:val="0"/>
      <w:divBdr>
        <w:top w:val="none" w:sz="0" w:space="0" w:color="auto"/>
        <w:left w:val="none" w:sz="0" w:space="0" w:color="auto"/>
        <w:bottom w:val="none" w:sz="0" w:space="0" w:color="auto"/>
        <w:right w:val="none" w:sz="0" w:space="0" w:color="auto"/>
      </w:divBdr>
    </w:div>
    <w:div w:id="613295457">
      <w:bodyDiv w:val="1"/>
      <w:marLeft w:val="0"/>
      <w:marRight w:val="0"/>
      <w:marTop w:val="0"/>
      <w:marBottom w:val="0"/>
      <w:divBdr>
        <w:top w:val="none" w:sz="0" w:space="0" w:color="auto"/>
        <w:left w:val="none" w:sz="0" w:space="0" w:color="auto"/>
        <w:bottom w:val="none" w:sz="0" w:space="0" w:color="auto"/>
        <w:right w:val="none" w:sz="0" w:space="0" w:color="auto"/>
      </w:divBdr>
    </w:div>
    <w:div w:id="794368592">
      <w:bodyDiv w:val="1"/>
      <w:marLeft w:val="0"/>
      <w:marRight w:val="0"/>
      <w:marTop w:val="0"/>
      <w:marBottom w:val="0"/>
      <w:divBdr>
        <w:top w:val="none" w:sz="0" w:space="0" w:color="auto"/>
        <w:left w:val="none" w:sz="0" w:space="0" w:color="auto"/>
        <w:bottom w:val="none" w:sz="0" w:space="0" w:color="auto"/>
        <w:right w:val="none" w:sz="0" w:space="0" w:color="auto"/>
      </w:divBdr>
    </w:div>
    <w:div w:id="828519030">
      <w:bodyDiv w:val="1"/>
      <w:marLeft w:val="0"/>
      <w:marRight w:val="0"/>
      <w:marTop w:val="0"/>
      <w:marBottom w:val="0"/>
      <w:divBdr>
        <w:top w:val="none" w:sz="0" w:space="0" w:color="auto"/>
        <w:left w:val="none" w:sz="0" w:space="0" w:color="auto"/>
        <w:bottom w:val="none" w:sz="0" w:space="0" w:color="auto"/>
        <w:right w:val="none" w:sz="0" w:space="0" w:color="auto"/>
      </w:divBdr>
    </w:div>
    <w:div w:id="927539159">
      <w:bodyDiv w:val="1"/>
      <w:marLeft w:val="0"/>
      <w:marRight w:val="0"/>
      <w:marTop w:val="0"/>
      <w:marBottom w:val="0"/>
      <w:divBdr>
        <w:top w:val="none" w:sz="0" w:space="0" w:color="auto"/>
        <w:left w:val="none" w:sz="0" w:space="0" w:color="auto"/>
        <w:bottom w:val="none" w:sz="0" w:space="0" w:color="auto"/>
        <w:right w:val="none" w:sz="0" w:space="0" w:color="auto"/>
      </w:divBdr>
      <w:divsChild>
        <w:div w:id="1596129832">
          <w:marLeft w:val="0"/>
          <w:marRight w:val="0"/>
          <w:marTop w:val="0"/>
          <w:marBottom w:val="0"/>
          <w:divBdr>
            <w:top w:val="none" w:sz="0" w:space="0" w:color="auto"/>
            <w:left w:val="none" w:sz="0" w:space="0" w:color="auto"/>
            <w:bottom w:val="none" w:sz="0" w:space="0" w:color="auto"/>
            <w:right w:val="none" w:sz="0" w:space="0" w:color="auto"/>
          </w:divBdr>
          <w:divsChild>
            <w:div w:id="2125954446">
              <w:marLeft w:val="0"/>
              <w:marRight w:val="0"/>
              <w:marTop w:val="0"/>
              <w:marBottom w:val="0"/>
              <w:divBdr>
                <w:top w:val="none" w:sz="0" w:space="0" w:color="auto"/>
                <w:left w:val="none" w:sz="0" w:space="0" w:color="auto"/>
                <w:bottom w:val="none" w:sz="0" w:space="0" w:color="auto"/>
                <w:right w:val="none" w:sz="0" w:space="0" w:color="auto"/>
              </w:divBdr>
              <w:divsChild>
                <w:div w:id="21473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67961">
      <w:bodyDiv w:val="1"/>
      <w:marLeft w:val="0"/>
      <w:marRight w:val="0"/>
      <w:marTop w:val="0"/>
      <w:marBottom w:val="0"/>
      <w:divBdr>
        <w:top w:val="none" w:sz="0" w:space="0" w:color="auto"/>
        <w:left w:val="none" w:sz="0" w:space="0" w:color="auto"/>
        <w:bottom w:val="none" w:sz="0" w:space="0" w:color="auto"/>
        <w:right w:val="none" w:sz="0" w:space="0" w:color="auto"/>
      </w:divBdr>
      <w:divsChild>
        <w:div w:id="2064139187">
          <w:marLeft w:val="0"/>
          <w:marRight w:val="0"/>
          <w:marTop w:val="0"/>
          <w:marBottom w:val="0"/>
          <w:divBdr>
            <w:top w:val="none" w:sz="0" w:space="0" w:color="auto"/>
            <w:left w:val="none" w:sz="0" w:space="0" w:color="auto"/>
            <w:bottom w:val="none" w:sz="0" w:space="0" w:color="auto"/>
            <w:right w:val="none" w:sz="0" w:space="0" w:color="auto"/>
          </w:divBdr>
          <w:divsChild>
            <w:div w:id="1450010578">
              <w:marLeft w:val="0"/>
              <w:marRight w:val="0"/>
              <w:marTop w:val="0"/>
              <w:marBottom w:val="0"/>
              <w:divBdr>
                <w:top w:val="none" w:sz="0" w:space="0" w:color="auto"/>
                <w:left w:val="none" w:sz="0" w:space="0" w:color="auto"/>
                <w:bottom w:val="none" w:sz="0" w:space="0" w:color="auto"/>
                <w:right w:val="none" w:sz="0" w:space="0" w:color="auto"/>
              </w:divBdr>
              <w:divsChild>
                <w:div w:id="6912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7335">
      <w:bodyDiv w:val="1"/>
      <w:marLeft w:val="0"/>
      <w:marRight w:val="0"/>
      <w:marTop w:val="0"/>
      <w:marBottom w:val="0"/>
      <w:divBdr>
        <w:top w:val="none" w:sz="0" w:space="0" w:color="auto"/>
        <w:left w:val="none" w:sz="0" w:space="0" w:color="auto"/>
        <w:bottom w:val="none" w:sz="0" w:space="0" w:color="auto"/>
        <w:right w:val="none" w:sz="0" w:space="0" w:color="auto"/>
      </w:divBdr>
    </w:div>
    <w:div w:id="1077283365">
      <w:bodyDiv w:val="1"/>
      <w:marLeft w:val="0"/>
      <w:marRight w:val="0"/>
      <w:marTop w:val="0"/>
      <w:marBottom w:val="0"/>
      <w:divBdr>
        <w:top w:val="none" w:sz="0" w:space="0" w:color="auto"/>
        <w:left w:val="none" w:sz="0" w:space="0" w:color="auto"/>
        <w:bottom w:val="none" w:sz="0" w:space="0" w:color="auto"/>
        <w:right w:val="none" w:sz="0" w:space="0" w:color="auto"/>
      </w:divBdr>
    </w:div>
    <w:div w:id="1198466643">
      <w:bodyDiv w:val="1"/>
      <w:marLeft w:val="0"/>
      <w:marRight w:val="0"/>
      <w:marTop w:val="0"/>
      <w:marBottom w:val="0"/>
      <w:divBdr>
        <w:top w:val="none" w:sz="0" w:space="0" w:color="auto"/>
        <w:left w:val="none" w:sz="0" w:space="0" w:color="auto"/>
        <w:bottom w:val="none" w:sz="0" w:space="0" w:color="auto"/>
        <w:right w:val="none" w:sz="0" w:space="0" w:color="auto"/>
      </w:divBdr>
    </w:div>
    <w:div w:id="1380128395">
      <w:bodyDiv w:val="1"/>
      <w:marLeft w:val="0"/>
      <w:marRight w:val="0"/>
      <w:marTop w:val="0"/>
      <w:marBottom w:val="0"/>
      <w:divBdr>
        <w:top w:val="none" w:sz="0" w:space="0" w:color="auto"/>
        <w:left w:val="none" w:sz="0" w:space="0" w:color="auto"/>
        <w:bottom w:val="none" w:sz="0" w:space="0" w:color="auto"/>
        <w:right w:val="none" w:sz="0" w:space="0" w:color="auto"/>
      </w:divBdr>
      <w:divsChild>
        <w:div w:id="2071154265">
          <w:marLeft w:val="0"/>
          <w:marRight w:val="0"/>
          <w:marTop w:val="0"/>
          <w:marBottom w:val="0"/>
          <w:divBdr>
            <w:top w:val="none" w:sz="0" w:space="0" w:color="auto"/>
            <w:left w:val="none" w:sz="0" w:space="0" w:color="auto"/>
            <w:bottom w:val="none" w:sz="0" w:space="0" w:color="auto"/>
            <w:right w:val="none" w:sz="0" w:space="0" w:color="auto"/>
          </w:divBdr>
          <w:divsChild>
            <w:div w:id="1745756526">
              <w:marLeft w:val="0"/>
              <w:marRight w:val="0"/>
              <w:marTop w:val="0"/>
              <w:marBottom w:val="0"/>
              <w:divBdr>
                <w:top w:val="none" w:sz="0" w:space="0" w:color="auto"/>
                <w:left w:val="none" w:sz="0" w:space="0" w:color="auto"/>
                <w:bottom w:val="none" w:sz="0" w:space="0" w:color="auto"/>
                <w:right w:val="none" w:sz="0" w:space="0" w:color="auto"/>
              </w:divBdr>
              <w:divsChild>
                <w:div w:id="1686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52297">
      <w:bodyDiv w:val="1"/>
      <w:marLeft w:val="0"/>
      <w:marRight w:val="0"/>
      <w:marTop w:val="0"/>
      <w:marBottom w:val="0"/>
      <w:divBdr>
        <w:top w:val="none" w:sz="0" w:space="0" w:color="auto"/>
        <w:left w:val="none" w:sz="0" w:space="0" w:color="auto"/>
        <w:bottom w:val="none" w:sz="0" w:space="0" w:color="auto"/>
        <w:right w:val="none" w:sz="0" w:space="0" w:color="auto"/>
      </w:divBdr>
      <w:divsChild>
        <w:div w:id="329065927">
          <w:marLeft w:val="0"/>
          <w:marRight w:val="0"/>
          <w:marTop w:val="0"/>
          <w:marBottom w:val="0"/>
          <w:divBdr>
            <w:top w:val="none" w:sz="0" w:space="0" w:color="auto"/>
            <w:left w:val="none" w:sz="0" w:space="0" w:color="auto"/>
            <w:bottom w:val="none" w:sz="0" w:space="0" w:color="auto"/>
            <w:right w:val="none" w:sz="0" w:space="0" w:color="auto"/>
          </w:divBdr>
          <w:divsChild>
            <w:div w:id="1372923650">
              <w:marLeft w:val="0"/>
              <w:marRight w:val="0"/>
              <w:marTop w:val="0"/>
              <w:marBottom w:val="0"/>
              <w:divBdr>
                <w:top w:val="none" w:sz="0" w:space="0" w:color="auto"/>
                <w:left w:val="none" w:sz="0" w:space="0" w:color="auto"/>
                <w:bottom w:val="none" w:sz="0" w:space="0" w:color="auto"/>
                <w:right w:val="none" w:sz="0" w:space="0" w:color="auto"/>
              </w:divBdr>
              <w:divsChild>
                <w:div w:id="13879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7242">
      <w:bodyDiv w:val="1"/>
      <w:marLeft w:val="0"/>
      <w:marRight w:val="0"/>
      <w:marTop w:val="0"/>
      <w:marBottom w:val="0"/>
      <w:divBdr>
        <w:top w:val="none" w:sz="0" w:space="0" w:color="auto"/>
        <w:left w:val="none" w:sz="0" w:space="0" w:color="auto"/>
        <w:bottom w:val="none" w:sz="0" w:space="0" w:color="auto"/>
        <w:right w:val="none" w:sz="0" w:space="0" w:color="auto"/>
      </w:divBdr>
    </w:div>
    <w:div w:id="1535338988">
      <w:bodyDiv w:val="1"/>
      <w:marLeft w:val="0"/>
      <w:marRight w:val="0"/>
      <w:marTop w:val="0"/>
      <w:marBottom w:val="0"/>
      <w:divBdr>
        <w:top w:val="none" w:sz="0" w:space="0" w:color="auto"/>
        <w:left w:val="none" w:sz="0" w:space="0" w:color="auto"/>
        <w:bottom w:val="none" w:sz="0" w:space="0" w:color="auto"/>
        <w:right w:val="none" w:sz="0" w:space="0" w:color="auto"/>
      </w:divBdr>
    </w:div>
    <w:div w:id="1746799651">
      <w:bodyDiv w:val="1"/>
      <w:marLeft w:val="0"/>
      <w:marRight w:val="0"/>
      <w:marTop w:val="0"/>
      <w:marBottom w:val="0"/>
      <w:divBdr>
        <w:top w:val="none" w:sz="0" w:space="0" w:color="auto"/>
        <w:left w:val="none" w:sz="0" w:space="0" w:color="auto"/>
        <w:bottom w:val="none" w:sz="0" w:space="0" w:color="auto"/>
        <w:right w:val="none" w:sz="0" w:space="0" w:color="auto"/>
      </w:divBdr>
    </w:div>
    <w:div w:id="1850295126">
      <w:bodyDiv w:val="1"/>
      <w:marLeft w:val="0"/>
      <w:marRight w:val="0"/>
      <w:marTop w:val="0"/>
      <w:marBottom w:val="0"/>
      <w:divBdr>
        <w:top w:val="none" w:sz="0" w:space="0" w:color="auto"/>
        <w:left w:val="none" w:sz="0" w:space="0" w:color="auto"/>
        <w:bottom w:val="none" w:sz="0" w:space="0" w:color="auto"/>
        <w:right w:val="none" w:sz="0" w:space="0" w:color="auto"/>
      </w:divBdr>
    </w:div>
    <w:div w:id="1873226333">
      <w:bodyDiv w:val="1"/>
      <w:marLeft w:val="0"/>
      <w:marRight w:val="0"/>
      <w:marTop w:val="0"/>
      <w:marBottom w:val="0"/>
      <w:divBdr>
        <w:top w:val="none" w:sz="0" w:space="0" w:color="auto"/>
        <w:left w:val="none" w:sz="0" w:space="0" w:color="auto"/>
        <w:bottom w:val="none" w:sz="0" w:space="0" w:color="auto"/>
        <w:right w:val="none" w:sz="0" w:space="0" w:color="auto"/>
      </w:divBdr>
      <w:divsChild>
        <w:div w:id="1692414348">
          <w:marLeft w:val="0"/>
          <w:marRight w:val="0"/>
          <w:marTop w:val="0"/>
          <w:marBottom w:val="0"/>
          <w:divBdr>
            <w:top w:val="none" w:sz="0" w:space="0" w:color="auto"/>
            <w:left w:val="none" w:sz="0" w:space="0" w:color="auto"/>
            <w:bottom w:val="none" w:sz="0" w:space="0" w:color="auto"/>
            <w:right w:val="none" w:sz="0" w:space="0" w:color="auto"/>
          </w:divBdr>
          <w:divsChild>
            <w:div w:id="1508331335">
              <w:marLeft w:val="0"/>
              <w:marRight w:val="0"/>
              <w:marTop w:val="0"/>
              <w:marBottom w:val="0"/>
              <w:divBdr>
                <w:top w:val="none" w:sz="0" w:space="0" w:color="auto"/>
                <w:left w:val="none" w:sz="0" w:space="0" w:color="auto"/>
                <w:bottom w:val="none" w:sz="0" w:space="0" w:color="auto"/>
                <w:right w:val="none" w:sz="0" w:space="0" w:color="auto"/>
              </w:divBdr>
              <w:divsChild>
                <w:div w:id="1468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9087">
      <w:bodyDiv w:val="1"/>
      <w:marLeft w:val="0"/>
      <w:marRight w:val="0"/>
      <w:marTop w:val="0"/>
      <w:marBottom w:val="0"/>
      <w:divBdr>
        <w:top w:val="none" w:sz="0" w:space="0" w:color="auto"/>
        <w:left w:val="none" w:sz="0" w:space="0" w:color="auto"/>
        <w:bottom w:val="none" w:sz="0" w:space="0" w:color="auto"/>
        <w:right w:val="none" w:sz="0" w:space="0" w:color="auto"/>
      </w:divBdr>
    </w:div>
    <w:div w:id="2018145199">
      <w:bodyDiv w:val="1"/>
      <w:marLeft w:val="0"/>
      <w:marRight w:val="0"/>
      <w:marTop w:val="0"/>
      <w:marBottom w:val="0"/>
      <w:divBdr>
        <w:top w:val="none" w:sz="0" w:space="0" w:color="auto"/>
        <w:left w:val="none" w:sz="0" w:space="0" w:color="auto"/>
        <w:bottom w:val="none" w:sz="0" w:space="0" w:color="auto"/>
        <w:right w:val="none" w:sz="0" w:space="0" w:color="auto"/>
      </w:divBdr>
    </w:div>
    <w:div w:id="2130663887">
      <w:bodyDiv w:val="1"/>
      <w:marLeft w:val="0"/>
      <w:marRight w:val="0"/>
      <w:marTop w:val="0"/>
      <w:marBottom w:val="0"/>
      <w:divBdr>
        <w:top w:val="none" w:sz="0" w:space="0" w:color="auto"/>
        <w:left w:val="none" w:sz="0" w:space="0" w:color="auto"/>
        <w:bottom w:val="none" w:sz="0" w:space="0" w:color="auto"/>
        <w:right w:val="none" w:sz="0" w:space="0" w:color="auto"/>
      </w:divBdr>
    </w:div>
    <w:div w:id="2132895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371/journal.pmed.0050183" TargetMode="External"/><Relationship Id="rId13" Type="http://schemas.openxmlformats.org/officeDocument/2006/relationships/hyperlink" Target="https://www.nbcnews.com/health/health-news/woman-s-womb-does-double-duty-first-daughter-then-grandson-n661746" TargetMode="External"/><Relationship Id="rId18" Type="http://schemas.openxmlformats.org/officeDocument/2006/relationships/hyperlink" Target="https://journals.lww.com/transplantjournal/Fulltext/9900/Registry_of_the_International_Society_of_Uterus.136.aspx" TargetMode="External"/><Relationship Id="rId3" Type="http://schemas.openxmlformats.org/officeDocument/2006/relationships/hyperlink" Target="https://cdn.who.int/media/docs/default-source/world-health-data-platform/who-data-principles-10aug-(3)_64f62ef2-254b-41f4-9e3e-57ee6330b0bb.pdf?sfvrsn=3d89acf0_6" TargetMode="External"/><Relationship Id="rId7" Type="http://schemas.openxmlformats.org/officeDocument/2006/relationships/hyperlink" Target="https://assets.publishing.service.gov.uk/government/uploads/system/uploads/attachment_data/file/775006/Realising-the-potential-ORDTF-July-2018.pdf" TargetMode="External"/><Relationship Id="rId12" Type="http://schemas.openxmlformats.org/officeDocument/2006/relationships/hyperlink" Target="https://www.usnews.com/news/best-states/pennsylvania/articles/2021-07-18/she-wants-a-baby-but-first-she-needs-a-uterus" TargetMode="External"/><Relationship Id="rId17" Type="http://schemas.openxmlformats.org/officeDocument/2006/relationships/hyperlink" Target="https://clinicaltrials.gov/search?term=uterus%20transplant" TargetMode="External"/><Relationship Id="rId2" Type="http://schemas.openxmlformats.org/officeDocument/2006/relationships/hyperlink" Target="https://assets.publishing.service.gov.uk/government/uploads/system/uploads/attachment_data/file/896799/UK_Research_and_Development_Roadmap.pdf" TargetMode="External"/><Relationship Id="rId16" Type="http://schemas.openxmlformats.org/officeDocument/2006/relationships/hyperlink" Target="https://www.scientificamerican.com/article/first-successful-uterus-transplant-from-deceased-donor-leads-to-healthy-baby/" TargetMode="External"/><Relationship Id="rId1" Type="http://schemas.openxmlformats.org/officeDocument/2006/relationships/hyperlink" Target="https://ec.europa.eu/info/sites/default/files/research_and_innovation/knowledge_publications_tools_and_data/documents/ec_rtd_factsheet-open-science_2019.pdf" TargetMode="External"/><Relationship Id="rId6" Type="http://schemas.openxmlformats.org/officeDocument/2006/relationships/hyperlink" Target="https://www.ncbi.nlm.nih.gov/pmc/articles/PMC6635189/pdf/gox-7-e2266.pdf" TargetMode="External"/><Relationship Id="rId11" Type="http://schemas.openxmlformats.org/officeDocument/2006/relationships/hyperlink" Target="https://www.facebook.com/groups/236405918240655" TargetMode="External"/><Relationship Id="rId5" Type="http://schemas.openxmlformats.org/officeDocument/2006/relationships/hyperlink" Target="https://grants.nih.gov/grants/guide/notice-files/NOT-OD-21-013.html" TargetMode="External"/><Relationship Id="rId15" Type="http://schemas.openxmlformats.org/officeDocument/2006/relationships/hyperlink" Target="https://www.npr.org/sections/health-shots/2017/12/05/568453168/first-baby-born-to-u-s-uterus-transplant-patient-raises-ethics-questions?t=1657879666299" TargetMode="External"/><Relationship Id="rId10" Type="http://schemas.openxmlformats.org/officeDocument/2006/relationships/hyperlink" Target="https://www.jmir.org/2021/2/e25120/" TargetMode="External"/><Relationship Id="rId4" Type="http://schemas.openxmlformats.org/officeDocument/2006/relationships/hyperlink" Target="https://www.nihr.ac.uk/documents/nihr-position-on-the-sharing-of-research-data/12253" TargetMode="External"/><Relationship Id="rId9" Type="http://schemas.openxmlformats.org/officeDocument/2006/relationships/hyperlink" Target="https://jamanetwork.com/journals/jamanetworkopen/fullarticle/2775667" TargetMode="External"/><Relationship Id="rId14" Type="http://schemas.openxmlformats.org/officeDocument/2006/relationships/hyperlink" Target="https://tts.org/isutx-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AFA745B1C275409CC62412070530DF" ma:contentTypeVersion="8" ma:contentTypeDescription="Create a new document." ma:contentTypeScope="" ma:versionID="04ca8a4378f40d2d1abf0229add8f05b">
  <xsd:schema xmlns:xsd="http://www.w3.org/2001/XMLSchema" xmlns:xs="http://www.w3.org/2001/XMLSchema" xmlns:p="http://schemas.microsoft.com/office/2006/metadata/properties" xmlns:ns2="1fde43c1-1c1c-46fe-9a32-9c7f14266fcc" xmlns:ns3="ffd59399-35a8-4142-91f4-f7bdf38785e5" targetNamespace="http://schemas.microsoft.com/office/2006/metadata/properties" ma:root="true" ma:fieldsID="afa8be9acc0cd5fd38119502122834fc" ns2:_="" ns3:_="">
    <xsd:import namespace="1fde43c1-1c1c-46fe-9a32-9c7f14266fcc"/>
    <xsd:import namespace="ffd59399-35a8-4142-91f4-f7bdf38785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e43c1-1c1c-46fe-9a32-9c7f14266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d59399-35a8-4142-91f4-f7bdf38785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69D15-C9E7-4781-9F2F-03B04D5CC9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FDE744-913E-F34D-B661-7005143539E5}">
  <ds:schemaRefs>
    <ds:schemaRef ds:uri="http://schemas.openxmlformats.org/officeDocument/2006/bibliography"/>
  </ds:schemaRefs>
</ds:datastoreItem>
</file>

<file path=customXml/itemProps3.xml><?xml version="1.0" encoding="utf-8"?>
<ds:datastoreItem xmlns:ds="http://schemas.openxmlformats.org/officeDocument/2006/customXml" ds:itemID="{22321F81-B4E9-45D4-A654-18273FD2A5D6}">
  <ds:schemaRefs>
    <ds:schemaRef ds:uri="http://schemas.microsoft.com/sharepoint/v3/contenttype/forms"/>
  </ds:schemaRefs>
</ds:datastoreItem>
</file>

<file path=customXml/itemProps4.xml><?xml version="1.0" encoding="utf-8"?>
<ds:datastoreItem xmlns:ds="http://schemas.openxmlformats.org/officeDocument/2006/customXml" ds:itemID="{7BC29FF1-CFDD-4862-A2F5-DCD379C77444}"/>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4640</Words>
  <Characters>26449</Characters>
  <Application>Microsoft Office Word</Application>
  <DocSecurity>4</DocSecurity>
  <Lines>220</Lines>
  <Paragraphs>62</Paragraphs>
  <ScaleCrop>false</ScaleCrop>
  <Company/>
  <LinksUpToDate>false</LinksUpToDate>
  <CharactersWithSpaces>31027</CharactersWithSpaces>
  <SharedDoc>false</SharedDoc>
  <HLinks>
    <vt:vector size="108" baseType="variant">
      <vt:variant>
        <vt:i4>5505094</vt:i4>
      </vt:variant>
      <vt:variant>
        <vt:i4>51</vt:i4>
      </vt:variant>
      <vt:variant>
        <vt:i4>0</vt:i4>
      </vt:variant>
      <vt:variant>
        <vt:i4>5</vt:i4>
      </vt:variant>
      <vt:variant>
        <vt:lpwstr>https://journals.lww.com/transplantjournal/Fulltext/9900/Registry_of_the_International_Society_of_Uterus.136.aspx</vt:lpwstr>
      </vt:variant>
      <vt:variant>
        <vt:lpwstr/>
      </vt:variant>
      <vt:variant>
        <vt:i4>2228282</vt:i4>
      </vt:variant>
      <vt:variant>
        <vt:i4>48</vt:i4>
      </vt:variant>
      <vt:variant>
        <vt:i4>0</vt:i4>
      </vt:variant>
      <vt:variant>
        <vt:i4>5</vt:i4>
      </vt:variant>
      <vt:variant>
        <vt:lpwstr>https://clinicaltrials.gov/search?term=uterus%20transplant</vt:lpwstr>
      </vt:variant>
      <vt:variant>
        <vt:lpwstr/>
      </vt:variant>
      <vt:variant>
        <vt:i4>4587615</vt:i4>
      </vt:variant>
      <vt:variant>
        <vt:i4>45</vt:i4>
      </vt:variant>
      <vt:variant>
        <vt:i4>0</vt:i4>
      </vt:variant>
      <vt:variant>
        <vt:i4>5</vt:i4>
      </vt:variant>
      <vt:variant>
        <vt:lpwstr>https://www.scientificamerican.com/article/first-successful-uterus-transplant-from-deceased-donor-leads-to-healthy-baby/</vt:lpwstr>
      </vt:variant>
      <vt:variant>
        <vt:lpwstr/>
      </vt:variant>
      <vt:variant>
        <vt:i4>7602208</vt:i4>
      </vt:variant>
      <vt:variant>
        <vt:i4>42</vt:i4>
      </vt:variant>
      <vt:variant>
        <vt:i4>0</vt:i4>
      </vt:variant>
      <vt:variant>
        <vt:i4>5</vt:i4>
      </vt:variant>
      <vt:variant>
        <vt:lpwstr>https://www.npr.org/sections/health-shots/2017/12/05/568453168/first-baby-born-to-u-s-uterus-transplant-patient-raises-ethics-questions?t=1657879666299</vt:lpwstr>
      </vt:variant>
      <vt:variant>
        <vt:lpwstr/>
      </vt:variant>
      <vt:variant>
        <vt:i4>3538990</vt:i4>
      </vt:variant>
      <vt:variant>
        <vt:i4>39</vt:i4>
      </vt:variant>
      <vt:variant>
        <vt:i4>0</vt:i4>
      </vt:variant>
      <vt:variant>
        <vt:i4>5</vt:i4>
      </vt:variant>
      <vt:variant>
        <vt:lpwstr>https://tts.org/isutx-home</vt:lpwstr>
      </vt:variant>
      <vt:variant>
        <vt:lpwstr/>
      </vt:variant>
      <vt:variant>
        <vt:i4>5111887</vt:i4>
      </vt:variant>
      <vt:variant>
        <vt:i4>36</vt:i4>
      </vt:variant>
      <vt:variant>
        <vt:i4>0</vt:i4>
      </vt:variant>
      <vt:variant>
        <vt:i4>5</vt:i4>
      </vt:variant>
      <vt:variant>
        <vt:lpwstr>https://www.nbcnews.com/health/health-news/woman-s-womb-does-double-duty-first-daughter-then-grandson-n661746</vt:lpwstr>
      </vt:variant>
      <vt:variant>
        <vt:lpwstr/>
      </vt:variant>
      <vt:variant>
        <vt:i4>2162793</vt:i4>
      </vt:variant>
      <vt:variant>
        <vt:i4>33</vt:i4>
      </vt:variant>
      <vt:variant>
        <vt:i4>0</vt:i4>
      </vt:variant>
      <vt:variant>
        <vt:i4>5</vt:i4>
      </vt:variant>
      <vt:variant>
        <vt:lpwstr>https://www.usnews.com/news/best-states/pennsylvania/articles/2021-07-18/she-wants-a-baby-but-first-she-needs-a-uterus</vt:lpwstr>
      </vt:variant>
      <vt:variant>
        <vt:lpwstr/>
      </vt:variant>
      <vt:variant>
        <vt:i4>2424933</vt:i4>
      </vt:variant>
      <vt:variant>
        <vt:i4>30</vt:i4>
      </vt:variant>
      <vt:variant>
        <vt:i4>0</vt:i4>
      </vt:variant>
      <vt:variant>
        <vt:i4>5</vt:i4>
      </vt:variant>
      <vt:variant>
        <vt:lpwstr>https://www.facebook.com/groups/236405918240655</vt:lpwstr>
      </vt:variant>
      <vt:variant>
        <vt:lpwstr/>
      </vt:variant>
      <vt:variant>
        <vt:i4>7077985</vt:i4>
      </vt:variant>
      <vt:variant>
        <vt:i4>27</vt:i4>
      </vt:variant>
      <vt:variant>
        <vt:i4>0</vt:i4>
      </vt:variant>
      <vt:variant>
        <vt:i4>5</vt:i4>
      </vt:variant>
      <vt:variant>
        <vt:lpwstr>https://www.jmir.org/2021/2/e25120/</vt:lpwstr>
      </vt:variant>
      <vt:variant>
        <vt:lpwstr/>
      </vt:variant>
      <vt:variant>
        <vt:i4>655445</vt:i4>
      </vt:variant>
      <vt:variant>
        <vt:i4>24</vt:i4>
      </vt:variant>
      <vt:variant>
        <vt:i4>0</vt:i4>
      </vt:variant>
      <vt:variant>
        <vt:i4>5</vt:i4>
      </vt:variant>
      <vt:variant>
        <vt:lpwstr>https://jamanetwork.com/journals/jamanetworkopen/fullarticle/2775667</vt:lpwstr>
      </vt:variant>
      <vt:variant>
        <vt:lpwstr/>
      </vt:variant>
      <vt:variant>
        <vt:i4>4718662</vt:i4>
      </vt:variant>
      <vt:variant>
        <vt:i4>21</vt:i4>
      </vt:variant>
      <vt:variant>
        <vt:i4>0</vt:i4>
      </vt:variant>
      <vt:variant>
        <vt:i4>5</vt:i4>
      </vt:variant>
      <vt:variant>
        <vt:lpwstr>https://doi.org/10.1371/journal.pmed.0050183</vt:lpwstr>
      </vt:variant>
      <vt:variant>
        <vt:lpwstr/>
      </vt:variant>
      <vt:variant>
        <vt:i4>5177384</vt:i4>
      </vt:variant>
      <vt:variant>
        <vt:i4>18</vt:i4>
      </vt:variant>
      <vt:variant>
        <vt:i4>0</vt:i4>
      </vt:variant>
      <vt:variant>
        <vt:i4>5</vt:i4>
      </vt:variant>
      <vt:variant>
        <vt:lpwstr>https://assets.publishing.service.gov.uk/government/uploads/system/uploads/attachment_data/file/775006/Realising-the-potential-ORDTF-July-2018.pdf</vt:lpwstr>
      </vt:variant>
      <vt:variant>
        <vt:lpwstr/>
      </vt:variant>
      <vt:variant>
        <vt:i4>5242892</vt:i4>
      </vt:variant>
      <vt:variant>
        <vt:i4>15</vt:i4>
      </vt:variant>
      <vt:variant>
        <vt:i4>0</vt:i4>
      </vt:variant>
      <vt:variant>
        <vt:i4>5</vt:i4>
      </vt:variant>
      <vt:variant>
        <vt:lpwstr>https://www.ncbi.nlm.nih.gov/pmc/articles/PMC6635189/pdf/gox-7-e2266.pdf</vt:lpwstr>
      </vt:variant>
      <vt:variant>
        <vt:lpwstr/>
      </vt:variant>
      <vt:variant>
        <vt:i4>8323130</vt:i4>
      </vt:variant>
      <vt:variant>
        <vt:i4>12</vt:i4>
      </vt:variant>
      <vt:variant>
        <vt:i4>0</vt:i4>
      </vt:variant>
      <vt:variant>
        <vt:i4>5</vt:i4>
      </vt:variant>
      <vt:variant>
        <vt:lpwstr>https://grants.nih.gov/grants/guide/notice-files/NOT-OD-21-013.html</vt:lpwstr>
      </vt:variant>
      <vt:variant>
        <vt:lpwstr/>
      </vt:variant>
      <vt:variant>
        <vt:i4>786520</vt:i4>
      </vt:variant>
      <vt:variant>
        <vt:i4>9</vt:i4>
      </vt:variant>
      <vt:variant>
        <vt:i4>0</vt:i4>
      </vt:variant>
      <vt:variant>
        <vt:i4>5</vt:i4>
      </vt:variant>
      <vt:variant>
        <vt:lpwstr>https://www.nihr.ac.uk/documents/nihr-position-on-the-sharing-of-research-data/12253</vt:lpwstr>
      </vt:variant>
      <vt:variant>
        <vt:lpwstr/>
      </vt:variant>
      <vt:variant>
        <vt:i4>3342369</vt:i4>
      </vt:variant>
      <vt:variant>
        <vt:i4>6</vt:i4>
      </vt:variant>
      <vt:variant>
        <vt:i4>0</vt:i4>
      </vt:variant>
      <vt:variant>
        <vt:i4>5</vt:i4>
      </vt:variant>
      <vt:variant>
        <vt:lpwstr>https://cdn.who.int/media/docs/default-source/world-health-data-platform/who-data-principles-10aug-(3)_64f62ef2-254b-41f4-9e3e-57ee6330b0bb.pdf?sfvrsn=3d89acf0_6</vt:lpwstr>
      </vt:variant>
      <vt:variant>
        <vt:lpwstr/>
      </vt:variant>
      <vt:variant>
        <vt:i4>2687000</vt:i4>
      </vt:variant>
      <vt:variant>
        <vt:i4>3</vt:i4>
      </vt:variant>
      <vt:variant>
        <vt:i4>0</vt:i4>
      </vt:variant>
      <vt:variant>
        <vt:i4>5</vt:i4>
      </vt:variant>
      <vt:variant>
        <vt:lpwstr>https://assets.publishing.service.gov.uk/government/uploads/system/uploads/attachment_data/file/896799/UK_Research_and_Development_Roadmap.pdf</vt:lpwstr>
      </vt:variant>
      <vt:variant>
        <vt:lpwstr/>
      </vt:variant>
      <vt:variant>
        <vt:i4>4391020</vt:i4>
      </vt:variant>
      <vt:variant>
        <vt:i4>0</vt:i4>
      </vt:variant>
      <vt:variant>
        <vt:i4>0</vt:i4>
      </vt:variant>
      <vt:variant>
        <vt:i4>5</vt:i4>
      </vt:variant>
      <vt:variant>
        <vt:lpwstr>https://ec.europa.eu/info/sites/default/files/research_and_innovation/knowledge_publications_tools_and_data/documents/ec_rtd_factsheet-open-science_2019.pdf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Nicola</dc:creator>
  <cp:keywords/>
  <dc:description/>
  <cp:lastModifiedBy>Williams, Nicola</cp:lastModifiedBy>
  <cp:revision>24</cp:revision>
  <cp:lastPrinted>2022-05-31T17:09:00Z</cp:lastPrinted>
  <dcterms:created xsi:type="dcterms:W3CDTF">2023-11-01T00:23:00Z</dcterms:created>
  <dcterms:modified xsi:type="dcterms:W3CDTF">2024-01-11T22:24:00Z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0x010100A5AFA745B1C275409CC62412070530DF</vt:lpwstr>
  </property>
</Properties>
</file>