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551EE" w14:textId="39315087" w:rsidR="00224D55" w:rsidRDefault="00224D55" w:rsidP="00C7169B">
      <w:pPr>
        <w:spacing w:line="360" w:lineRule="auto"/>
        <w:rPr>
          <w:sz w:val="24"/>
          <w:szCs w:val="24"/>
          <w:u w:val="single"/>
        </w:rPr>
      </w:pPr>
      <w:r>
        <w:rPr>
          <w:sz w:val="24"/>
          <w:szCs w:val="24"/>
          <w:u w:val="single"/>
        </w:rPr>
        <w:t xml:space="preserve">The First Anointing of a Scottish </w:t>
      </w:r>
      <w:r w:rsidR="00763E19">
        <w:rPr>
          <w:sz w:val="24"/>
          <w:szCs w:val="24"/>
          <w:u w:val="single"/>
        </w:rPr>
        <w:t>k</w:t>
      </w:r>
      <w:r w:rsidR="00E72AA0">
        <w:rPr>
          <w:sz w:val="24"/>
          <w:szCs w:val="24"/>
          <w:u w:val="single"/>
        </w:rPr>
        <w:t xml:space="preserve">ing: the Inauguration </w:t>
      </w:r>
      <w:r w:rsidR="00405126">
        <w:rPr>
          <w:sz w:val="24"/>
          <w:szCs w:val="24"/>
          <w:u w:val="single"/>
        </w:rPr>
        <w:t xml:space="preserve">and Consecration </w:t>
      </w:r>
      <w:r w:rsidR="00E72AA0">
        <w:rPr>
          <w:sz w:val="24"/>
          <w:szCs w:val="24"/>
          <w:u w:val="single"/>
        </w:rPr>
        <w:t>of David II in 1331</w:t>
      </w:r>
      <w:r w:rsidR="00A52257">
        <w:rPr>
          <w:sz w:val="24"/>
          <w:szCs w:val="24"/>
          <w:u w:val="single"/>
        </w:rPr>
        <w:t>*</w:t>
      </w:r>
    </w:p>
    <w:p w14:paraId="26B4F9BC" w14:textId="27EBD4D8" w:rsidR="006B56A8" w:rsidRPr="006B56A8" w:rsidRDefault="006B56A8" w:rsidP="006B56A8">
      <w:pPr>
        <w:spacing w:line="360" w:lineRule="auto"/>
        <w:ind w:firstLine="720"/>
        <w:jc w:val="both"/>
        <w:rPr>
          <w:b/>
          <w:bCs/>
          <w:sz w:val="24"/>
          <w:szCs w:val="24"/>
        </w:rPr>
      </w:pPr>
      <w:r>
        <w:rPr>
          <w:b/>
          <w:bCs/>
          <w:sz w:val="24"/>
          <w:szCs w:val="24"/>
        </w:rPr>
        <w:t>Abstract</w:t>
      </w:r>
    </w:p>
    <w:p w14:paraId="5365A671" w14:textId="07A020D3" w:rsidR="006B56A8" w:rsidRPr="006B56A8" w:rsidRDefault="006B56A8" w:rsidP="006B56A8">
      <w:pPr>
        <w:spacing w:line="360" w:lineRule="auto"/>
        <w:ind w:left="720"/>
        <w:jc w:val="both"/>
      </w:pPr>
      <w:r w:rsidRPr="006B56A8">
        <w:t>In November 1331, David II became the first Scottish king to be anointed during his inauguration at Scone Abbey, marking a pivotal moment in the history of Scottish kingship. This article offers the first comprehensive analysis of the significance of this ritual, exploring how unction transformed the spiritual and political status of the monarchy in late medieval Scotland. Drawing on contemporary English and Scottish chronicles, governmental records, papal correspondence, and an overlooked anonymous account, it argues that David’s anointing signalled a profound shift in how royal authority was conceptualised and communicated. The rite placed Scottish kingship on equal footing with that of England, redefining internal power dynamics and external perceptions of sovereignty. Employing a constructivist framework rooted in the work of Bruce Kapferer and Edward Schieffelin, the article reconstructs the 1331 inauguration, analysing its structure, performers, and performative elements. The study reveals how ritual innovations—especially the inclusion of liturgy and ecclesiastical celebrants—were used as instruments of political theatre by the Bruce dynasty. In doing so, it underscores the role of ritual in medieval statecraft and highlights how the spectacle of David II’s inauguration asserted Scottish legitimacy and independence in a contested geopolitical landscape.</w:t>
      </w:r>
    </w:p>
    <w:p w14:paraId="4C3685E7" w14:textId="0FC8C295" w:rsidR="006B56A8" w:rsidRPr="006B56A8" w:rsidRDefault="006B56A8" w:rsidP="006B56A8">
      <w:pPr>
        <w:spacing w:line="360" w:lineRule="auto"/>
        <w:jc w:val="both"/>
        <w:rPr>
          <w:b/>
          <w:bCs/>
          <w:sz w:val="24"/>
          <w:szCs w:val="24"/>
        </w:rPr>
      </w:pPr>
      <w:r>
        <w:rPr>
          <w:b/>
          <w:bCs/>
          <w:sz w:val="24"/>
          <w:szCs w:val="24"/>
        </w:rPr>
        <w:t>Introduction</w:t>
      </w:r>
    </w:p>
    <w:p w14:paraId="0282F79D" w14:textId="09690C98" w:rsidR="00351037" w:rsidRDefault="0070179E" w:rsidP="006B56A8">
      <w:pPr>
        <w:spacing w:line="360" w:lineRule="auto"/>
        <w:jc w:val="both"/>
        <w:rPr>
          <w:sz w:val="24"/>
          <w:szCs w:val="24"/>
        </w:rPr>
      </w:pPr>
      <w:r w:rsidRPr="00AC4AC9">
        <w:rPr>
          <w:sz w:val="24"/>
          <w:szCs w:val="24"/>
        </w:rPr>
        <w:t>On 24 November 133</w:t>
      </w:r>
      <w:r w:rsidR="006B56A8">
        <w:rPr>
          <w:sz w:val="24"/>
          <w:szCs w:val="24"/>
        </w:rPr>
        <w:t>1</w:t>
      </w:r>
      <w:r w:rsidRPr="00AC4AC9">
        <w:rPr>
          <w:sz w:val="24"/>
          <w:szCs w:val="24"/>
        </w:rPr>
        <w:t>, David II of Scotland</w:t>
      </w:r>
      <w:r w:rsidR="002C159F" w:rsidRPr="00AC4AC9">
        <w:rPr>
          <w:sz w:val="24"/>
          <w:szCs w:val="24"/>
        </w:rPr>
        <w:t xml:space="preserve"> (r.</w:t>
      </w:r>
      <w:r w:rsidR="00180515">
        <w:rPr>
          <w:sz w:val="24"/>
          <w:szCs w:val="24"/>
        </w:rPr>
        <w:t xml:space="preserve"> </w:t>
      </w:r>
      <w:r w:rsidR="002C159F" w:rsidRPr="00AC4AC9">
        <w:rPr>
          <w:sz w:val="24"/>
          <w:szCs w:val="24"/>
        </w:rPr>
        <w:t>1329-1371)</w:t>
      </w:r>
      <w:r w:rsidRPr="00AC4AC9">
        <w:rPr>
          <w:sz w:val="24"/>
          <w:szCs w:val="24"/>
        </w:rPr>
        <w:t xml:space="preserve"> was inaugurated and anointed at Scone Abbey. </w:t>
      </w:r>
      <w:r w:rsidR="002C159F" w:rsidRPr="00AC4AC9">
        <w:rPr>
          <w:sz w:val="24"/>
          <w:szCs w:val="24"/>
        </w:rPr>
        <w:t xml:space="preserve">David was the son of Robert I and inherited his father’s newly independent kingdom in 1329. </w:t>
      </w:r>
      <w:r w:rsidRPr="00AC4AC9">
        <w:rPr>
          <w:sz w:val="24"/>
          <w:szCs w:val="24"/>
        </w:rPr>
        <w:t>This</w:t>
      </w:r>
      <w:r w:rsidR="003825A4">
        <w:rPr>
          <w:sz w:val="24"/>
          <w:szCs w:val="24"/>
        </w:rPr>
        <w:t xml:space="preserve"> seven-year-old boy </w:t>
      </w:r>
      <w:r w:rsidRPr="00AC4AC9">
        <w:rPr>
          <w:sz w:val="24"/>
          <w:szCs w:val="24"/>
        </w:rPr>
        <w:t>was the first Scottish king to be blessed with unction: a right</w:t>
      </w:r>
      <w:r w:rsidR="001C2060" w:rsidRPr="00AC4AC9">
        <w:rPr>
          <w:sz w:val="24"/>
          <w:szCs w:val="24"/>
        </w:rPr>
        <w:t xml:space="preserve"> for which</w:t>
      </w:r>
      <w:r w:rsidRPr="00AC4AC9">
        <w:rPr>
          <w:sz w:val="24"/>
          <w:szCs w:val="24"/>
        </w:rPr>
        <w:t xml:space="preserve"> </w:t>
      </w:r>
      <w:r w:rsidR="001C2060" w:rsidRPr="00AC4AC9">
        <w:rPr>
          <w:sz w:val="24"/>
          <w:szCs w:val="24"/>
        </w:rPr>
        <w:t>Scottish</w:t>
      </w:r>
      <w:r w:rsidRPr="00AC4AC9">
        <w:rPr>
          <w:sz w:val="24"/>
          <w:szCs w:val="24"/>
        </w:rPr>
        <w:t xml:space="preserve"> kings had </w:t>
      </w:r>
      <w:r w:rsidR="001C2060" w:rsidRPr="00AC4AC9">
        <w:rPr>
          <w:sz w:val="24"/>
          <w:szCs w:val="24"/>
        </w:rPr>
        <w:t>c</w:t>
      </w:r>
      <w:r w:rsidRPr="00AC4AC9">
        <w:rPr>
          <w:sz w:val="24"/>
          <w:szCs w:val="24"/>
        </w:rPr>
        <w:t>ampaign</w:t>
      </w:r>
      <w:r w:rsidR="001C2060" w:rsidRPr="00AC4AC9">
        <w:rPr>
          <w:sz w:val="24"/>
          <w:szCs w:val="24"/>
        </w:rPr>
        <w:t>ed</w:t>
      </w:r>
      <w:r w:rsidRPr="00AC4AC9">
        <w:rPr>
          <w:sz w:val="24"/>
          <w:szCs w:val="24"/>
        </w:rPr>
        <w:t xml:space="preserve"> for </w:t>
      </w:r>
      <w:r w:rsidR="00C87610" w:rsidRPr="00AC4AC9">
        <w:rPr>
          <w:sz w:val="24"/>
          <w:szCs w:val="24"/>
        </w:rPr>
        <w:t>over</w:t>
      </w:r>
      <w:r w:rsidRPr="00AC4AC9">
        <w:rPr>
          <w:sz w:val="24"/>
          <w:szCs w:val="24"/>
        </w:rPr>
        <w:t xml:space="preserve"> a century. </w:t>
      </w:r>
      <w:r w:rsidR="003825A4">
        <w:rPr>
          <w:sz w:val="24"/>
          <w:szCs w:val="24"/>
        </w:rPr>
        <w:t xml:space="preserve">No rigorous analysis of how the </w:t>
      </w:r>
      <w:r w:rsidR="001B6BF2">
        <w:rPr>
          <w:sz w:val="24"/>
          <w:szCs w:val="24"/>
        </w:rPr>
        <w:t>introduction</w:t>
      </w:r>
      <w:r w:rsidR="003825A4">
        <w:rPr>
          <w:sz w:val="24"/>
          <w:szCs w:val="24"/>
        </w:rPr>
        <w:t xml:space="preserve"> of anointing changed the inauguration or the status of Scottish kingship in the late medieval </w:t>
      </w:r>
      <w:r w:rsidR="005970D9">
        <w:rPr>
          <w:sz w:val="24"/>
          <w:szCs w:val="24"/>
        </w:rPr>
        <w:t xml:space="preserve">period </w:t>
      </w:r>
      <w:r w:rsidR="00672105">
        <w:rPr>
          <w:sz w:val="24"/>
          <w:szCs w:val="24"/>
        </w:rPr>
        <w:t>has hitherto been undertaken</w:t>
      </w:r>
      <w:r w:rsidR="003825A4">
        <w:rPr>
          <w:sz w:val="24"/>
          <w:szCs w:val="24"/>
        </w:rPr>
        <w:t xml:space="preserve">, despite the significance of this </w:t>
      </w:r>
      <w:r w:rsidR="001E4BED">
        <w:rPr>
          <w:sz w:val="24"/>
          <w:szCs w:val="24"/>
        </w:rPr>
        <w:t>ritual</w:t>
      </w:r>
      <w:r w:rsidR="003825A4">
        <w:rPr>
          <w:sz w:val="24"/>
          <w:szCs w:val="24"/>
        </w:rPr>
        <w:t>.</w:t>
      </w:r>
      <w:r w:rsidRPr="00AC4AC9">
        <w:rPr>
          <w:rStyle w:val="FootnoteReference"/>
          <w:sz w:val="24"/>
          <w:szCs w:val="24"/>
        </w:rPr>
        <w:footnoteReference w:id="1"/>
      </w:r>
      <w:r w:rsidRPr="00AC4AC9">
        <w:rPr>
          <w:sz w:val="24"/>
          <w:szCs w:val="24"/>
        </w:rPr>
        <w:t xml:space="preserve"> </w:t>
      </w:r>
      <w:r w:rsidR="00351037">
        <w:rPr>
          <w:sz w:val="24"/>
          <w:szCs w:val="24"/>
        </w:rPr>
        <w:t>The inauguration also realised a multi-generational and inter-dynastic desire for Scottish kings to be place</w:t>
      </w:r>
      <w:r w:rsidR="00A86045">
        <w:rPr>
          <w:sz w:val="24"/>
          <w:szCs w:val="24"/>
        </w:rPr>
        <w:t>d</w:t>
      </w:r>
      <w:r w:rsidR="00351037">
        <w:rPr>
          <w:sz w:val="24"/>
          <w:szCs w:val="24"/>
        </w:rPr>
        <w:t xml:space="preserve"> on an equal footing with their southern neighbour, the English king. Prior to 1331 English kings were the only anointed rulers across the Atlantic archipelago and had leveraged this fact to fuel their imperial ambitions over Scotland and other lands. The </w:t>
      </w:r>
      <w:r w:rsidR="00351037">
        <w:rPr>
          <w:sz w:val="24"/>
          <w:szCs w:val="24"/>
        </w:rPr>
        <w:lastRenderedPageBreak/>
        <w:t xml:space="preserve">change in the Scottish king’s status had implications about his relationship with the English, but also with his subjects too, who had been at war with England until 1328. Thus, this research speaks to questions about the nature of authority and power in the Middle Ages. </w:t>
      </w:r>
    </w:p>
    <w:p w14:paraId="38BC403F" w14:textId="53872D19" w:rsidR="00351037" w:rsidRDefault="003825A4" w:rsidP="00E85DA0">
      <w:pPr>
        <w:spacing w:line="360" w:lineRule="auto"/>
        <w:ind w:firstLine="720"/>
        <w:jc w:val="both"/>
        <w:rPr>
          <w:sz w:val="24"/>
          <w:szCs w:val="24"/>
        </w:rPr>
      </w:pPr>
      <w:r>
        <w:rPr>
          <w:sz w:val="24"/>
          <w:szCs w:val="24"/>
        </w:rPr>
        <w:t>Th</w:t>
      </w:r>
      <w:r w:rsidR="001E4BED">
        <w:rPr>
          <w:sz w:val="24"/>
          <w:szCs w:val="24"/>
        </w:rPr>
        <w:t xml:space="preserve">e following </w:t>
      </w:r>
      <w:r w:rsidR="00874196">
        <w:rPr>
          <w:sz w:val="24"/>
          <w:szCs w:val="24"/>
        </w:rPr>
        <w:t xml:space="preserve">article </w:t>
      </w:r>
      <w:r w:rsidR="0070179E" w:rsidRPr="00AC4AC9">
        <w:rPr>
          <w:sz w:val="24"/>
          <w:szCs w:val="24"/>
        </w:rPr>
        <w:t xml:space="preserve">offers </w:t>
      </w:r>
      <w:r w:rsidR="001E4BED">
        <w:rPr>
          <w:sz w:val="24"/>
          <w:szCs w:val="24"/>
        </w:rPr>
        <w:t>the first in-depth study of this rite</w:t>
      </w:r>
      <w:r w:rsidR="00874196">
        <w:rPr>
          <w:sz w:val="24"/>
          <w:szCs w:val="24"/>
        </w:rPr>
        <w:t xml:space="preserve"> through an analysis of contemporary accounts from English and Scottish chroniclers, including an overlooked anonymous account, surviving governmental records, and papal letters.</w:t>
      </w:r>
      <w:r w:rsidR="00F75A1E">
        <w:rPr>
          <w:sz w:val="24"/>
          <w:szCs w:val="24"/>
        </w:rPr>
        <w:t xml:space="preserve"> </w:t>
      </w:r>
      <w:r w:rsidR="00B47A1C">
        <w:rPr>
          <w:sz w:val="24"/>
          <w:szCs w:val="24"/>
        </w:rPr>
        <w:t>I</w:t>
      </w:r>
      <w:r w:rsidR="00F75A1E">
        <w:rPr>
          <w:sz w:val="24"/>
          <w:szCs w:val="24"/>
        </w:rPr>
        <w:t xml:space="preserve">t firmly places the study of Scottish </w:t>
      </w:r>
      <w:r w:rsidR="00B47A1C">
        <w:rPr>
          <w:sz w:val="24"/>
          <w:szCs w:val="24"/>
        </w:rPr>
        <w:t xml:space="preserve">kingmaking </w:t>
      </w:r>
      <w:r w:rsidR="00F75A1E">
        <w:rPr>
          <w:sz w:val="24"/>
          <w:szCs w:val="24"/>
        </w:rPr>
        <w:t>alongside recent studies of medieval inaugurations and kingship</w:t>
      </w:r>
      <w:r w:rsidR="00DB159A">
        <w:rPr>
          <w:sz w:val="24"/>
          <w:szCs w:val="24"/>
        </w:rPr>
        <w:t xml:space="preserve"> in other kingdoms</w:t>
      </w:r>
      <w:r w:rsidR="00F75A1E">
        <w:rPr>
          <w:sz w:val="24"/>
          <w:szCs w:val="24"/>
        </w:rPr>
        <w:t>, such as Johanna Dale’s work on the significance of liturgy.</w:t>
      </w:r>
      <w:r w:rsidR="00F75A1E">
        <w:rPr>
          <w:rStyle w:val="FootnoteReference"/>
          <w:sz w:val="24"/>
          <w:szCs w:val="24"/>
        </w:rPr>
        <w:footnoteReference w:id="2"/>
      </w:r>
      <w:r w:rsidR="00874196">
        <w:rPr>
          <w:sz w:val="24"/>
          <w:szCs w:val="24"/>
        </w:rPr>
        <w:t xml:space="preserve"> It argues that the inauguration </w:t>
      </w:r>
      <w:r w:rsidR="003E0612">
        <w:rPr>
          <w:sz w:val="24"/>
          <w:szCs w:val="24"/>
        </w:rPr>
        <w:t>w</w:t>
      </w:r>
      <w:r w:rsidR="00874196">
        <w:rPr>
          <w:sz w:val="24"/>
          <w:szCs w:val="24"/>
        </w:rPr>
        <w:t xml:space="preserve">as a moment of political and spiritual importance for the Scottish king and his kingdom, setting David apart from his predecessors. </w:t>
      </w:r>
      <w:r w:rsidR="00706177">
        <w:rPr>
          <w:sz w:val="24"/>
          <w:szCs w:val="24"/>
        </w:rPr>
        <w:t xml:space="preserve">By being blessed by holy unction, David was transformed into the Lord’s anointed: something </w:t>
      </w:r>
      <w:r w:rsidR="007143F2">
        <w:rPr>
          <w:sz w:val="24"/>
          <w:szCs w:val="24"/>
        </w:rPr>
        <w:t xml:space="preserve">to which </w:t>
      </w:r>
      <w:r w:rsidR="00706177">
        <w:rPr>
          <w:sz w:val="24"/>
          <w:szCs w:val="24"/>
        </w:rPr>
        <w:t>previous Scottish kings ha</w:t>
      </w:r>
      <w:r w:rsidR="007143F2">
        <w:rPr>
          <w:sz w:val="24"/>
          <w:szCs w:val="24"/>
        </w:rPr>
        <w:t>d</w:t>
      </w:r>
      <w:r w:rsidR="00706177">
        <w:rPr>
          <w:sz w:val="24"/>
          <w:szCs w:val="24"/>
        </w:rPr>
        <w:t xml:space="preserve"> aspired but never achieved, forever changing the status of Scottish kings. The theological significance of this act has been </w:t>
      </w:r>
      <w:r w:rsidR="00DB159A">
        <w:rPr>
          <w:sz w:val="24"/>
          <w:szCs w:val="24"/>
        </w:rPr>
        <w:t xml:space="preserve">overlooked by </w:t>
      </w:r>
      <w:r w:rsidR="00706177">
        <w:rPr>
          <w:sz w:val="24"/>
          <w:szCs w:val="24"/>
        </w:rPr>
        <w:t>previous scholars of medieval Scotland</w:t>
      </w:r>
      <w:r w:rsidR="00B47A1C">
        <w:rPr>
          <w:sz w:val="24"/>
          <w:szCs w:val="24"/>
        </w:rPr>
        <w:t>,</w:t>
      </w:r>
      <w:r w:rsidR="00706177">
        <w:rPr>
          <w:sz w:val="24"/>
          <w:szCs w:val="24"/>
        </w:rPr>
        <w:t xml:space="preserve"> due </w:t>
      </w:r>
      <w:r w:rsidR="00B47A1C">
        <w:rPr>
          <w:sz w:val="24"/>
          <w:szCs w:val="24"/>
        </w:rPr>
        <w:t xml:space="preserve">in part </w:t>
      </w:r>
      <w:r w:rsidR="00706177">
        <w:rPr>
          <w:sz w:val="24"/>
          <w:szCs w:val="24"/>
        </w:rPr>
        <w:t>to the absence of a detailed study of this ritual</w:t>
      </w:r>
      <w:r w:rsidR="00DB159A">
        <w:rPr>
          <w:sz w:val="24"/>
          <w:szCs w:val="24"/>
        </w:rPr>
        <w:t xml:space="preserve"> that considers the liturgical significance of the anointing rite. T</w:t>
      </w:r>
      <w:r w:rsidR="00706177">
        <w:rPr>
          <w:sz w:val="24"/>
          <w:szCs w:val="24"/>
        </w:rPr>
        <w:t xml:space="preserve">he following piece addresses this lacuna and underlines the spiritual shift in the king’s status. </w:t>
      </w:r>
      <w:r w:rsidR="00351037">
        <w:rPr>
          <w:sz w:val="24"/>
          <w:szCs w:val="24"/>
        </w:rPr>
        <w:t xml:space="preserve">It also provides </w:t>
      </w:r>
      <w:r w:rsidR="00351037" w:rsidRPr="00AC4AC9">
        <w:rPr>
          <w:sz w:val="24"/>
          <w:szCs w:val="24"/>
        </w:rPr>
        <w:t xml:space="preserve">an opportunity to examine medieval expressions of kingship and the significance of the anointing rite to king-making rituals in the pre-modern era. </w:t>
      </w:r>
    </w:p>
    <w:p w14:paraId="0EE58F15" w14:textId="30B74044" w:rsidR="00162CC6" w:rsidRDefault="007143F2" w:rsidP="006B56A8">
      <w:pPr>
        <w:spacing w:line="360" w:lineRule="auto"/>
        <w:ind w:firstLine="720"/>
        <w:jc w:val="both"/>
        <w:rPr>
          <w:sz w:val="24"/>
          <w:szCs w:val="24"/>
        </w:rPr>
      </w:pPr>
      <w:r>
        <w:rPr>
          <w:sz w:val="24"/>
          <w:szCs w:val="24"/>
        </w:rPr>
        <w:t xml:space="preserve">Using </w:t>
      </w:r>
      <w:r w:rsidR="00351037">
        <w:rPr>
          <w:sz w:val="24"/>
          <w:szCs w:val="24"/>
        </w:rPr>
        <w:t>a</w:t>
      </w:r>
      <w:r w:rsidR="003E0612">
        <w:rPr>
          <w:sz w:val="24"/>
          <w:szCs w:val="24"/>
        </w:rPr>
        <w:t xml:space="preserve"> </w:t>
      </w:r>
      <w:r w:rsidR="009D7D40">
        <w:rPr>
          <w:sz w:val="24"/>
          <w:szCs w:val="24"/>
        </w:rPr>
        <w:t>constructivist approach to medieval ritual</w:t>
      </w:r>
      <w:r w:rsidR="00351037">
        <w:rPr>
          <w:sz w:val="24"/>
          <w:szCs w:val="24"/>
        </w:rPr>
        <w:t>, this research</w:t>
      </w:r>
      <w:r w:rsidR="009D7D40">
        <w:rPr>
          <w:sz w:val="24"/>
          <w:szCs w:val="24"/>
        </w:rPr>
        <w:t xml:space="preserve"> emphasises the importance of </w:t>
      </w:r>
      <w:r w:rsidR="00351037">
        <w:rPr>
          <w:sz w:val="24"/>
          <w:szCs w:val="24"/>
        </w:rPr>
        <w:t xml:space="preserve">a ritual’s </w:t>
      </w:r>
      <w:r w:rsidR="009D7D40">
        <w:rPr>
          <w:sz w:val="24"/>
          <w:szCs w:val="24"/>
        </w:rPr>
        <w:t>performance</w:t>
      </w:r>
      <w:r w:rsidR="007E31B3">
        <w:rPr>
          <w:sz w:val="24"/>
          <w:szCs w:val="24"/>
        </w:rPr>
        <w:t>,</w:t>
      </w:r>
      <w:r w:rsidR="009D7D40">
        <w:rPr>
          <w:sz w:val="24"/>
          <w:szCs w:val="24"/>
        </w:rPr>
        <w:t xml:space="preserve"> its structure </w:t>
      </w:r>
      <w:r w:rsidR="007E31B3">
        <w:rPr>
          <w:sz w:val="24"/>
          <w:szCs w:val="24"/>
        </w:rPr>
        <w:t xml:space="preserve">and location </w:t>
      </w:r>
      <w:r w:rsidR="009D7D40">
        <w:rPr>
          <w:sz w:val="24"/>
          <w:szCs w:val="24"/>
        </w:rPr>
        <w:t xml:space="preserve">as the measures that determined </w:t>
      </w:r>
      <w:r w:rsidR="00944767">
        <w:rPr>
          <w:sz w:val="24"/>
          <w:szCs w:val="24"/>
        </w:rPr>
        <w:t>a</w:t>
      </w:r>
      <w:r w:rsidR="009D7D40">
        <w:rPr>
          <w:sz w:val="24"/>
          <w:szCs w:val="24"/>
        </w:rPr>
        <w:t xml:space="preserve"> ritual’s meaning and effectiveness, following scholars such as </w:t>
      </w:r>
      <w:r w:rsidR="00081551">
        <w:rPr>
          <w:sz w:val="24"/>
          <w:szCs w:val="24"/>
        </w:rPr>
        <w:t>Bruce Kapferer and Edward Schie</w:t>
      </w:r>
      <w:r w:rsidR="00944767">
        <w:rPr>
          <w:sz w:val="24"/>
          <w:szCs w:val="24"/>
        </w:rPr>
        <w:t>f</w:t>
      </w:r>
      <w:r w:rsidR="00081551">
        <w:rPr>
          <w:sz w:val="24"/>
          <w:szCs w:val="24"/>
        </w:rPr>
        <w:t>felin</w:t>
      </w:r>
      <w:r w:rsidR="009D7D40">
        <w:rPr>
          <w:sz w:val="24"/>
          <w:szCs w:val="24"/>
        </w:rPr>
        <w:t>.</w:t>
      </w:r>
      <w:r w:rsidR="009D7D40">
        <w:rPr>
          <w:rStyle w:val="FootnoteReference"/>
          <w:sz w:val="24"/>
          <w:szCs w:val="24"/>
        </w:rPr>
        <w:footnoteReference w:id="3"/>
      </w:r>
      <w:r w:rsidR="00944767">
        <w:rPr>
          <w:sz w:val="24"/>
          <w:szCs w:val="24"/>
        </w:rPr>
        <w:t xml:space="preserve"> </w:t>
      </w:r>
      <w:r w:rsidR="00DB159A">
        <w:rPr>
          <w:sz w:val="24"/>
          <w:szCs w:val="24"/>
        </w:rPr>
        <w:t>T</w:t>
      </w:r>
      <w:r w:rsidR="001323B1">
        <w:rPr>
          <w:sz w:val="24"/>
          <w:szCs w:val="24"/>
        </w:rPr>
        <w:t xml:space="preserve">he present study moves </w:t>
      </w:r>
      <w:r w:rsidR="00944767">
        <w:rPr>
          <w:sz w:val="24"/>
          <w:szCs w:val="24"/>
        </w:rPr>
        <w:t xml:space="preserve">away from textual analyses of rituals as a series of symbols </w:t>
      </w:r>
      <w:r w:rsidR="00F26AE5">
        <w:rPr>
          <w:sz w:val="24"/>
          <w:szCs w:val="24"/>
        </w:rPr>
        <w:t>with</w:t>
      </w:r>
      <w:r w:rsidR="00944767">
        <w:rPr>
          <w:sz w:val="24"/>
          <w:szCs w:val="24"/>
        </w:rPr>
        <w:t xml:space="preserve"> ascribed meanings</w:t>
      </w:r>
      <w:r w:rsidR="00874196">
        <w:rPr>
          <w:sz w:val="24"/>
          <w:szCs w:val="24"/>
        </w:rPr>
        <w:t>, to</w:t>
      </w:r>
      <w:r w:rsidR="00944767">
        <w:rPr>
          <w:sz w:val="24"/>
          <w:szCs w:val="24"/>
        </w:rPr>
        <w:t xml:space="preserve"> </w:t>
      </w:r>
      <w:r w:rsidR="00874196">
        <w:rPr>
          <w:sz w:val="24"/>
          <w:szCs w:val="24"/>
        </w:rPr>
        <w:t>understand what ritual acts were performed, how, and by whom. My intention is to reconstruct the</w:t>
      </w:r>
      <w:r w:rsidR="003E0612">
        <w:rPr>
          <w:sz w:val="24"/>
          <w:szCs w:val="24"/>
        </w:rPr>
        <w:t xml:space="preserve"> </w:t>
      </w:r>
      <w:r w:rsidR="00874196">
        <w:rPr>
          <w:sz w:val="24"/>
          <w:szCs w:val="24"/>
        </w:rPr>
        <w:t xml:space="preserve">inauguration to understand the messages that the ritual’s performers sought to communicate at Scone in 1331. </w:t>
      </w:r>
      <w:r w:rsidR="00351037">
        <w:rPr>
          <w:sz w:val="24"/>
          <w:szCs w:val="24"/>
        </w:rPr>
        <w:t xml:space="preserve">The discussion is divided into four </w:t>
      </w:r>
      <w:r w:rsidR="003E0612">
        <w:rPr>
          <w:sz w:val="24"/>
          <w:szCs w:val="24"/>
        </w:rPr>
        <w:t>sections</w:t>
      </w:r>
      <w:r w:rsidR="00351037">
        <w:rPr>
          <w:sz w:val="24"/>
          <w:szCs w:val="24"/>
        </w:rPr>
        <w:t xml:space="preserve">, with the first </w:t>
      </w:r>
      <w:r w:rsidR="00F26AE5">
        <w:rPr>
          <w:sz w:val="24"/>
          <w:szCs w:val="24"/>
        </w:rPr>
        <w:t>section focus</w:t>
      </w:r>
      <w:r w:rsidR="00555052">
        <w:rPr>
          <w:sz w:val="24"/>
          <w:szCs w:val="24"/>
        </w:rPr>
        <w:t>ing</w:t>
      </w:r>
      <w:r w:rsidR="00F26AE5">
        <w:rPr>
          <w:sz w:val="24"/>
          <w:szCs w:val="24"/>
        </w:rPr>
        <w:t xml:space="preserve"> on the ritual’s greatest innovation, unction, </w:t>
      </w:r>
      <w:r w:rsidR="00555052">
        <w:rPr>
          <w:sz w:val="24"/>
          <w:szCs w:val="24"/>
        </w:rPr>
        <w:t xml:space="preserve">and </w:t>
      </w:r>
      <w:r w:rsidR="00F26AE5">
        <w:rPr>
          <w:sz w:val="24"/>
          <w:szCs w:val="24"/>
        </w:rPr>
        <w:t xml:space="preserve">setting out its spiritual </w:t>
      </w:r>
      <w:r w:rsidR="00555052">
        <w:rPr>
          <w:sz w:val="24"/>
          <w:szCs w:val="24"/>
        </w:rPr>
        <w:t>and legal significance</w:t>
      </w:r>
      <w:r w:rsidR="00F26AE5">
        <w:rPr>
          <w:sz w:val="24"/>
          <w:szCs w:val="24"/>
        </w:rPr>
        <w:t xml:space="preserve">. Section two delves into Scotland’s earlier appeals </w:t>
      </w:r>
      <w:r w:rsidR="00F26AE5">
        <w:rPr>
          <w:sz w:val="24"/>
          <w:szCs w:val="24"/>
        </w:rPr>
        <w:lastRenderedPageBreak/>
        <w:t xml:space="preserve">for the right to anoint, to demonstrate the importance of this act to the kingdom’s political community. </w:t>
      </w:r>
      <w:r w:rsidR="003E0612">
        <w:rPr>
          <w:sz w:val="24"/>
          <w:szCs w:val="24"/>
        </w:rPr>
        <w:t xml:space="preserve">The third section details my approach to ritual; </w:t>
      </w:r>
      <w:r w:rsidR="00F26AE5">
        <w:rPr>
          <w:sz w:val="24"/>
          <w:szCs w:val="24"/>
        </w:rPr>
        <w:t xml:space="preserve">I emphasise how individuals participated in rites and how the change in the inauguration’s celebrant spoke to change in power dynamics in the political community. </w:t>
      </w:r>
      <w:r w:rsidR="003E0612">
        <w:rPr>
          <w:sz w:val="24"/>
          <w:szCs w:val="24"/>
        </w:rPr>
        <w:t>The final section reconstructs the form and performance of the 1331 inauguration, delving into its innovations and continuities to show the ritual’s intended meaning. I argue that 1331 marked a fundamental shift in how inauguration</w:t>
      </w:r>
      <w:r w:rsidR="00555052">
        <w:rPr>
          <w:sz w:val="24"/>
          <w:szCs w:val="24"/>
        </w:rPr>
        <w:t>s</w:t>
      </w:r>
      <w:r w:rsidR="003E0612">
        <w:rPr>
          <w:sz w:val="24"/>
          <w:szCs w:val="24"/>
        </w:rPr>
        <w:t xml:space="preserve"> were performed in Scotland, as an ecclesiastic became the celebrant, and liturgical elements we</w:t>
      </w:r>
      <w:r w:rsidR="00555052">
        <w:rPr>
          <w:sz w:val="24"/>
          <w:szCs w:val="24"/>
        </w:rPr>
        <w:t>r</w:t>
      </w:r>
      <w:r w:rsidR="003E0612">
        <w:rPr>
          <w:sz w:val="24"/>
          <w:szCs w:val="24"/>
        </w:rPr>
        <w:t xml:space="preserve">e included for the first time. The entire inauguration was constructed as an artful piece of political theatre, which underlined Scottish sovereignty to its domestic audience and international onlookers. Via elements such as the date selected, David’s knighting the day before, and other </w:t>
      </w:r>
      <w:r w:rsidR="00555052">
        <w:rPr>
          <w:sz w:val="24"/>
          <w:szCs w:val="24"/>
        </w:rPr>
        <w:t>rites</w:t>
      </w:r>
      <w:r w:rsidR="003E0612">
        <w:rPr>
          <w:sz w:val="24"/>
          <w:szCs w:val="24"/>
        </w:rPr>
        <w:t xml:space="preserve">, David was emphasised as the rightful successor of Robert I and </w:t>
      </w:r>
      <w:r>
        <w:rPr>
          <w:sz w:val="24"/>
          <w:szCs w:val="24"/>
        </w:rPr>
        <w:t xml:space="preserve">as </w:t>
      </w:r>
      <w:r w:rsidR="003E0612">
        <w:rPr>
          <w:sz w:val="24"/>
          <w:szCs w:val="24"/>
        </w:rPr>
        <w:t>a symbol of Scottish sovereignty. Overall, this ritual demonstrates the ways that the Bruce governments of the fourteenth century used spectacle and ritual to translate the royalist rhetoric of the first decades of the 1300s into political action</w:t>
      </w:r>
      <w:r w:rsidR="00555052">
        <w:rPr>
          <w:sz w:val="24"/>
          <w:szCs w:val="24"/>
        </w:rPr>
        <w:t>.</w:t>
      </w:r>
      <w:r w:rsidR="00555052">
        <w:rPr>
          <w:rStyle w:val="FootnoteReference"/>
          <w:sz w:val="24"/>
          <w:szCs w:val="24"/>
        </w:rPr>
        <w:footnoteReference w:id="4"/>
      </w:r>
    </w:p>
    <w:p w14:paraId="7912BCB9" w14:textId="291CA9B8" w:rsidR="00123286" w:rsidRPr="000B51E3" w:rsidRDefault="00855A57" w:rsidP="006B56A8">
      <w:pPr>
        <w:spacing w:line="360" w:lineRule="auto"/>
        <w:jc w:val="both"/>
        <w:rPr>
          <w:b/>
          <w:bCs/>
          <w:sz w:val="24"/>
          <w:szCs w:val="24"/>
        </w:rPr>
      </w:pPr>
      <w:r w:rsidRPr="000B51E3">
        <w:rPr>
          <w:b/>
          <w:bCs/>
          <w:sz w:val="24"/>
          <w:szCs w:val="24"/>
        </w:rPr>
        <w:t>Innovation</w:t>
      </w:r>
    </w:p>
    <w:p w14:paraId="084C4732" w14:textId="432A53D5" w:rsidR="00DA191C" w:rsidRPr="00AC4AC9" w:rsidRDefault="004010F0" w:rsidP="006B56A8">
      <w:pPr>
        <w:spacing w:line="360" w:lineRule="auto"/>
        <w:jc w:val="both"/>
        <w:rPr>
          <w:sz w:val="24"/>
          <w:szCs w:val="24"/>
        </w:rPr>
      </w:pPr>
      <w:r>
        <w:rPr>
          <w:sz w:val="24"/>
          <w:szCs w:val="24"/>
        </w:rPr>
        <w:t>S</w:t>
      </w:r>
      <w:r w:rsidR="00F4418D">
        <w:rPr>
          <w:sz w:val="24"/>
          <w:szCs w:val="24"/>
        </w:rPr>
        <w:t>ome historians have questioned whether David II was the first Scottish king to be anointed</w:t>
      </w:r>
      <w:r>
        <w:rPr>
          <w:sz w:val="24"/>
          <w:szCs w:val="24"/>
        </w:rPr>
        <w:t>.</w:t>
      </w:r>
      <w:r w:rsidRPr="00AC4AC9">
        <w:rPr>
          <w:rStyle w:val="FootnoteReference"/>
          <w:sz w:val="24"/>
          <w:szCs w:val="24"/>
        </w:rPr>
        <w:footnoteReference w:id="5"/>
      </w:r>
      <w:r>
        <w:rPr>
          <w:sz w:val="24"/>
          <w:szCs w:val="24"/>
        </w:rPr>
        <w:t xml:space="preserve"> Indeed, we must remain mindful of Philippe Buc’s warning about the </w:t>
      </w:r>
      <w:r w:rsidR="006F58BF">
        <w:rPr>
          <w:sz w:val="24"/>
          <w:szCs w:val="24"/>
        </w:rPr>
        <w:t>influence of the author’s voice when shaping narratives of ritual, particularly in this context where all our contempor</w:t>
      </w:r>
      <w:r w:rsidR="003421A9">
        <w:rPr>
          <w:sz w:val="24"/>
          <w:szCs w:val="24"/>
        </w:rPr>
        <w:t>ary</w:t>
      </w:r>
      <w:r w:rsidR="006F58BF">
        <w:rPr>
          <w:sz w:val="24"/>
          <w:szCs w:val="24"/>
        </w:rPr>
        <w:t xml:space="preserve"> accounts were written by Englishmen, behind enemy lines, and the Scottish accounts were written several decades after the ritual.</w:t>
      </w:r>
      <w:r w:rsidR="006F58BF">
        <w:rPr>
          <w:rStyle w:val="FootnoteReference"/>
          <w:sz w:val="24"/>
          <w:szCs w:val="24"/>
        </w:rPr>
        <w:footnoteReference w:id="6"/>
      </w:r>
      <w:r w:rsidR="006F58BF">
        <w:rPr>
          <w:sz w:val="24"/>
          <w:szCs w:val="24"/>
        </w:rPr>
        <w:t xml:space="preserve"> Yet, </w:t>
      </w:r>
      <w:r w:rsidR="00B4343C">
        <w:rPr>
          <w:sz w:val="24"/>
          <w:szCs w:val="24"/>
        </w:rPr>
        <w:t xml:space="preserve">both Scottish and English authors </w:t>
      </w:r>
      <w:r w:rsidR="009D397D">
        <w:rPr>
          <w:sz w:val="24"/>
          <w:szCs w:val="24"/>
        </w:rPr>
        <w:t>emphasised the novelty and innovation of anointing</w:t>
      </w:r>
      <w:r w:rsidR="00065A3E">
        <w:rPr>
          <w:sz w:val="24"/>
          <w:szCs w:val="24"/>
        </w:rPr>
        <w:t xml:space="preserve"> in the 1331 inauguration.</w:t>
      </w:r>
      <w:r w:rsidR="00DA191C" w:rsidRPr="00AC4AC9">
        <w:rPr>
          <w:sz w:val="24"/>
          <w:szCs w:val="24"/>
        </w:rPr>
        <w:t xml:space="preserve"> </w:t>
      </w:r>
      <w:r w:rsidR="00DB159A">
        <w:rPr>
          <w:sz w:val="24"/>
          <w:szCs w:val="24"/>
        </w:rPr>
        <w:t xml:space="preserve">This collective agreement across these narrative sources, despite </w:t>
      </w:r>
      <w:r w:rsidR="001F6F46">
        <w:rPr>
          <w:sz w:val="24"/>
          <w:szCs w:val="24"/>
        </w:rPr>
        <w:t xml:space="preserve">the differing allegiances, historical contexts and geographies </w:t>
      </w:r>
      <w:r w:rsidR="00303427">
        <w:rPr>
          <w:sz w:val="24"/>
          <w:szCs w:val="24"/>
        </w:rPr>
        <w:t xml:space="preserve">of their authors </w:t>
      </w:r>
      <w:r w:rsidR="001F6F46">
        <w:rPr>
          <w:sz w:val="24"/>
          <w:szCs w:val="24"/>
        </w:rPr>
        <w:t xml:space="preserve">is notable. </w:t>
      </w:r>
      <w:r w:rsidR="00DA191C" w:rsidRPr="00AC4AC9">
        <w:rPr>
          <w:sz w:val="24"/>
          <w:szCs w:val="24"/>
        </w:rPr>
        <w:t>The anonymous chronicle</w:t>
      </w:r>
      <w:r w:rsidR="001323B1">
        <w:rPr>
          <w:sz w:val="24"/>
          <w:szCs w:val="24"/>
        </w:rPr>
        <w:t xml:space="preserve"> commonly </w:t>
      </w:r>
      <w:r w:rsidR="00303427">
        <w:rPr>
          <w:sz w:val="24"/>
          <w:szCs w:val="24"/>
        </w:rPr>
        <w:t>referred to</w:t>
      </w:r>
      <w:r w:rsidR="001323B1">
        <w:rPr>
          <w:sz w:val="24"/>
          <w:szCs w:val="24"/>
        </w:rPr>
        <w:t xml:space="preserve"> as</w:t>
      </w:r>
      <w:r w:rsidR="00DA191C" w:rsidRPr="00AC4AC9">
        <w:rPr>
          <w:sz w:val="24"/>
          <w:szCs w:val="24"/>
        </w:rPr>
        <w:t xml:space="preserve"> </w:t>
      </w:r>
      <w:proofErr w:type="spellStart"/>
      <w:r w:rsidR="00DA191C" w:rsidRPr="00AC4AC9">
        <w:rPr>
          <w:i/>
          <w:iCs/>
          <w:sz w:val="24"/>
          <w:szCs w:val="24"/>
        </w:rPr>
        <w:t>Gesta</w:t>
      </w:r>
      <w:proofErr w:type="spellEnd"/>
      <w:r w:rsidR="00DA191C" w:rsidRPr="00AC4AC9">
        <w:rPr>
          <w:i/>
          <w:iCs/>
          <w:sz w:val="24"/>
          <w:szCs w:val="24"/>
        </w:rPr>
        <w:t xml:space="preserve"> Annalia II (GAII)</w:t>
      </w:r>
      <w:r w:rsidR="00DA191C" w:rsidRPr="00AC4AC9">
        <w:rPr>
          <w:sz w:val="24"/>
          <w:szCs w:val="24"/>
        </w:rPr>
        <w:t xml:space="preserve">, which was written in the </w:t>
      </w:r>
      <w:r w:rsidR="00DA191C" w:rsidRPr="00AC4AC9">
        <w:rPr>
          <w:i/>
          <w:iCs/>
          <w:sz w:val="24"/>
          <w:szCs w:val="24"/>
        </w:rPr>
        <w:t>ca</w:t>
      </w:r>
      <w:r w:rsidR="00DA191C" w:rsidRPr="00AC4AC9">
        <w:rPr>
          <w:sz w:val="24"/>
          <w:szCs w:val="24"/>
        </w:rPr>
        <w:t>.1370s</w:t>
      </w:r>
      <w:r w:rsidR="006F58BF">
        <w:rPr>
          <w:sz w:val="24"/>
          <w:szCs w:val="24"/>
        </w:rPr>
        <w:t xml:space="preserve"> around the time of David’s death</w:t>
      </w:r>
      <w:r w:rsidR="00F15E26">
        <w:rPr>
          <w:sz w:val="24"/>
          <w:szCs w:val="24"/>
        </w:rPr>
        <w:t xml:space="preserve"> </w:t>
      </w:r>
      <w:r w:rsidR="00C20735">
        <w:rPr>
          <w:sz w:val="24"/>
          <w:szCs w:val="24"/>
        </w:rPr>
        <w:t>(1</w:t>
      </w:r>
      <w:r w:rsidR="00F15E26">
        <w:rPr>
          <w:sz w:val="24"/>
          <w:szCs w:val="24"/>
        </w:rPr>
        <w:t>371</w:t>
      </w:r>
      <w:r w:rsidR="00C20735">
        <w:rPr>
          <w:sz w:val="24"/>
          <w:szCs w:val="24"/>
        </w:rPr>
        <w:t>)</w:t>
      </w:r>
      <w:r w:rsidR="00065A3E">
        <w:rPr>
          <w:sz w:val="24"/>
          <w:szCs w:val="24"/>
        </w:rPr>
        <w:t>,</w:t>
      </w:r>
      <w:r w:rsidR="00DA191C" w:rsidRPr="00AC4AC9">
        <w:rPr>
          <w:sz w:val="24"/>
          <w:szCs w:val="24"/>
        </w:rPr>
        <w:t xml:space="preserve"> reported </w:t>
      </w:r>
      <w:r w:rsidR="00DA191C" w:rsidRPr="00AC4AC9">
        <w:rPr>
          <w:sz w:val="24"/>
          <w:szCs w:val="24"/>
        </w:rPr>
        <w:lastRenderedPageBreak/>
        <w:t>that David was ‘anointed king of Scots, and crowned at Scone’.</w:t>
      </w:r>
      <w:r w:rsidR="00DA191C" w:rsidRPr="00AC4AC9">
        <w:rPr>
          <w:rStyle w:val="FootnoteReference"/>
          <w:sz w:val="24"/>
          <w:szCs w:val="24"/>
        </w:rPr>
        <w:footnoteReference w:id="7"/>
      </w:r>
      <w:r w:rsidR="00DA191C" w:rsidRPr="00AC4AC9">
        <w:rPr>
          <w:sz w:val="24"/>
          <w:szCs w:val="24"/>
        </w:rPr>
        <w:t xml:space="preserve"> The author added that, ‘we do not read that any of the kings of Scotland, before this David, were anointed, or with such solemnity crowned.’</w:t>
      </w:r>
      <w:r w:rsidR="00DA191C" w:rsidRPr="00AC4AC9">
        <w:rPr>
          <w:rStyle w:val="FootnoteReference"/>
          <w:sz w:val="24"/>
          <w:szCs w:val="24"/>
        </w:rPr>
        <w:footnoteReference w:id="8"/>
      </w:r>
      <w:r w:rsidR="00DA191C" w:rsidRPr="00AC4AC9">
        <w:rPr>
          <w:sz w:val="24"/>
          <w:szCs w:val="24"/>
        </w:rPr>
        <w:t xml:space="preserve"> The fifteenth-century chronicler Andrew of Wyntoun</w:t>
      </w:r>
      <w:r w:rsidR="006F58BF">
        <w:rPr>
          <w:sz w:val="24"/>
          <w:szCs w:val="24"/>
        </w:rPr>
        <w:t>,</w:t>
      </w:r>
      <w:r w:rsidR="00DA191C" w:rsidRPr="00AC4AC9">
        <w:rPr>
          <w:sz w:val="24"/>
          <w:szCs w:val="24"/>
        </w:rPr>
        <w:t xml:space="preserve"> </w:t>
      </w:r>
      <w:r w:rsidR="006F58BF">
        <w:rPr>
          <w:sz w:val="24"/>
          <w:szCs w:val="24"/>
        </w:rPr>
        <w:t xml:space="preserve">writing in the 1410s </w:t>
      </w:r>
      <w:r w:rsidR="00F15E26">
        <w:rPr>
          <w:sz w:val="24"/>
          <w:szCs w:val="24"/>
        </w:rPr>
        <w:t xml:space="preserve">but </w:t>
      </w:r>
      <w:r w:rsidR="006F58BF">
        <w:rPr>
          <w:sz w:val="24"/>
          <w:szCs w:val="24"/>
        </w:rPr>
        <w:t xml:space="preserve">using earlier sources, </w:t>
      </w:r>
      <w:r w:rsidR="00DA191C" w:rsidRPr="00AC4AC9">
        <w:rPr>
          <w:sz w:val="24"/>
          <w:szCs w:val="24"/>
        </w:rPr>
        <w:t>struck a similar tone, by writing that David was crowned ‘</w:t>
      </w:r>
      <w:r w:rsidR="00DA191C" w:rsidRPr="00763E19">
        <w:rPr>
          <w:i/>
          <w:iCs/>
          <w:sz w:val="24"/>
          <w:szCs w:val="24"/>
        </w:rPr>
        <w:t xml:space="preserve">with </w:t>
      </w:r>
      <w:proofErr w:type="spellStart"/>
      <w:r w:rsidR="00DA191C" w:rsidRPr="00763E19">
        <w:rPr>
          <w:i/>
          <w:iCs/>
          <w:sz w:val="24"/>
          <w:szCs w:val="24"/>
        </w:rPr>
        <w:t>solmpne</w:t>
      </w:r>
      <w:proofErr w:type="spellEnd"/>
      <w:r w:rsidR="00DA191C" w:rsidRPr="00763E19">
        <w:rPr>
          <w:i/>
          <w:iCs/>
          <w:sz w:val="24"/>
          <w:szCs w:val="24"/>
        </w:rPr>
        <w:t xml:space="preserve"> and </w:t>
      </w:r>
      <w:proofErr w:type="spellStart"/>
      <w:r w:rsidR="00DA191C" w:rsidRPr="00763E19">
        <w:rPr>
          <w:i/>
          <w:iCs/>
          <w:sz w:val="24"/>
          <w:szCs w:val="24"/>
        </w:rPr>
        <w:t>sacrit</w:t>
      </w:r>
      <w:proofErr w:type="spellEnd"/>
      <w:r w:rsidR="00DA191C" w:rsidRPr="00763E19">
        <w:rPr>
          <w:i/>
          <w:iCs/>
          <w:sz w:val="24"/>
          <w:szCs w:val="24"/>
        </w:rPr>
        <w:t xml:space="preserve"> </w:t>
      </w:r>
      <w:proofErr w:type="spellStart"/>
      <w:r w:rsidR="00DA191C" w:rsidRPr="00763E19">
        <w:rPr>
          <w:i/>
          <w:iCs/>
          <w:sz w:val="24"/>
          <w:szCs w:val="24"/>
        </w:rPr>
        <w:t>vnctioun</w:t>
      </w:r>
      <w:proofErr w:type="spellEnd"/>
      <w:r w:rsidR="00DA191C" w:rsidRPr="00AC4AC9">
        <w:rPr>
          <w:sz w:val="24"/>
          <w:szCs w:val="24"/>
        </w:rPr>
        <w:t>’.</w:t>
      </w:r>
      <w:r w:rsidR="00DA191C" w:rsidRPr="00AC4AC9">
        <w:rPr>
          <w:rStyle w:val="FootnoteReference"/>
          <w:sz w:val="24"/>
          <w:szCs w:val="24"/>
        </w:rPr>
        <w:footnoteReference w:id="9"/>
      </w:r>
      <w:r w:rsidR="00DA191C" w:rsidRPr="00AC4AC9">
        <w:rPr>
          <w:sz w:val="24"/>
          <w:szCs w:val="24"/>
        </w:rPr>
        <w:t xml:space="preserve"> Although he did not explicitly state that this was the first anointing, he implied that the ritual was innovative and something to be emulated: ‘</w:t>
      </w:r>
      <w:r w:rsidR="00DA191C" w:rsidRPr="00763E19">
        <w:rPr>
          <w:i/>
          <w:iCs/>
          <w:sz w:val="24"/>
          <w:szCs w:val="24"/>
        </w:rPr>
        <w:t xml:space="preserve">And </w:t>
      </w:r>
      <w:proofErr w:type="spellStart"/>
      <w:r w:rsidR="00DA191C" w:rsidRPr="00763E19">
        <w:rPr>
          <w:i/>
          <w:iCs/>
          <w:sz w:val="24"/>
          <w:szCs w:val="24"/>
        </w:rPr>
        <w:t>sa</w:t>
      </w:r>
      <w:proofErr w:type="spellEnd"/>
      <w:r w:rsidR="00DA191C" w:rsidRPr="00763E19">
        <w:rPr>
          <w:i/>
          <w:iCs/>
          <w:sz w:val="24"/>
          <w:szCs w:val="24"/>
        </w:rPr>
        <w:t xml:space="preserve"> all </w:t>
      </w:r>
      <w:proofErr w:type="spellStart"/>
      <w:r w:rsidR="00DA191C" w:rsidRPr="00763E19">
        <w:rPr>
          <w:i/>
          <w:iCs/>
          <w:sz w:val="24"/>
          <w:szCs w:val="24"/>
        </w:rPr>
        <w:t>kingis</w:t>
      </w:r>
      <w:proofErr w:type="spellEnd"/>
      <w:r w:rsidR="00DA191C" w:rsidRPr="00763E19">
        <w:rPr>
          <w:i/>
          <w:iCs/>
          <w:sz w:val="24"/>
          <w:szCs w:val="24"/>
        </w:rPr>
        <w:t xml:space="preserve"> of Scotland/ </w:t>
      </w:r>
      <w:proofErr w:type="spellStart"/>
      <w:r w:rsidR="00DA191C" w:rsidRPr="00763E19">
        <w:rPr>
          <w:i/>
          <w:iCs/>
          <w:sz w:val="24"/>
          <w:szCs w:val="24"/>
        </w:rPr>
        <w:t>Suld</w:t>
      </w:r>
      <w:proofErr w:type="spellEnd"/>
      <w:r w:rsidR="00DA191C" w:rsidRPr="00763E19">
        <w:rPr>
          <w:i/>
          <w:iCs/>
          <w:sz w:val="24"/>
          <w:szCs w:val="24"/>
        </w:rPr>
        <w:t xml:space="preserve"> be </w:t>
      </w:r>
      <w:proofErr w:type="spellStart"/>
      <w:r w:rsidR="00DA191C" w:rsidRPr="00763E19">
        <w:rPr>
          <w:i/>
          <w:iCs/>
          <w:sz w:val="24"/>
          <w:szCs w:val="24"/>
        </w:rPr>
        <w:t>sa</w:t>
      </w:r>
      <w:proofErr w:type="spellEnd"/>
      <w:r w:rsidR="00DA191C" w:rsidRPr="00763E19">
        <w:rPr>
          <w:i/>
          <w:iCs/>
          <w:sz w:val="24"/>
          <w:szCs w:val="24"/>
        </w:rPr>
        <w:t xml:space="preserve"> </w:t>
      </w:r>
      <w:proofErr w:type="spellStart"/>
      <w:r w:rsidR="00DA191C" w:rsidRPr="00763E19">
        <w:rPr>
          <w:i/>
          <w:iCs/>
          <w:sz w:val="24"/>
          <w:szCs w:val="24"/>
        </w:rPr>
        <w:t>vnctit</w:t>
      </w:r>
      <w:proofErr w:type="spellEnd"/>
      <w:r w:rsidR="00DA191C" w:rsidRPr="00763E19">
        <w:rPr>
          <w:i/>
          <w:iCs/>
          <w:sz w:val="24"/>
          <w:szCs w:val="24"/>
        </w:rPr>
        <w:t xml:space="preserve"> before </w:t>
      </w:r>
      <w:proofErr w:type="spellStart"/>
      <w:r w:rsidR="00DA191C" w:rsidRPr="00763E19">
        <w:rPr>
          <w:i/>
          <w:iCs/>
          <w:sz w:val="24"/>
          <w:szCs w:val="24"/>
        </w:rPr>
        <w:t>regnand</w:t>
      </w:r>
      <w:proofErr w:type="spellEnd"/>
      <w:r w:rsidR="00DA191C" w:rsidRPr="00AC4AC9">
        <w:rPr>
          <w:sz w:val="24"/>
          <w:szCs w:val="24"/>
        </w:rPr>
        <w:t>’.</w:t>
      </w:r>
      <w:r w:rsidR="00DA191C" w:rsidRPr="00AC4AC9">
        <w:rPr>
          <w:rStyle w:val="FootnoteReference"/>
          <w:sz w:val="24"/>
          <w:szCs w:val="24"/>
        </w:rPr>
        <w:footnoteReference w:id="10"/>
      </w:r>
      <w:r w:rsidR="00DA191C" w:rsidRPr="00AC4AC9">
        <w:rPr>
          <w:sz w:val="24"/>
          <w:szCs w:val="24"/>
        </w:rPr>
        <w:t xml:space="preserve"> The most detailed Scottish account of David’s inauguration is an anonymous Latin poem </w:t>
      </w:r>
      <w:r w:rsidR="00C20735">
        <w:rPr>
          <w:sz w:val="24"/>
          <w:szCs w:val="24"/>
        </w:rPr>
        <w:t>inserted by</w:t>
      </w:r>
      <w:r w:rsidR="00DA191C" w:rsidRPr="00AC4AC9">
        <w:rPr>
          <w:sz w:val="24"/>
          <w:szCs w:val="24"/>
        </w:rPr>
        <w:t xml:space="preserve"> Walter Bower</w:t>
      </w:r>
      <w:r w:rsidR="00C20735">
        <w:rPr>
          <w:sz w:val="24"/>
          <w:szCs w:val="24"/>
        </w:rPr>
        <w:t xml:space="preserve"> into his</w:t>
      </w:r>
      <w:r w:rsidR="00DA191C" w:rsidRPr="00AC4AC9">
        <w:rPr>
          <w:sz w:val="24"/>
          <w:szCs w:val="24"/>
        </w:rPr>
        <w:t xml:space="preserve"> </w:t>
      </w:r>
      <w:proofErr w:type="spellStart"/>
      <w:r w:rsidR="00DA191C" w:rsidRPr="00AC4AC9">
        <w:rPr>
          <w:i/>
          <w:iCs/>
          <w:sz w:val="24"/>
          <w:szCs w:val="24"/>
        </w:rPr>
        <w:t>Scotichronicon</w:t>
      </w:r>
      <w:proofErr w:type="spellEnd"/>
      <w:r w:rsidR="00F15E26">
        <w:rPr>
          <w:sz w:val="24"/>
          <w:szCs w:val="24"/>
        </w:rPr>
        <w:t>, which was written in the 1440s</w:t>
      </w:r>
      <w:r w:rsidR="00DA191C" w:rsidRPr="00AC4AC9">
        <w:rPr>
          <w:sz w:val="24"/>
          <w:szCs w:val="24"/>
        </w:rPr>
        <w:t xml:space="preserve">: </w:t>
      </w:r>
    </w:p>
    <w:p w14:paraId="7153FB4A" w14:textId="77777777" w:rsidR="00DA191C" w:rsidRPr="00AC4AC9" w:rsidRDefault="00DA191C" w:rsidP="006B56A8">
      <w:pPr>
        <w:pStyle w:val="NoSpacing"/>
        <w:spacing w:line="360" w:lineRule="auto"/>
        <w:ind w:left="1440"/>
        <w:rPr>
          <w:sz w:val="24"/>
          <w:szCs w:val="24"/>
        </w:rPr>
      </w:pPr>
      <w:r w:rsidRPr="00AC4AC9">
        <w:rPr>
          <w:sz w:val="24"/>
          <w:szCs w:val="24"/>
        </w:rPr>
        <w:t>By law the crown is revered in a new fashion at Scone,</w:t>
      </w:r>
    </w:p>
    <w:p w14:paraId="3DDC3394" w14:textId="77777777" w:rsidR="00DA191C" w:rsidRPr="00AC4AC9" w:rsidRDefault="00DA191C" w:rsidP="006B56A8">
      <w:pPr>
        <w:pStyle w:val="NoSpacing"/>
        <w:spacing w:line="360" w:lineRule="auto"/>
        <w:ind w:left="1440"/>
        <w:rPr>
          <w:sz w:val="24"/>
          <w:szCs w:val="24"/>
        </w:rPr>
      </w:pPr>
      <w:r w:rsidRPr="00AC4AC9">
        <w:rPr>
          <w:sz w:val="24"/>
          <w:szCs w:val="24"/>
        </w:rPr>
        <w:t>Which used to enjoy only desire for the throne.</w:t>
      </w:r>
    </w:p>
    <w:p w14:paraId="43B38B9C" w14:textId="3ED657FA" w:rsidR="00DA191C" w:rsidRPr="00AC4AC9" w:rsidRDefault="00DA191C" w:rsidP="006B56A8">
      <w:pPr>
        <w:pStyle w:val="NoSpacing"/>
        <w:spacing w:line="360" w:lineRule="auto"/>
        <w:ind w:left="1440"/>
        <w:rPr>
          <w:sz w:val="24"/>
          <w:szCs w:val="24"/>
        </w:rPr>
      </w:pPr>
      <w:r w:rsidRPr="00AC4AC9">
        <w:rPr>
          <w:sz w:val="24"/>
          <w:szCs w:val="24"/>
        </w:rPr>
        <w:t>Now that this has been acquired by the desire of King Robert,</w:t>
      </w:r>
    </w:p>
    <w:p w14:paraId="59FFA727" w14:textId="77777777" w:rsidR="00DA191C" w:rsidRPr="00AC4AC9" w:rsidRDefault="00DA191C" w:rsidP="006B56A8">
      <w:pPr>
        <w:pStyle w:val="NoSpacing"/>
        <w:spacing w:line="360" w:lineRule="auto"/>
        <w:ind w:left="1440"/>
        <w:rPr>
          <w:sz w:val="24"/>
          <w:szCs w:val="24"/>
        </w:rPr>
      </w:pPr>
      <w:r w:rsidRPr="00AC4AC9">
        <w:rPr>
          <w:sz w:val="24"/>
          <w:szCs w:val="24"/>
        </w:rPr>
        <w:t xml:space="preserve">David will rule with great splendour. </w:t>
      </w:r>
    </w:p>
    <w:p w14:paraId="3FBC67F2" w14:textId="77777777" w:rsidR="00DA191C" w:rsidRPr="00AC4AC9" w:rsidRDefault="00DA191C" w:rsidP="006B56A8">
      <w:pPr>
        <w:pStyle w:val="NoSpacing"/>
        <w:spacing w:line="360" w:lineRule="auto"/>
        <w:ind w:left="1440"/>
        <w:rPr>
          <w:sz w:val="24"/>
          <w:szCs w:val="24"/>
        </w:rPr>
      </w:pPr>
      <w:r w:rsidRPr="00AC4AC9">
        <w:rPr>
          <w:sz w:val="24"/>
          <w:szCs w:val="24"/>
        </w:rPr>
        <w:t>In the year thirteen hundred plus three decades</w:t>
      </w:r>
    </w:p>
    <w:p w14:paraId="39EC9484" w14:textId="77777777" w:rsidR="00DA191C" w:rsidRPr="00AC4AC9" w:rsidRDefault="00DA191C" w:rsidP="006B56A8">
      <w:pPr>
        <w:pStyle w:val="NoSpacing"/>
        <w:spacing w:line="360" w:lineRule="auto"/>
        <w:ind w:left="1440"/>
        <w:rPr>
          <w:sz w:val="24"/>
          <w:szCs w:val="24"/>
        </w:rPr>
      </w:pPr>
      <w:r w:rsidRPr="00AC4AC9">
        <w:rPr>
          <w:sz w:val="24"/>
          <w:szCs w:val="24"/>
        </w:rPr>
        <w:t xml:space="preserve">with one year added to it, David was provided with a high crown. </w:t>
      </w:r>
    </w:p>
    <w:p w14:paraId="440A717B" w14:textId="77777777" w:rsidR="00DA191C" w:rsidRPr="00AC4AC9" w:rsidRDefault="00DA191C" w:rsidP="006B56A8">
      <w:pPr>
        <w:pStyle w:val="NoSpacing"/>
        <w:spacing w:line="360" w:lineRule="auto"/>
        <w:ind w:left="1440"/>
        <w:rPr>
          <w:sz w:val="24"/>
          <w:szCs w:val="24"/>
        </w:rPr>
      </w:pPr>
      <w:r w:rsidRPr="00AC4AC9">
        <w:rPr>
          <w:sz w:val="24"/>
          <w:szCs w:val="24"/>
        </w:rPr>
        <w:t xml:space="preserve">In </w:t>
      </w:r>
      <w:proofErr w:type="gramStart"/>
      <w:r w:rsidRPr="00AC4AC9">
        <w:rPr>
          <w:sz w:val="24"/>
          <w:szCs w:val="24"/>
        </w:rPr>
        <w:t>fact</w:t>
      </w:r>
      <w:proofErr w:type="gramEnd"/>
      <w:r w:rsidRPr="00AC4AC9">
        <w:rPr>
          <w:sz w:val="24"/>
          <w:szCs w:val="24"/>
        </w:rPr>
        <w:t xml:space="preserve"> on the feast of </w:t>
      </w:r>
      <w:proofErr w:type="spellStart"/>
      <w:r w:rsidRPr="00AC4AC9">
        <w:rPr>
          <w:sz w:val="24"/>
          <w:szCs w:val="24"/>
        </w:rPr>
        <w:t>Chrysogonus</w:t>
      </w:r>
      <w:proofErr w:type="spellEnd"/>
      <w:r w:rsidRPr="00AC4AC9">
        <w:rPr>
          <w:sz w:val="24"/>
          <w:szCs w:val="24"/>
        </w:rPr>
        <w:t xml:space="preserve"> in the middle of November, </w:t>
      </w:r>
    </w:p>
    <w:p w14:paraId="5FB05A3E" w14:textId="77777777" w:rsidR="00DA191C" w:rsidRPr="00AC4AC9" w:rsidRDefault="00DA191C" w:rsidP="006B56A8">
      <w:pPr>
        <w:pStyle w:val="NoSpacing"/>
        <w:spacing w:line="360" w:lineRule="auto"/>
        <w:ind w:left="1440"/>
        <w:rPr>
          <w:sz w:val="24"/>
          <w:szCs w:val="24"/>
        </w:rPr>
      </w:pPr>
      <w:r w:rsidRPr="00AC4AC9">
        <w:rPr>
          <w:sz w:val="24"/>
          <w:szCs w:val="24"/>
        </w:rPr>
        <w:t xml:space="preserve">with Bishop James bestowing and Pope John approving, </w:t>
      </w:r>
    </w:p>
    <w:p w14:paraId="0B82DF35" w14:textId="77777777" w:rsidR="00DA191C" w:rsidRPr="00AC4AC9" w:rsidRDefault="00DA191C" w:rsidP="006B56A8">
      <w:pPr>
        <w:pStyle w:val="NoSpacing"/>
        <w:spacing w:line="360" w:lineRule="auto"/>
        <w:ind w:left="1440"/>
        <w:rPr>
          <w:sz w:val="24"/>
          <w:szCs w:val="24"/>
        </w:rPr>
      </w:pPr>
      <w:r w:rsidRPr="00AC4AC9">
        <w:rPr>
          <w:sz w:val="24"/>
          <w:szCs w:val="24"/>
        </w:rPr>
        <w:t xml:space="preserve">and the whole world attending with decorum. </w:t>
      </w:r>
    </w:p>
    <w:p w14:paraId="36B9B033" w14:textId="77777777" w:rsidR="00DA191C" w:rsidRPr="00AC4AC9" w:rsidRDefault="00DA191C" w:rsidP="006B56A8">
      <w:pPr>
        <w:pStyle w:val="NoSpacing"/>
        <w:spacing w:line="360" w:lineRule="auto"/>
        <w:ind w:left="1440"/>
        <w:rPr>
          <w:sz w:val="24"/>
          <w:szCs w:val="24"/>
        </w:rPr>
      </w:pPr>
      <w:r w:rsidRPr="00AC4AC9">
        <w:rPr>
          <w:sz w:val="24"/>
          <w:szCs w:val="24"/>
        </w:rPr>
        <w:t>He was girded on St Clement’s Day with the sword of a knight</w:t>
      </w:r>
    </w:p>
    <w:p w14:paraId="0CA953FF" w14:textId="77777777" w:rsidR="00DA191C" w:rsidRPr="00AC4AC9" w:rsidRDefault="00DA191C" w:rsidP="006B56A8">
      <w:pPr>
        <w:pStyle w:val="NoSpacing"/>
        <w:spacing w:line="360" w:lineRule="auto"/>
        <w:ind w:left="1440"/>
        <w:rPr>
          <w:sz w:val="24"/>
          <w:szCs w:val="24"/>
        </w:rPr>
      </w:pPr>
      <w:r w:rsidRPr="00AC4AC9">
        <w:rPr>
          <w:sz w:val="24"/>
          <w:szCs w:val="24"/>
        </w:rPr>
        <w:t xml:space="preserve">Which the hand of the bold earl of Moray provided. </w:t>
      </w:r>
    </w:p>
    <w:p w14:paraId="57080B58" w14:textId="3FF9DE79" w:rsidR="00DA191C" w:rsidRPr="00AC4AC9" w:rsidRDefault="00DA191C" w:rsidP="006B56A8">
      <w:pPr>
        <w:pStyle w:val="NoSpacing"/>
        <w:spacing w:line="360" w:lineRule="auto"/>
        <w:ind w:left="1440"/>
        <w:rPr>
          <w:sz w:val="24"/>
          <w:szCs w:val="24"/>
        </w:rPr>
      </w:pPr>
      <w:r w:rsidRPr="00AC4AC9">
        <w:rPr>
          <w:sz w:val="24"/>
          <w:szCs w:val="24"/>
        </w:rPr>
        <w:t>If you as</w:t>
      </w:r>
      <w:r w:rsidR="005970D9">
        <w:rPr>
          <w:sz w:val="24"/>
          <w:szCs w:val="24"/>
        </w:rPr>
        <w:t>k</w:t>
      </w:r>
      <w:r w:rsidRPr="00AC4AC9">
        <w:rPr>
          <w:sz w:val="24"/>
          <w:szCs w:val="24"/>
        </w:rPr>
        <w:t xml:space="preserve"> how many gifts were given to David at Scone, </w:t>
      </w:r>
    </w:p>
    <w:p w14:paraId="6AA8012A" w14:textId="7A8E2783" w:rsidR="00DA191C" w:rsidRDefault="00DA191C" w:rsidP="006B56A8">
      <w:pPr>
        <w:pStyle w:val="NoSpacing"/>
        <w:spacing w:line="360" w:lineRule="auto"/>
        <w:ind w:left="1440"/>
        <w:rPr>
          <w:sz w:val="24"/>
          <w:szCs w:val="24"/>
        </w:rPr>
      </w:pPr>
      <w:r w:rsidRPr="00AC4AC9">
        <w:rPr>
          <w:sz w:val="24"/>
          <w:szCs w:val="24"/>
        </w:rPr>
        <w:t xml:space="preserve">there were indeed three gifts </w:t>
      </w:r>
      <w:r w:rsidR="007E31B3">
        <w:rPr>
          <w:sz w:val="24"/>
          <w:szCs w:val="24"/>
        </w:rPr>
        <w:t>—</w:t>
      </w:r>
      <w:r w:rsidRPr="00AC4AC9">
        <w:rPr>
          <w:sz w:val="24"/>
          <w:szCs w:val="24"/>
        </w:rPr>
        <w:t xml:space="preserve"> the sword, the throne, and the crown.</w:t>
      </w:r>
      <w:r w:rsidRPr="00AC4AC9">
        <w:rPr>
          <w:rStyle w:val="FootnoteReference"/>
          <w:sz w:val="24"/>
          <w:szCs w:val="24"/>
        </w:rPr>
        <w:footnoteReference w:id="11"/>
      </w:r>
    </w:p>
    <w:p w14:paraId="63B88CCF" w14:textId="77777777" w:rsidR="005970D9" w:rsidRPr="00AC4AC9" w:rsidRDefault="005970D9" w:rsidP="006B56A8">
      <w:pPr>
        <w:pStyle w:val="NoSpacing"/>
        <w:spacing w:line="360" w:lineRule="auto"/>
        <w:ind w:left="1440"/>
        <w:rPr>
          <w:sz w:val="24"/>
          <w:szCs w:val="24"/>
        </w:rPr>
      </w:pPr>
    </w:p>
    <w:p w14:paraId="2013801F" w14:textId="0DE4B7D7" w:rsidR="00744E0E" w:rsidRDefault="00DA191C" w:rsidP="006B56A8">
      <w:pPr>
        <w:spacing w:line="360" w:lineRule="auto"/>
        <w:jc w:val="both"/>
        <w:rPr>
          <w:sz w:val="24"/>
          <w:szCs w:val="24"/>
        </w:rPr>
      </w:pPr>
      <w:r w:rsidRPr="00AC4AC9">
        <w:rPr>
          <w:sz w:val="24"/>
          <w:szCs w:val="24"/>
        </w:rPr>
        <w:t xml:space="preserve">This extract is unique to the </w:t>
      </w:r>
      <w:proofErr w:type="spellStart"/>
      <w:r w:rsidRPr="00AC4AC9">
        <w:rPr>
          <w:i/>
          <w:iCs/>
          <w:sz w:val="24"/>
          <w:szCs w:val="24"/>
        </w:rPr>
        <w:t>Scotichronicon</w:t>
      </w:r>
      <w:proofErr w:type="spellEnd"/>
      <w:r w:rsidRPr="00AC4AC9">
        <w:rPr>
          <w:sz w:val="24"/>
          <w:szCs w:val="24"/>
        </w:rPr>
        <w:t xml:space="preserve"> and</w:t>
      </w:r>
      <w:r w:rsidR="00C20735">
        <w:rPr>
          <w:sz w:val="24"/>
          <w:szCs w:val="24"/>
        </w:rPr>
        <w:t xml:space="preserve"> is probably an interpolation of one of Bower’s sources, though he</w:t>
      </w:r>
      <w:r w:rsidRPr="00AC4AC9">
        <w:rPr>
          <w:sz w:val="24"/>
          <w:szCs w:val="24"/>
        </w:rPr>
        <w:t xml:space="preserve"> offered no information about its authorship: he simply stated</w:t>
      </w:r>
      <w:r w:rsidR="005970D9">
        <w:rPr>
          <w:sz w:val="24"/>
          <w:szCs w:val="24"/>
        </w:rPr>
        <w:t xml:space="preserve"> that</w:t>
      </w:r>
      <w:r w:rsidRPr="00AC4AC9">
        <w:rPr>
          <w:sz w:val="24"/>
          <w:szCs w:val="24"/>
        </w:rPr>
        <w:t xml:space="preserve"> </w:t>
      </w:r>
      <w:r w:rsidRPr="00AC4AC9">
        <w:rPr>
          <w:sz w:val="24"/>
          <w:szCs w:val="24"/>
        </w:rPr>
        <w:lastRenderedPageBreak/>
        <w:t>‘Somebody [has written] this’.</w:t>
      </w:r>
      <w:r w:rsidRPr="00AC4AC9">
        <w:rPr>
          <w:rStyle w:val="FootnoteReference"/>
          <w:sz w:val="24"/>
          <w:szCs w:val="24"/>
        </w:rPr>
        <w:footnoteReference w:id="12"/>
      </w:r>
      <w:r w:rsidRPr="00AC4AC9">
        <w:rPr>
          <w:sz w:val="24"/>
          <w:szCs w:val="24"/>
        </w:rPr>
        <w:t xml:space="preserve"> The detail of the account suggests the author was well informed about the inauguration</w:t>
      </w:r>
      <w:r w:rsidR="00C20735">
        <w:rPr>
          <w:sz w:val="24"/>
          <w:szCs w:val="24"/>
        </w:rPr>
        <w:t>, perhaps having either witnessed or been informed by a witness to the ritual</w:t>
      </w:r>
      <w:r w:rsidR="00A2004B">
        <w:rPr>
          <w:sz w:val="24"/>
          <w:szCs w:val="24"/>
        </w:rPr>
        <w:t>: for example,</w:t>
      </w:r>
      <w:r w:rsidRPr="00AC4AC9">
        <w:rPr>
          <w:sz w:val="24"/>
          <w:szCs w:val="24"/>
        </w:rPr>
        <w:t xml:space="preserve"> few other accounts discuss David’s knighting</w:t>
      </w:r>
      <w:r w:rsidR="00A2004B">
        <w:rPr>
          <w:sz w:val="24"/>
          <w:szCs w:val="24"/>
        </w:rPr>
        <w:t xml:space="preserve"> the day before</w:t>
      </w:r>
      <w:r w:rsidRPr="00AC4AC9">
        <w:rPr>
          <w:sz w:val="24"/>
          <w:szCs w:val="24"/>
        </w:rPr>
        <w:t xml:space="preserve">. The poem confirms the testimonies of </w:t>
      </w:r>
      <w:r w:rsidRPr="00AC4AC9">
        <w:rPr>
          <w:i/>
          <w:iCs/>
          <w:sz w:val="24"/>
          <w:szCs w:val="24"/>
        </w:rPr>
        <w:t>GAII</w:t>
      </w:r>
      <w:r w:rsidRPr="00AC4AC9">
        <w:rPr>
          <w:sz w:val="24"/>
          <w:szCs w:val="24"/>
        </w:rPr>
        <w:t xml:space="preserve"> and Wyntoun that this was the first use of unction, since the crown was ‘revered in a new fashion’, and the main celebrant was Bishop James Ben of St Andrews.</w:t>
      </w:r>
      <w:r w:rsidR="00C46C29">
        <w:rPr>
          <w:sz w:val="24"/>
          <w:szCs w:val="24"/>
        </w:rPr>
        <w:t xml:space="preserve"> It also contrasted the </w:t>
      </w:r>
      <w:r w:rsidR="00F96685">
        <w:rPr>
          <w:sz w:val="24"/>
          <w:szCs w:val="24"/>
        </w:rPr>
        <w:t xml:space="preserve">traditional </w:t>
      </w:r>
      <w:r w:rsidR="00C46C29">
        <w:rPr>
          <w:sz w:val="24"/>
          <w:szCs w:val="24"/>
        </w:rPr>
        <w:t>way in which Bower described Robert I’s inauguratio</w:t>
      </w:r>
      <w:r w:rsidR="00F96685">
        <w:rPr>
          <w:sz w:val="24"/>
          <w:szCs w:val="24"/>
        </w:rPr>
        <w:t>n</w:t>
      </w:r>
      <w:r w:rsidR="00240D80">
        <w:rPr>
          <w:sz w:val="24"/>
          <w:szCs w:val="24"/>
        </w:rPr>
        <w:t>, who was made king ‘in the fashion in which the kings of Scotland were customarily distinguished.’</w:t>
      </w:r>
      <w:r w:rsidR="00240D80">
        <w:rPr>
          <w:rStyle w:val="FootnoteReference"/>
          <w:sz w:val="24"/>
          <w:szCs w:val="24"/>
        </w:rPr>
        <w:footnoteReference w:id="13"/>
      </w:r>
      <w:r w:rsidR="00C46C29">
        <w:rPr>
          <w:sz w:val="24"/>
          <w:szCs w:val="24"/>
        </w:rPr>
        <w:t xml:space="preserve"> </w:t>
      </w:r>
      <w:r w:rsidRPr="00AC4AC9">
        <w:rPr>
          <w:sz w:val="24"/>
          <w:szCs w:val="24"/>
        </w:rPr>
        <w:t>Even the English author of the Chronicle of Meaux Abbey</w:t>
      </w:r>
      <w:r w:rsidR="00F15E26">
        <w:rPr>
          <w:sz w:val="24"/>
          <w:szCs w:val="24"/>
        </w:rPr>
        <w:t xml:space="preserve">, who was writing in the 1380s and </w:t>
      </w:r>
      <w:r w:rsidRPr="00AC4AC9">
        <w:rPr>
          <w:sz w:val="24"/>
          <w:szCs w:val="24"/>
        </w:rPr>
        <w:t>wished to undermine the Scottish king’s new status by writing that ‘</w:t>
      </w:r>
      <w:r w:rsidRPr="00763E19">
        <w:rPr>
          <w:i/>
          <w:iCs/>
          <w:sz w:val="24"/>
          <w:szCs w:val="24"/>
        </w:rPr>
        <w:t xml:space="preserve">locum </w:t>
      </w:r>
      <w:proofErr w:type="spellStart"/>
      <w:r w:rsidRPr="00763E19">
        <w:rPr>
          <w:i/>
          <w:iCs/>
          <w:sz w:val="24"/>
          <w:szCs w:val="24"/>
        </w:rPr>
        <w:t>sacratum</w:t>
      </w:r>
      <w:proofErr w:type="spellEnd"/>
      <w:r w:rsidRPr="00763E19">
        <w:rPr>
          <w:i/>
          <w:iCs/>
          <w:sz w:val="24"/>
          <w:szCs w:val="24"/>
        </w:rPr>
        <w:t xml:space="preserve"> </w:t>
      </w:r>
      <w:proofErr w:type="spellStart"/>
      <w:r w:rsidRPr="00763E19">
        <w:rPr>
          <w:i/>
          <w:iCs/>
          <w:sz w:val="24"/>
          <w:szCs w:val="24"/>
        </w:rPr>
        <w:t>ventrem</w:t>
      </w:r>
      <w:proofErr w:type="spellEnd"/>
      <w:r w:rsidRPr="00763E19">
        <w:rPr>
          <w:i/>
          <w:iCs/>
          <w:sz w:val="24"/>
          <w:szCs w:val="24"/>
        </w:rPr>
        <w:t xml:space="preserve"> </w:t>
      </w:r>
      <w:proofErr w:type="spellStart"/>
      <w:r w:rsidRPr="00763E19">
        <w:rPr>
          <w:i/>
          <w:iCs/>
          <w:sz w:val="24"/>
          <w:szCs w:val="24"/>
        </w:rPr>
        <w:t>purgando</w:t>
      </w:r>
      <w:proofErr w:type="spellEnd"/>
      <w:r w:rsidRPr="00763E19">
        <w:rPr>
          <w:i/>
          <w:iCs/>
          <w:sz w:val="24"/>
          <w:szCs w:val="24"/>
        </w:rPr>
        <w:t xml:space="preserve"> </w:t>
      </w:r>
      <w:proofErr w:type="spellStart"/>
      <w:r w:rsidRPr="00763E19">
        <w:rPr>
          <w:i/>
          <w:iCs/>
          <w:sz w:val="24"/>
          <w:szCs w:val="24"/>
        </w:rPr>
        <w:t>dedecoravit</w:t>
      </w:r>
      <w:proofErr w:type="spellEnd"/>
      <w:r w:rsidRPr="00763E19">
        <w:rPr>
          <w:i/>
          <w:iCs/>
          <w:sz w:val="24"/>
          <w:szCs w:val="24"/>
        </w:rPr>
        <w:t xml:space="preserve"> </w:t>
      </w:r>
      <w:proofErr w:type="spellStart"/>
      <w:r w:rsidRPr="00763E19">
        <w:rPr>
          <w:i/>
          <w:iCs/>
          <w:sz w:val="24"/>
          <w:szCs w:val="24"/>
        </w:rPr>
        <w:t>pariter</w:t>
      </w:r>
      <w:proofErr w:type="spellEnd"/>
      <w:r w:rsidRPr="00763E19">
        <w:rPr>
          <w:i/>
          <w:iCs/>
          <w:sz w:val="24"/>
          <w:szCs w:val="24"/>
        </w:rPr>
        <w:t xml:space="preserve"> et </w:t>
      </w:r>
      <w:proofErr w:type="spellStart"/>
      <w:r w:rsidRPr="00763E19">
        <w:rPr>
          <w:i/>
          <w:iCs/>
          <w:sz w:val="24"/>
          <w:szCs w:val="24"/>
        </w:rPr>
        <w:t>foedavit</w:t>
      </w:r>
      <w:proofErr w:type="spellEnd"/>
      <w:r w:rsidRPr="00AC4AC9">
        <w:rPr>
          <w:sz w:val="24"/>
          <w:szCs w:val="24"/>
        </w:rPr>
        <w:t>’</w:t>
      </w:r>
      <w:r w:rsidRPr="00AC4AC9">
        <w:rPr>
          <w:i/>
          <w:iCs/>
          <w:sz w:val="24"/>
          <w:szCs w:val="24"/>
        </w:rPr>
        <w:t xml:space="preserve"> </w:t>
      </w:r>
      <w:r w:rsidRPr="00AC4AC9">
        <w:rPr>
          <w:sz w:val="24"/>
          <w:szCs w:val="24"/>
        </w:rPr>
        <w:t>when he sat on the altar, acknowledged that ‘</w:t>
      </w:r>
      <w:r w:rsidRPr="00763E19">
        <w:rPr>
          <w:i/>
          <w:iCs/>
          <w:sz w:val="24"/>
          <w:szCs w:val="24"/>
        </w:rPr>
        <w:t xml:space="preserve">primus omnium regum </w:t>
      </w:r>
      <w:proofErr w:type="spellStart"/>
      <w:r w:rsidRPr="00763E19">
        <w:rPr>
          <w:i/>
          <w:iCs/>
          <w:sz w:val="24"/>
          <w:szCs w:val="24"/>
        </w:rPr>
        <w:t>Scociae</w:t>
      </w:r>
      <w:proofErr w:type="spellEnd"/>
      <w:r w:rsidRPr="00763E19">
        <w:rPr>
          <w:i/>
          <w:iCs/>
          <w:sz w:val="24"/>
          <w:szCs w:val="24"/>
        </w:rPr>
        <w:t xml:space="preserve"> coronatus et </w:t>
      </w:r>
      <w:proofErr w:type="spellStart"/>
      <w:r w:rsidRPr="00763E19">
        <w:rPr>
          <w:i/>
          <w:iCs/>
          <w:sz w:val="24"/>
          <w:szCs w:val="24"/>
        </w:rPr>
        <w:t>inunctus</w:t>
      </w:r>
      <w:proofErr w:type="spellEnd"/>
      <w:r w:rsidRPr="00763E19">
        <w:rPr>
          <w:i/>
          <w:iCs/>
          <w:sz w:val="24"/>
          <w:szCs w:val="24"/>
        </w:rPr>
        <w:t xml:space="preserve"> </w:t>
      </w:r>
      <w:proofErr w:type="spellStart"/>
      <w:r w:rsidRPr="00763E19">
        <w:rPr>
          <w:i/>
          <w:iCs/>
          <w:sz w:val="24"/>
          <w:szCs w:val="24"/>
        </w:rPr>
        <w:t>est</w:t>
      </w:r>
      <w:proofErr w:type="spellEnd"/>
      <w:r w:rsidRPr="00AC4AC9">
        <w:rPr>
          <w:sz w:val="24"/>
          <w:szCs w:val="24"/>
        </w:rPr>
        <w:t>’.</w:t>
      </w:r>
      <w:r w:rsidRPr="00AC4AC9">
        <w:rPr>
          <w:rStyle w:val="FootnoteReference"/>
          <w:sz w:val="24"/>
          <w:szCs w:val="24"/>
        </w:rPr>
        <w:footnoteReference w:id="14"/>
      </w:r>
      <w:r w:rsidRPr="00AC4AC9">
        <w:rPr>
          <w:sz w:val="24"/>
          <w:szCs w:val="24"/>
        </w:rPr>
        <w:t xml:space="preserve"> The anointing rite was unmistakably an innovation and novelty for Scottish inaugurations in 1331</w:t>
      </w:r>
      <w:r w:rsidR="005F36D9">
        <w:rPr>
          <w:sz w:val="24"/>
          <w:szCs w:val="24"/>
        </w:rPr>
        <w:t xml:space="preserve">. </w:t>
      </w:r>
    </w:p>
    <w:p w14:paraId="6BF817E3" w14:textId="6ADCD595" w:rsidR="005F36D9" w:rsidRPr="00AC4AC9" w:rsidRDefault="002B5A2D" w:rsidP="006B56A8">
      <w:pPr>
        <w:spacing w:line="360" w:lineRule="auto"/>
        <w:ind w:firstLine="720"/>
        <w:jc w:val="both"/>
        <w:rPr>
          <w:sz w:val="24"/>
          <w:szCs w:val="24"/>
        </w:rPr>
      </w:pPr>
      <w:r>
        <w:rPr>
          <w:sz w:val="24"/>
          <w:szCs w:val="24"/>
        </w:rPr>
        <w:t>Th</w:t>
      </w:r>
      <w:r w:rsidR="00DA72C4">
        <w:rPr>
          <w:sz w:val="24"/>
          <w:szCs w:val="24"/>
        </w:rPr>
        <w:t xml:space="preserve">is development was </w:t>
      </w:r>
      <w:r w:rsidR="00B945F9">
        <w:rPr>
          <w:sz w:val="24"/>
          <w:szCs w:val="24"/>
        </w:rPr>
        <w:t>significant because the anointing rite was integral to the very concept of Christian kingship, as demonstrated in the Old Testament.</w:t>
      </w:r>
      <w:r w:rsidR="00625837">
        <w:rPr>
          <w:sz w:val="24"/>
          <w:szCs w:val="24"/>
        </w:rPr>
        <w:t xml:space="preserve"> Through this ritual</w:t>
      </w:r>
      <w:r w:rsidR="00F9574B">
        <w:rPr>
          <w:sz w:val="24"/>
          <w:szCs w:val="24"/>
        </w:rPr>
        <w:t>,</w:t>
      </w:r>
      <w:r w:rsidR="00625837">
        <w:rPr>
          <w:sz w:val="24"/>
          <w:szCs w:val="24"/>
        </w:rPr>
        <w:t xml:space="preserve"> t</w:t>
      </w:r>
      <w:r w:rsidR="006F1C68">
        <w:rPr>
          <w:sz w:val="24"/>
          <w:szCs w:val="24"/>
        </w:rPr>
        <w:t xml:space="preserve">he tyrannical kings </w:t>
      </w:r>
      <w:r w:rsidR="007143F2">
        <w:rPr>
          <w:sz w:val="24"/>
          <w:szCs w:val="24"/>
        </w:rPr>
        <w:t>from whom God had saved his people</w:t>
      </w:r>
      <w:r w:rsidR="005970D9">
        <w:rPr>
          <w:sz w:val="24"/>
          <w:szCs w:val="24"/>
        </w:rPr>
        <w:t>,</w:t>
      </w:r>
      <w:r w:rsidR="005A79AA">
        <w:rPr>
          <w:sz w:val="24"/>
          <w:szCs w:val="24"/>
        </w:rPr>
        <w:t xml:space="preserve"> were transformed </w:t>
      </w:r>
      <w:r w:rsidR="005F36D9" w:rsidRPr="00AC4AC9">
        <w:rPr>
          <w:sz w:val="24"/>
          <w:szCs w:val="24"/>
        </w:rPr>
        <w:t>into divinely sanctioned rulers.</w:t>
      </w:r>
      <w:r w:rsidR="005F36D9" w:rsidRPr="00AC4AC9">
        <w:rPr>
          <w:rStyle w:val="FootnoteReference"/>
          <w:sz w:val="24"/>
          <w:szCs w:val="24"/>
        </w:rPr>
        <w:footnoteReference w:id="15"/>
      </w:r>
      <w:r w:rsidR="005F36D9" w:rsidRPr="00AC4AC9">
        <w:rPr>
          <w:sz w:val="24"/>
          <w:szCs w:val="24"/>
        </w:rPr>
        <w:t xml:space="preserve"> </w:t>
      </w:r>
      <w:r w:rsidR="009E4B62">
        <w:rPr>
          <w:sz w:val="24"/>
          <w:szCs w:val="24"/>
        </w:rPr>
        <w:t>The Books of Kings taught</w:t>
      </w:r>
      <w:r w:rsidR="00C1085D">
        <w:rPr>
          <w:sz w:val="24"/>
          <w:szCs w:val="24"/>
        </w:rPr>
        <w:t xml:space="preserve"> that kingship, as a political system, was fundamentally distasteful because God ha</w:t>
      </w:r>
      <w:r w:rsidR="005970D9">
        <w:rPr>
          <w:sz w:val="24"/>
          <w:szCs w:val="24"/>
        </w:rPr>
        <w:t>d</w:t>
      </w:r>
      <w:r w:rsidR="00C1085D">
        <w:rPr>
          <w:sz w:val="24"/>
          <w:szCs w:val="24"/>
        </w:rPr>
        <w:t xml:space="preserve"> not commanded the establishment of kingly rule </w:t>
      </w:r>
      <w:r w:rsidR="007E31B3">
        <w:rPr>
          <w:sz w:val="24"/>
          <w:szCs w:val="24"/>
        </w:rPr>
        <w:t>—</w:t>
      </w:r>
      <w:r w:rsidR="00C1085D">
        <w:rPr>
          <w:sz w:val="24"/>
          <w:szCs w:val="24"/>
        </w:rPr>
        <w:t xml:space="preserve"> he only tolerated it when </w:t>
      </w:r>
      <w:r w:rsidR="00F33C20">
        <w:rPr>
          <w:sz w:val="24"/>
          <w:szCs w:val="24"/>
        </w:rPr>
        <w:t xml:space="preserve">it was demanded by </w:t>
      </w:r>
      <w:r w:rsidR="0067032B">
        <w:rPr>
          <w:sz w:val="24"/>
          <w:szCs w:val="24"/>
        </w:rPr>
        <w:t>the weakness of humans.</w:t>
      </w:r>
      <w:r w:rsidR="0067032B">
        <w:rPr>
          <w:rStyle w:val="FootnoteReference"/>
          <w:sz w:val="24"/>
          <w:szCs w:val="24"/>
        </w:rPr>
        <w:footnoteReference w:id="16"/>
      </w:r>
      <w:r w:rsidR="00AD7A74">
        <w:rPr>
          <w:sz w:val="24"/>
          <w:szCs w:val="24"/>
        </w:rPr>
        <w:t xml:space="preserve"> </w:t>
      </w:r>
      <w:r w:rsidR="005F36D9" w:rsidRPr="00AC4AC9">
        <w:rPr>
          <w:sz w:val="24"/>
          <w:szCs w:val="24"/>
        </w:rPr>
        <w:t xml:space="preserve">It was divine blessing, via holy oil, that </w:t>
      </w:r>
      <w:r w:rsidR="00AD7A74">
        <w:rPr>
          <w:sz w:val="24"/>
          <w:szCs w:val="24"/>
        </w:rPr>
        <w:t>made</w:t>
      </w:r>
      <w:r w:rsidR="005F36D9" w:rsidRPr="00AC4AC9">
        <w:rPr>
          <w:sz w:val="24"/>
          <w:szCs w:val="24"/>
        </w:rPr>
        <w:t xml:space="preserve"> kings </w:t>
      </w:r>
      <w:r w:rsidR="00084DFA">
        <w:rPr>
          <w:sz w:val="24"/>
          <w:szCs w:val="24"/>
        </w:rPr>
        <w:t>accep</w:t>
      </w:r>
      <w:r w:rsidR="005F36D9" w:rsidRPr="00AC4AC9">
        <w:rPr>
          <w:sz w:val="24"/>
          <w:szCs w:val="24"/>
        </w:rPr>
        <w:t>table in a Christian society. Thus, Saul was blessed with holy oil and anointed as a prince by the prophet Samuel.</w:t>
      </w:r>
      <w:r w:rsidR="005F36D9" w:rsidRPr="00AC4AC9">
        <w:rPr>
          <w:rStyle w:val="FootnoteReference"/>
          <w:sz w:val="24"/>
          <w:szCs w:val="24"/>
        </w:rPr>
        <w:footnoteReference w:id="17"/>
      </w:r>
      <w:r w:rsidR="005F36D9" w:rsidRPr="00AC4AC9">
        <w:rPr>
          <w:sz w:val="24"/>
          <w:szCs w:val="24"/>
        </w:rPr>
        <w:t xml:space="preserve"> The ritual drew a parallel to how priests were ordained in Exodus through a similar process.</w:t>
      </w:r>
      <w:r w:rsidR="005F36D9" w:rsidRPr="00AC4AC9">
        <w:rPr>
          <w:rStyle w:val="FootnoteReference"/>
          <w:sz w:val="24"/>
          <w:szCs w:val="24"/>
        </w:rPr>
        <w:footnoteReference w:id="18"/>
      </w:r>
      <w:r w:rsidR="005F36D9" w:rsidRPr="00AC4AC9">
        <w:rPr>
          <w:sz w:val="24"/>
          <w:szCs w:val="24"/>
        </w:rPr>
        <w:t xml:space="preserve"> Once transformed, the king was protected by divine will, but crucially it was the prophet </w:t>
      </w:r>
      <w:r w:rsidR="00990055">
        <w:rPr>
          <w:sz w:val="24"/>
          <w:szCs w:val="24"/>
        </w:rPr>
        <w:t xml:space="preserve">(God’s vessel) </w:t>
      </w:r>
      <w:r w:rsidR="005F36D9" w:rsidRPr="00AC4AC9">
        <w:rPr>
          <w:sz w:val="24"/>
          <w:szCs w:val="24"/>
        </w:rPr>
        <w:t xml:space="preserve">that bestowed this blessing. </w:t>
      </w:r>
      <w:r w:rsidR="0078405D">
        <w:rPr>
          <w:sz w:val="24"/>
          <w:szCs w:val="24"/>
        </w:rPr>
        <w:t>T</w:t>
      </w:r>
      <w:r w:rsidR="005F36D9" w:rsidRPr="00AC4AC9">
        <w:rPr>
          <w:sz w:val="24"/>
          <w:szCs w:val="24"/>
        </w:rPr>
        <w:t>h</w:t>
      </w:r>
      <w:r w:rsidR="00990055">
        <w:rPr>
          <w:sz w:val="24"/>
          <w:szCs w:val="24"/>
        </w:rPr>
        <w:t>us,</w:t>
      </w:r>
      <w:r w:rsidR="005F36D9" w:rsidRPr="00AC4AC9">
        <w:rPr>
          <w:sz w:val="24"/>
          <w:szCs w:val="24"/>
        </w:rPr>
        <w:t xml:space="preserve"> king</w:t>
      </w:r>
      <w:r w:rsidR="00990055">
        <w:rPr>
          <w:sz w:val="24"/>
          <w:szCs w:val="24"/>
        </w:rPr>
        <w:t>s</w:t>
      </w:r>
      <w:r w:rsidR="005F36D9" w:rsidRPr="00AC4AC9">
        <w:rPr>
          <w:sz w:val="24"/>
          <w:szCs w:val="24"/>
        </w:rPr>
        <w:t xml:space="preserve"> could be transformed</w:t>
      </w:r>
      <w:r w:rsidR="00E200A0">
        <w:rPr>
          <w:sz w:val="24"/>
          <w:szCs w:val="24"/>
        </w:rPr>
        <w:t>, but their</w:t>
      </w:r>
      <w:r w:rsidR="005F36D9" w:rsidRPr="00AC4AC9">
        <w:rPr>
          <w:sz w:val="24"/>
          <w:szCs w:val="24"/>
        </w:rPr>
        <w:t xml:space="preserve"> power stemmed from </w:t>
      </w:r>
      <w:r w:rsidR="00E200A0">
        <w:rPr>
          <w:sz w:val="24"/>
          <w:szCs w:val="24"/>
        </w:rPr>
        <w:t>the individual that performed the ritual</w:t>
      </w:r>
      <w:r w:rsidR="005F36D9" w:rsidRPr="00AC4AC9">
        <w:rPr>
          <w:sz w:val="24"/>
          <w:szCs w:val="24"/>
        </w:rPr>
        <w:t xml:space="preserve">. </w:t>
      </w:r>
    </w:p>
    <w:p w14:paraId="0E502C2C" w14:textId="6F4BA992" w:rsidR="00D87D80" w:rsidRDefault="005F36D9" w:rsidP="006B56A8">
      <w:pPr>
        <w:spacing w:line="360" w:lineRule="auto"/>
        <w:jc w:val="both"/>
        <w:rPr>
          <w:sz w:val="24"/>
          <w:szCs w:val="24"/>
        </w:rPr>
      </w:pPr>
      <w:r w:rsidRPr="00AC4AC9">
        <w:rPr>
          <w:sz w:val="24"/>
          <w:szCs w:val="24"/>
        </w:rPr>
        <w:tab/>
        <w:t xml:space="preserve">In the fourteenth century, anointing continued to signify divine blessing, but this blessing was bestowed by the prophets’ successors, </w:t>
      </w:r>
      <w:r w:rsidR="00C94C94">
        <w:rPr>
          <w:sz w:val="24"/>
          <w:szCs w:val="24"/>
        </w:rPr>
        <w:t>bishops</w:t>
      </w:r>
      <w:r w:rsidRPr="00AC4AC9">
        <w:rPr>
          <w:sz w:val="24"/>
          <w:szCs w:val="24"/>
        </w:rPr>
        <w:t xml:space="preserve">. </w:t>
      </w:r>
      <w:r w:rsidR="004422E7">
        <w:rPr>
          <w:sz w:val="24"/>
          <w:szCs w:val="24"/>
        </w:rPr>
        <w:t xml:space="preserve">In 1331 </w:t>
      </w:r>
      <w:r w:rsidRPr="00AC4AC9">
        <w:rPr>
          <w:sz w:val="24"/>
          <w:szCs w:val="24"/>
        </w:rPr>
        <w:t xml:space="preserve">the bishop of St Andrews </w:t>
      </w:r>
      <w:r w:rsidRPr="00AC4AC9">
        <w:rPr>
          <w:sz w:val="24"/>
          <w:szCs w:val="24"/>
        </w:rPr>
        <w:lastRenderedPageBreak/>
        <w:t xml:space="preserve">possessed the means of accessing the rite’s divine power and political influence over the community of the realm as kingmakers. Holy oil was employed </w:t>
      </w:r>
      <w:r w:rsidR="00FA2D01">
        <w:rPr>
          <w:sz w:val="24"/>
          <w:szCs w:val="24"/>
        </w:rPr>
        <w:t xml:space="preserve">in medieval inaugurations </w:t>
      </w:r>
      <w:r w:rsidRPr="00AC4AC9">
        <w:rPr>
          <w:sz w:val="24"/>
          <w:szCs w:val="24"/>
        </w:rPr>
        <w:t>to emulate the Old Testament kings’ anointing and present medieval kings as their spiritual successors.</w:t>
      </w:r>
      <w:r w:rsidRPr="00AC4AC9">
        <w:rPr>
          <w:rStyle w:val="FootnoteReference"/>
          <w:sz w:val="24"/>
          <w:szCs w:val="24"/>
        </w:rPr>
        <w:footnoteReference w:id="19"/>
      </w:r>
      <w:r w:rsidRPr="00AC4AC9">
        <w:rPr>
          <w:sz w:val="24"/>
          <w:szCs w:val="24"/>
        </w:rPr>
        <w:t xml:space="preserve"> The oil underscored the importance of this moment because, in the liturgy, it was reserved for the sacraments, such as baptism and ordination</w:t>
      </w:r>
      <w:r w:rsidR="003D4424">
        <w:rPr>
          <w:sz w:val="24"/>
          <w:szCs w:val="24"/>
        </w:rPr>
        <w:t>, and</w:t>
      </w:r>
      <w:r w:rsidR="00230618">
        <w:rPr>
          <w:sz w:val="24"/>
          <w:szCs w:val="24"/>
        </w:rPr>
        <w:t xml:space="preserve"> </w:t>
      </w:r>
      <w:r w:rsidRPr="00AC4AC9">
        <w:rPr>
          <w:sz w:val="24"/>
          <w:szCs w:val="24"/>
        </w:rPr>
        <w:t>drew a parallel to other rites of passage that marked Christian life.</w:t>
      </w:r>
      <w:r w:rsidRPr="00AC4AC9">
        <w:rPr>
          <w:rStyle w:val="FootnoteReference"/>
          <w:sz w:val="24"/>
          <w:szCs w:val="24"/>
        </w:rPr>
        <w:footnoteReference w:id="20"/>
      </w:r>
      <w:r w:rsidR="002D4DD2">
        <w:rPr>
          <w:sz w:val="24"/>
          <w:szCs w:val="24"/>
        </w:rPr>
        <w:t xml:space="preserve"> </w:t>
      </w:r>
      <w:r w:rsidR="00E014A1">
        <w:rPr>
          <w:sz w:val="24"/>
          <w:szCs w:val="24"/>
        </w:rPr>
        <w:t>It also transformed the spiritual status of the king</w:t>
      </w:r>
      <w:r w:rsidR="000E13B2">
        <w:rPr>
          <w:sz w:val="24"/>
          <w:szCs w:val="24"/>
        </w:rPr>
        <w:t>, a</w:t>
      </w:r>
      <w:r w:rsidR="00575EB9">
        <w:rPr>
          <w:sz w:val="24"/>
          <w:szCs w:val="24"/>
        </w:rPr>
        <w:t xml:space="preserve">lthough contemporary thinking about the </w:t>
      </w:r>
      <w:r w:rsidR="000E13B2">
        <w:rPr>
          <w:sz w:val="24"/>
          <w:szCs w:val="24"/>
        </w:rPr>
        <w:t>nature of this</w:t>
      </w:r>
      <w:r w:rsidR="00575EB9">
        <w:rPr>
          <w:sz w:val="24"/>
          <w:szCs w:val="24"/>
        </w:rPr>
        <w:t xml:space="preserve"> status was not homogenous</w:t>
      </w:r>
      <w:r w:rsidR="000E13B2">
        <w:rPr>
          <w:sz w:val="24"/>
          <w:szCs w:val="24"/>
        </w:rPr>
        <w:t>.</w:t>
      </w:r>
      <w:r w:rsidR="003A3454">
        <w:rPr>
          <w:sz w:val="24"/>
          <w:szCs w:val="24"/>
        </w:rPr>
        <w:t xml:space="preserve"> </w:t>
      </w:r>
      <w:r w:rsidR="000E13B2">
        <w:rPr>
          <w:sz w:val="24"/>
          <w:szCs w:val="24"/>
        </w:rPr>
        <w:t>P</w:t>
      </w:r>
      <w:r w:rsidR="00951F6B">
        <w:rPr>
          <w:sz w:val="24"/>
          <w:szCs w:val="24"/>
        </w:rPr>
        <w:t>opes and theologians ha</w:t>
      </w:r>
      <w:r w:rsidR="000B0D87">
        <w:rPr>
          <w:sz w:val="24"/>
          <w:szCs w:val="24"/>
        </w:rPr>
        <w:t>d argued since the eleventh century that kings did not possess a clerical rank</w:t>
      </w:r>
      <w:r w:rsidR="00575EB9">
        <w:rPr>
          <w:sz w:val="24"/>
          <w:szCs w:val="24"/>
        </w:rPr>
        <w:t>.</w:t>
      </w:r>
      <w:r w:rsidR="00C43F5F">
        <w:rPr>
          <w:rStyle w:val="FootnoteReference"/>
          <w:sz w:val="24"/>
          <w:szCs w:val="24"/>
        </w:rPr>
        <w:footnoteReference w:id="21"/>
      </w:r>
      <w:r w:rsidR="00087661">
        <w:rPr>
          <w:sz w:val="24"/>
          <w:szCs w:val="24"/>
        </w:rPr>
        <w:t xml:space="preserve"> </w:t>
      </w:r>
      <w:r w:rsidRPr="00AC4AC9">
        <w:rPr>
          <w:sz w:val="24"/>
          <w:szCs w:val="24"/>
        </w:rPr>
        <w:t>Yet, medieval writers often drew a parallel between God as the ruler of the universe and kings as rulers on earth, continuing the traditional perception of the king as God’s vicar.</w:t>
      </w:r>
      <w:r w:rsidRPr="00AC4AC9">
        <w:rPr>
          <w:rStyle w:val="FootnoteReference"/>
          <w:sz w:val="24"/>
          <w:szCs w:val="24"/>
        </w:rPr>
        <w:footnoteReference w:id="22"/>
      </w:r>
      <w:r w:rsidR="000C4AB4">
        <w:rPr>
          <w:sz w:val="24"/>
          <w:szCs w:val="24"/>
        </w:rPr>
        <w:t xml:space="preserve"> </w:t>
      </w:r>
      <w:r w:rsidR="00185787">
        <w:rPr>
          <w:sz w:val="24"/>
          <w:szCs w:val="24"/>
        </w:rPr>
        <w:t>T</w:t>
      </w:r>
      <w:r w:rsidR="003851BB" w:rsidRPr="00AC4AC9">
        <w:rPr>
          <w:sz w:val="24"/>
          <w:szCs w:val="24"/>
        </w:rPr>
        <w:t xml:space="preserve">he use of unction </w:t>
      </w:r>
      <w:r w:rsidR="00185787">
        <w:rPr>
          <w:sz w:val="24"/>
          <w:szCs w:val="24"/>
        </w:rPr>
        <w:t xml:space="preserve">also </w:t>
      </w:r>
      <w:r w:rsidR="003851BB" w:rsidRPr="00AC4AC9">
        <w:rPr>
          <w:sz w:val="24"/>
          <w:szCs w:val="24"/>
        </w:rPr>
        <w:t xml:space="preserve">‘rendered the person </w:t>
      </w:r>
      <w:r w:rsidR="005970D9">
        <w:rPr>
          <w:sz w:val="24"/>
          <w:szCs w:val="24"/>
        </w:rPr>
        <w:t xml:space="preserve">of </w:t>
      </w:r>
      <w:r w:rsidR="003851BB" w:rsidRPr="00AC4AC9">
        <w:rPr>
          <w:sz w:val="24"/>
          <w:szCs w:val="24"/>
        </w:rPr>
        <w:t>the monarch inviolate’</w:t>
      </w:r>
      <w:r w:rsidR="000C4AB4">
        <w:rPr>
          <w:sz w:val="24"/>
          <w:szCs w:val="24"/>
        </w:rPr>
        <w:t>, as Matthew Strickland notes,</w:t>
      </w:r>
      <w:r w:rsidR="003851BB" w:rsidRPr="00AC4AC9">
        <w:rPr>
          <w:sz w:val="24"/>
          <w:szCs w:val="24"/>
        </w:rPr>
        <w:t xml:space="preserve"> because attacking the Lord’s anointed would desecrate a ‘divinely sanctioned receptable of legitimate authority’.</w:t>
      </w:r>
      <w:r w:rsidR="003851BB" w:rsidRPr="00AC4AC9">
        <w:rPr>
          <w:rStyle w:val="FootnoteReference"/>
          <w:sz w:val="24"/>
          <w:szCs w:val="24"/>
        </w:rPr>
        <w:footnoteReference w:id="23"/>
      </w:r>
      <w:r w:rsidR="003851BB" w:rsidRPr="00AC4AC9">
        <w:rPr>
          <w:sz w:val="24"/>
          <w:szCs w:val="24"/>
        </w:rPr>
        <w:t xml:space="preserve"> </w:t>
      </w:r>
      <w:r w:rsidR="00A86B50">
        <w:rPr>
          <w:sz w:val="24"/>
          <w:szCs w:val="24"/>
        </w:rPr>
        <w:t xml:space="preserve">This protected status is demonstrated in </w:t>
      </w:r>
      <w:r w:rsidR="00671AB3">
        <w:rPr>
          <w:sz w:val="24"/>
          <w:szCs w:val="24"/>
        </w:rPr>
        <w:t xml:space="preserve">the Books of Kings, when David </w:t>
      </w:r>
      <w:r w:rsidR="00A4270E">
        <w:rPr>
          <w:sz w:val="24"/>
          <w:szCs w:val="24"/>
        </w:rPr>
        <w:t>refuses</w:t>
      </w:r>
      <w:r w:rsidR="00671AB3">
        <w:rPr>
          <w:sz w:val="24"/>
          <w:szCs w:val="24"/>
        </w:rPr>
        <w:t xml:space="preserve"> to </w:t>
      </w:r>
      <w:r w:rsidR="00A4270E">
        <w:rPr>
          <w:sz w:val="24"/>
          <w:szCs w:val="24"/>
        </w:rPr>
        <w:t xml:space="preserve">sanction the </w:t>
      </w:r>
      <w:r w:rsidR="00671AB3">
        <w:rPr>
          <w:sz w:val="24"/>
          <w:szCs w:val="24"/>
        </w:rPr>
        <w:t>kill</w:t>
      </w:r>
      <w:r w:rsidR="00A4270E">
        <w:rPr>
          <w:sz w:val="24"/>
          <w:szCs w:val="24"/>
        </w:rPr>
        <w:t>ing of</w:t>
      </w:r>
      <w:r w:rsidR="00671AB3">
        <w:rPr>
          <w:sz w:val="24"/>
          <w:szCs w:val="24"/>
        </w:rPr>
        <w:t xml:space="preserve"> his predecessor</w:t>
      </w:r>
      <w:r w:rsidR="00087661">
        <w:rPr>
          <w:sz w:val="24"/>
          <w:szCs w:val="24"/>
        </w:rPr>
        <w:t>,</w:t>
      </w:r>
      <w:r w:rsidR="00A4270E">
        <w:rPr>
          <w:sz w:val="24"/>
          <w:szCs w:val="24"/>
        </w:rPr>
        <w:t xml:space="preserve"> Saul: </w:t>
      </w:r>
      <w:r w:rsidR="00A000C6" w:rsidRPr="00AC4AC9">
        <w:rPr>
          <w:sz w:val="24"/>
          <w:szCs w:val="24"/>
        </w:rPr>
        <w:t>‘</w:t>
      </w:r>
      <w:r w:rsidR="00A000C6" w:rsidRPr="00763E19">
        <w:rPr>
          <w:i/>
          <w:iCs/>
          <w:sz w:val="24"/>
          <w:szCs w:val="24"/>
        </w:rPr>
        <w:t xml:space="preserve">Ne </w:t>
      </w:r>
      <w:proofErr w:type="spellStart"/>
      <w:r w:rsidR="00A000C6" w:rsidRPr="00763E19">
        <w:rPr>
          <w:i/>
          <w:iCs/>
          <w:sz w:val="24"/>
          <w:szCs w:val="24"/>
        </w:rPr>
        <w:t>interficias</w:t>
      </w:r>
      <w:proofErr w:type="spellEnd"/>
      <w:r w:rsidR="00A000C6" w:rsidRPr="00763E19">
        <w:rPr>
          <w:i/>
          <w:iCs/>
          <w:sz w:val="24"/>
          <w:szCs w:val="24"/>
        </w:rPr>
        <w:t xml:space="preserve"> </w:t>
      </w:r>
      <w:proofErr w:type="spellStart"/>
      <w:r w:rsidR="00A000C6" w:rsidRPr="00763E19">
        <w:rPr>
          <w:i/>
          <w:iCs/>
          <w:sz w:val="24"/>
          <w:szCs w:val="24"/>
        </w:rPr>
        <w:t>eum</w:t>
      </w:r>
      <w:proofErr w:type="spellEnd"/>
      <w:r w:rsidR="00A000C6" w:rsidRPr="00763E19">
        <w:rPr>
          <w:i/>
          <w:iCs/>
          <w:sz w:val="24"/>
          <w:szCs w:val="24"/>
        </w:rPr>
        <w:t xml:space="preserve">: </w:t>
      </w:r>
      <w:proofErr w:type="spellStart"/>
      <w:r w:rsidR="00A000C6" w:rsidRPr="00763E19">
        <w:rPr>
          <w:i/>
          <w:iCs/>
          <w:sz w:val="24"/>
          <w:szCs w:val="24"/>
        </w:rPr>
        <w:t>quis</w:t>
      </w:r>
      <w:proofErr w:type="spellEnd"/>
      <w:r w:rsidR="00A000C6" w:rsidRPr="00763E19">
        <w:rPr>
          <w:i/>
          <w:iCs/>
          <w:sz w:val="24"/>
          <w:szCs w:val="24"/>
        </w:rPr>
        <w:t xml:space="preserve"> </w:t>
      </w:r>
      <w:proofErr w:type="spellStart"/>
      <w:r w:rsidR="00A000C6" w:rsidRPr="00763E19">
        <w:rPr>
          <w:i/>
          <w:iCs/>
          <w:sz w:val="24"/>
          <w:szCs w:val="24"/>
        </w:rPr>
        <w:t>enim</w:t>
      </w:r>
      <w:proofErr w:type="spellEnd"/>
      <w:r w:rsidR="00A000C6" w:rsidRPr="00763E19">
        <w:rPr>
          <w:i/>
          <w:iCs/>
          <w:sz w:val="24"/>
          <w:szCs w:val="24"/>
        </w:rPr>
        <w:t xml:space="preserve"> </w:t>
      </w:r>
      <w:proofErr w:type="spellStart"/>
      <w:r w:rsidR="00A000C6" w:rsidRPr="00763E19">
        <w:rPr>
          <w:i/>
          <w:iCs/>
          <w:sz w:val="24"/>
          <w:szCs w:val="24"/>
        </w:rPr>
        <w:t>extendet</w:t>
      </w:r>
      <w:proofErr w:type="spellEnd"/>
      <w:r w:rsidR="00A000C6" w:rsidRPr="00763E19">
        <w:rPr>
          <w:i/>
          <w:iCs/>
          <w:sz w:val="24"/>
          <w:szCs w:val="24"/>
        </w:rPr>
        <w:t xml:space="preserve"> </w:t>
      </w:r>
      <w:proofErr w:type="spellStart"/>
      <w:r w:rsidR="00A000C6" w:rsidRPr="00763E19">
        <w:rPr>
          <w:i/>
          <w:iCs/>
          <w:sz w:val="24"/>
          <w:szCs w:val="24"/>
        </w:rPr>
        <w:t>manum</w:t>
      </w:r>
      <w:proofErr w:type="spellEnd"/>
      <w:r w:rsidR="00A000C6" w:rsidRPr="00763E19">
        <w:rPr>
          <w:i/>
          <w:iCs/>
          <w:sz w:val="24"/>
          <w:szCs w:val="24"/>
        </w:rPr>
        <w:t xml:space="preserve"> </w:t>
      </w:r>
      <w:proofErr w:type="spellStart"/>
      <w:r w:rsidR="00A000C6" w:rsidRPr="00763E19">
        <w:rPr>
          <w:i/>
          <w:iCs/>
          <w:sz w:val="24"/>
          <w:szCs w:val="24"/>
        </w:rPr>
        <w:t>suam</w:t>
      </w:r>
      <w:proofErr w:type="spellEnd"/>
      <w:r w:rsidR="00A000C6" w:rsidRPr="00763E19">
        <w:rPr>
          <w:i/>
          <w:iCs/>
          <w:sz w:val="24"/>
          <w:szCs w:val="24"/>
        </w:rPr>
        <w:t xml:space="preserve"> in </w:t>
      </w:r>
      <w:proofErr w:type="spellStart"/>
      <w:r w:rsidR="00A000C6" w:rsidRPr="00763E19">
        <w:rPr>
          <w:i/>
          <w:iCs/>
          <w:sz w:val="24"/>
          <w:szCs w:val="24"/>
        </w:rPr>
        <w:t>christum</w:t>
      </w:r>
      <w:proofErr w:type="spellEnd"/>
      <w:r w:rsidR="00A000C6" w:rsidRPr="00763E19">
        <w:rPr>
          <w:i/>
          <w:iCs/>
          <w:sz w:val="24"/>
          <w:szCs w:val="24"/>
        </w:rPr>
        <w:t xml:space="preserve"> Domini, et </w:t>
      </w:r>
      <w:proofErr w:type="spellStart"/>
      <w:r w:rsidR="00A000C6" w:rsidRPr="00763E19">
        <w:rPr>
          <w:i/>
          <w:iCs/>
          <w:sz w:val="24"/>
          <w:szCs w:val="24"/>
        </w:rPr>
        <w:t>innocens</w:t>
      </w:r>
      <w:proofErr w:type="spellEnd"/>
      <w:r w:rsidR="00A000C6" w:rsidRPr="00763E19">
        <w:rPr>
          <w:i/>
          <w:iCs/>
          <w:sz w:val="24"/>
          <w:szCs w:val="24"/>
        </w:rPr>
        <w:t xml:space="preserve"> </w:t>
      </w:r>
      <w:proofErr w:type="spellStart"/>
      <w:r w:rsidR="00A000C6" w:rsidRPr="00763E19">
        <w:rPr>
          <w:i/>
          <w:iCs/>
          <w:sz w:val="24"/>
          <w:szCs w:val="24"/>
        </w:rPr>
        <w:t>erit</w:t>
      </w:r>
      <w:proofErr w:type="spellEnd"/>
      <w:r w:rsidR="00A000C6" w:rsidRPr="00763E19">
        <w:rPr>
          <w:i/>
          <w:iCs/>
          <w:sz w:val="24"/>
          <w:szCs w:val="24"/>
        </w:rPr>
        <w:t>?</w:t>
      </w:r>
      <w:r w:rsidR="00A000C6" w:rsidRPr="00AC4AC9">
        <w:rPr>
          <w:sz w:val="24"/>
          <w:szCs w:val="24"/>
        </w:rPr>
        <w:t>’</w:t>
      </w:r>
      <w:r w:rsidR="00A000C6" w:rsidRPr="00AC4AC9">
        <w:rPr>
          <w:rStyle w:val="FootnoteReference"/>
          <w:sz w:val="24"/>
          <w:szCs w:val="24"/>
        </w:rPr>
        <w:footnoteReference w:id="24"/>
      </w:r>
      <w:r w:rsidR="00A000C6" w:rsidRPr="00AC4AC9">
        <w:rPr>
          <w:sz w:val="24"/>
          <w:szCs w:val="24"/>
        </w:rPr>
        <w:t xml:space="preserve"> </w:t>
      </w:r>
      <w:r w:rsidR="00A31EE4">
        <w:rPr>
          <w:sz w:val="24"/>
          <w:szCs w:val="24"/>
        </w:rPr>
        <w:t xml:space="preserve">The implication is that the blessing of unction protected Saul even after he had lost </w:t>
      </w:r>
      <w:r w:rsidR="005C4C76">
        <w:rPr>
          <w:sz w:val="24"/>
          <w:szCs w:val="24"/>
        </w:rPr>
        <w:t xml:space="preserve">divine favour and a rival king was anointed in his place. </w:t>
      </w:r>
      <w:r w:rsidR="00A45520" w:rsidRPr="00AC4AC9">
        <w:rPr>
          <w:sz w:val="24"/>
          <w:szCs w:val="24"/>
        </w:rPr>
        <w:t>Thus, the anointing rite bestowed a special, protected status upon its recipient and offered the</w:t>
      </w:r>
      <w:r w:rsidR="00A45520">
        <w:rPr>
          <w:sz w:val="24"/>
          <w:szCs w:val="24"/>
        </w:rPr>
        <w:t>m</w:t>
      </w:r>
      <w:r w:rsidR="00A45520" w:rsidRPr="00AC4AC9">
        <w:rPr>
          <w:sz w:val="24"/>
          <w:szCs w:val="24"/>
        </w:rPr>
        <w:t xml:space="preserve"> opportunity to rule in a morally correct, Christian manner.</w:t>
      </w:r>
      <w:r w:rsidR="00A45520">
        <w:rPr>
          <w:sz w:val="24"/>
          <w:szCs w:val="24"/>
        </w:rPr>
        <w:t xml:space="preserve"> Medieval inauguration</w:t>
      </w:r>
      <w:r w:rsidR="0041635D">
        <w:rPr>
          <w:sz w:val="24"/>
          <w:szCs w:val="24"/>
        </w:rPr>
        <w:t>s</w:t>
      </w:r>
      <w:r w:rsidR="00A45520">
        <w:rPr>
          <w:sz w:val="24"/>
          <w:szCs w:val="24"/>
        </w:rPr>
        <w:t xml:space="preserve"> invoked these ideas when performing the rite of anointing</w:t>
      </w:r>
      <w:r w:rsidR="0041635D">
        <w:rPr>
          <w:sz w:val="24"/>
          <w:szCs w:val="24"/>
        </w:rPr>
        <w:t xml:space="preserve"> to demonstrate that contemporary kings received the same blessing. Hence why in 1377 </w:t>
      </w:r>
      <w:r w:rsidR="003B1CAB" w:rsidRPr="00AC4AC9">
        <w:rPr>
          <w:sz w:val="24"/>
          <w:szCs w:val="24"/>
        </w:rPr>
        <w:t>the Archbishop of Canterbury stated ‘</w:t>
      </w:r>
      <w:r w:rsidR="003B1CAB" w:rsidRPr="00763E19">
        <w:rPr>
          <w:i/>
          <w:iCs/>
          <w:sz w:val="24"/>
          <w:szCs w:val="24"/>
        </w:rPr>
        <w:t xml:space="preserve">et sicut Samuel David in </w:t>
      </w:r>
      <w:proofErr w:type="spellStart"/>
      <w:r w:rsidR="003B1CAB" w:rsidRPr="00763E19">
        <w:rPr>
          <w:i/>
          <w:iCs/>
          <w:sz w:val="24"/>
          <w:szCs w:val="24"/>
        </w:rPr>
        <w:t>regem</w:t>
      </w:r>
      <w:proofErr w:type="spellEnd"/>
      <w:r w:rsidR="003B1CAB" w:rsidRPr="00763E19">
        <w:rPr>
          <w:i/>
          <w:iCs/>
          <w:sz w:val="24"/>
          <w:szCs w:val="24"/>
        </w:rPr>
        <w:t xml:space="preserve"> et sis Benedictus</w:t>
      </w:r>
      <w:r w:rsidR="003B1CAB" w:rsidRPr="00AC4AC9">
        <w:rPr>
          <w:sz w:val="24"/>
          <w:szCs w:val="24"/>
        </w:rPr>
        <w:t>’ when he anointed Richard II</w:t>
      </w:r>
      <w:r w:rsidR="005B60B0">
        <w:rPr>
          <w:sz w:val="24"/>
          <w:szCs w:val="24"/>
        </w:rPr>
        <w:t xml:space="preserve"> of England</w:t>
      </w:r>
      <w:r w:rsidR="003B1CAB" w:rsidRPr="00AC4AC9">
        <w:rPr>
          <w:sz w:val="24"/>
          <w:szCs w:val="24"/>
        </w:rPr>
        <w:t>.</w:t>
      </w:r>
      <w:r w:rsidR="003B1CAB" w:rsidRPr="00AC4AC9">
        <w:rPr>
          <w:rStyle w:val="FootnoteReference"/>
          <w:sz w:val="24"/>
          <w:szCs w:val="24"/>
        </w:rPr>
        <w:footnoteReference w:id="25"/>
      </w:r>
    </w:p>
    <w:p w14:paraId="4D389D7F" w14:textId="1350E713" w:rsidR="0035654B" w:rsidRDefault="00157919" w:rsidP="006B56A8">
      <w:pPr>
        <w:spacing w:line="360" w:lineRule="auto"/>
        <w:jc w:val="both"/>
        <w:rPr>
          <w:sz w:val="24"/>
          <w:szCs w:val="24"/>
        </w:rPr>
      </w:pPr>
      <w:r>
        <w:rPr>
          <w:sz w:val="24"/>
          <w:szCs w:val="24"/>
        </w:rPr>
        <w:lastRenderedPageBreak/>
        <w:tab/>
      </w:r>
      <w:r w:rsidR="00B07F02">
        <w:rPr>
          <w:sz w:val="24"/>
          <w:szCs w:val="24"/>
        </w:rPr>
        <w:t xml:space="preserve">The legal tract </w:t>
      </w:r>
      <w:proofErr w:type="spellStart"/>
      <w:r w:rsidR="00B07F02">
        <w:rPr>
          <w:i/>
          <w:iCs/>
          <w:sz w:val="24"/>
          <w:szCs w:val="24"/>
        </w:rPr>
        <w:t>Regiam</w:t>
      </w:r>
      <w:proofErr w:type="spellEnd"/>
      <w:r w:rsidR="00B07F02">
        <w:rPr>
          <w:i/>
          <w:iCs/>
          <w:sz w:val="24"/>
          <w:szCs w:val="24"/>
        </w:rPr>
        <w:t xml:space="preserve"> </w:t>
      </w:r>
      <w:proofErr w:type="spellStart"/>
      <w:r w:rsidR="00B07F02">
        <w:rPr>
          <w:i/>
          <w:iCs/>
          <w:sz w:val="24"/>
          <w:szCs w:val="24"/>
        </w:rPr>
        <w:t>maiestatem</w:t>
      </w:r>
      <w:proofErr w:type="spellEnd"/>
      <w:r w:rsidR="00B07F02">
        <w:rPr>
          <w:i/>
          <w:iCs/>
          <w:sz w:val="24"/>
          <w:szCs w:val="24"/>
        </w:rPr>
        <w:t xml:space="preserve"> </w:t>
      </w:r>
      <w:r w:rsidR="00994541">
        <w:rPr>
          <w:sz w:val="24"/>
          <w:szCs w:val="24"/>
        </w:rPr>
        <w:t xml:space="preserve">demonstrates how the theological status of the king </w:t>
      </w:r>
      <w:r w:rsidR="002B6F80">
        <w:rPr>
          <w:sz w:val="24"/>
          <w:szCs w:val="24"/>
        </w:rPr>
        <w:t xml:space="preserve">was thought about in a Scottish context because the king is portrayed as </w:t>
      </w:r>
      <w:r w:rsidR="002B6F80" w:rsidRPr="00AC4AC9">
        <w:rPr>
          <w:sz w:val="24"/>
          <w:szCs w:val="24"/>
        </w:rPr>
        <w:t xml:space="preserve">one who had ‘no </w:t>
      </w:r>
      <w:r w:rsidR="002B6F80" w:rsidRPr="00AC4AC9">
        <w:rPr>
          <w:i/>
          <w:iCs/>
          <w:sz w:val="24"/>
          <w:szCs w:val="24"/>
        </w:rPr>
        <w:t>superior</w:t>
      </w:r>
      <w:r w:rsidR="002B6F80" w:rsidRPr="00AC4AC9">
        <w:rPr>
          <w:sz w:val="24"/>
          <w:szCs w:val="24"/>
        </w:rPr>
        <w:t xml:space="preserve"> save the Creator’</w:t>
      </w:r>
      <w:r w:rsidR="008E219B">
        <w:rPr>
          <w:sz w:val="24"/>
          <w:szCs w:val="24"/>
        </w:rPr>
        <w:t xml:space="preserve"> </w:t>
      </w:r>
      <w:r w:rsidR="00772F22">
        <w:rPr>
          <w:sz w:val="24"/>
          <w:szCs w:val="24"/>
        </w:rPr>
        <w:t>—</w:t>
      </w:r>
      <w:r w:rsidR="008E219B">
        <w:rPr>
          <w:sz w:val="24"/>
          <w:szCs w:val="24"/>
        </w:rPr>
        <w:t xml:space="preserve"> his </w:t>
      </w:r>
      <w:r w:rsidR="002B6F80" w:rsidRPr="00AC4AC9">
        <w:rPr>
          <w:sz w:val="24"/>
          <w:szCs w:val="24"/>
        </w:rPr>
        <w:t>leadership had been committed to him by God.</w:t>
      </w:r>
      <w:r w:rsidR="002B6F80" w:rsidRPr="00AC4AC9">
        <w:rPr>
          <w:rStyle w:val="FootnoteReference"/>
          <w:sz w:val="24"/>
          <w:szCs w:val="24"/>
        </w:rPr>
        <w:footnoteReference w:id="26"/>
      </w:r>
      <w:r w:rsidR="002B6F80">
        <w:rPr>
          <w:sz w:val="24"/>
          <w:szCs w:val="24"/>
        </w:rPr>
        <w:t xml:space="preserve"> However, since this </w:t>
      </w:r>
      <w:r w:rsidR="002B6F80" w:rsidRPr="00AC4AC9">
        <w:rPr>
          <w:sz w:val="24"/>
          <w:szCs w:val="24"/>
        </w:rPr>
        <w:t xml:space="preserve">text is now thought to date from </w:t>
      </w:r>
      <w:r w:rsidR="002B6F80" w:rsidRPr="00AC4AC9">
        <w:rPr>
          <w:i/>
          <w:iCs/>
          <w:sz w:val="24"/>
          <w:szCs w:val="24"/>
        </w:rPr>
        <w:t>ca.</w:t>
      </w:r>
      <w:r w:rsidR="002B6F80" w:rsidRPr="00AC4AC9">
        <w:rPr>
          <w:sz w:val="24"/>
          <w:szCs w:val="24"/>
        </w:rPr>
        <w:t xml:space="preserve">1318, </w:t>
      </w:r>
      <w:r w:rsidR="002453B2">
        <w:rPr>
          <w:sz w:val="24"/>
          <w:szCs w:val="24"/>
        </w:rPr>
        <w:t xml:space="preserve">it predates Pope John XXII’s grant of the anointing rite </w:t>
      </w:r>
      <w:r w:rsidR="003372F9">
        <w:rPr>
          <w:sz w:val="24"/>
          <w:szCs w:val="24"/>
        </w:rPr>
        <w:t>to the Scottish king in 1329.</w:t>
      </w:r>
      <w:r w:rsidR="003372F9" w:rsidRPr="00AC4AC9">
        <w:rPr>
          <w:rStyle w:val="FootnoteReference"/>
          <w:sz w:val="24"/>
          <w:szCs w:val="24"/>
        </w:rPr>
        <w:footnoteReference w:id="27"/>
      </w:r>
      <w:r w:rsidR="003372F9">
        <w:rPr>
          <w:sz w:val="24"/>
          <w:szCs w:val="24"/>
        </w:rPr>
        <w:t xml:space="preserve"> </w:t>
      </w:r>
      <w:proofErr w:type="spellStart"/>
      <w:r w:rsidR="00843422">
        <w:rPr>
          <w:i/>
          <w:iCs/>
          <w:sz w:val="24"/>
          <w:szCs w:val="24"/>
        </w:rPr>
        <w:t>Regiam</w:t>
      </w:r>
      <w:r w:rsidR="00843422">
        <w:rPr>
          <w:sz w:val="24"/>
          <w:szCs w:val="24"/>
        </w:rPr>
        <w:t>’s</w:t>
      </w:r>
      <w:proofErr w:type="spellEnd"/>
      <w:r w:rsidR="003372F9">
        <w:rPr>
          <w:sz w:val="24"/>
          <w:szCs w:val="24"/>
        </w:rPr>
        <w:t xml:space="preserve"> conception of Scottish kingship</w:t>
      </w:r>
      <w:r w:rsidR="00843422">
        <w:rPr>
          <w:sz w:val="24"/>
          <w:szCs w:val="24"/>
        </w:rPr>
        <w:t>, therefore,</w:t>
      </w:r>
      <w:r w:rsidR="003372F9">
        <w:rPr>
          <w:sz w:val="24"/>
          <w:szCs w:val="24"/>
        </w:rPr>
        <w:t xml:space="preserve"> referred to a ruler </w:t>
      </w:r>
      <w:r w:rsidR="002B6F80" w:rsidRPr="00AC4AC9">
        <w:rPr>
          <w:sz w:val="24"/>
          <w:szCs w:val="24"/>
        </w:rPr>
        <w:t xml:space="preserve">(Robert I) who was not anointed. </w:t>
      </w:r>
      <w:r w:rsidR="002448C0">
        <w:rPr>
          <w:sz w:val="24"/>
          <w:szCs w:val="24"/>
        </w:rPr>
        <w:t xml:space="preserve">Here, we can see a </w:t>
      </w:r>
      <w:r w:rsidR="00281060">
        <w:rPr>
          <w:sz w:val="24"/>
          <w:szCs w:val="24"/>
        </w:rPr>
        <w:t xml:space="preserve">distance between the rhetoric of Robert’s government in 1318 and </w:t>
      </w:r>
      <w:r w:rsidR="005970D9">
        <w:rPr>
          <w:sz w:val="24"/>
          <w:szCs w:val="24"/>
        </w:rPr>
        <w:t xml:space="preserve">his </w:t>
      </w:r>
      <w:r w:rsidR="00281060">
        <w:rPr>
          <w:sz w:val="24"/>
          <w:szCs w:val="24"/>
        </w:rPr>
        <w:t xml:space="preserve">actions in seeking papal sanction, </w:t>
      </w:r>
      <w:r w:rsidR="00EE2BD5">
        <w:rPr>
          <w:sz w:val="24"/>
          <w:szCs w:val="24"/>
        </w:rPr>
        <w:t>because i</w:t>
      </w:r>
      <w:r w:rsidR="002B6F80" w:rsidRPr="00AC4AC9">
        <w:rPr>
          <w:sz w:val="24"/>
          <w:szCs w:val="24"/>
        </w:rPr>
        <w:t xml:space="preserve">f Robert’s rule was God-given in the way </w:t>
      </w:r>
      <w:proofErr w:type="spellStart"/>
      <w:r w:rsidR="002B6F80" w:rsidRPr="00AC4AC9">
        <w:rPr>
          <w:i/>
          <w:iCs/>
          <w:sz w:val="24"/>
          <w:szCs w:val="24"/>
        </w:rPr>
        <w:t>Regiam</w:t>
      </w:r>
      <w:proofErr w:type="spellEnd"/>
      <w:r w:rsidR="002B6F80" w:rsidRPr="00AC4AC9">
        <w:rPr>
          <w:i/>
          <w:iCs/>
          <w:sz w:val="24"/>
          <w:szCs w:val="24"/>
        </w:rPr>
        <w:t xml:space="preserve"> </w:t>
      </w:r>
      <w:r w:rsidR="002B6F80" w:rsidRPr="00AC4AC9">
        <w:rPr>
          <w:sz w:val="24"/>
          <w:szCs w:val="24"/>
        </w:rPr>
        <w:t>suggests, why did he seek the anointing rite in 1328?</w:t>
      </w:r>
    </w:p>
    <w:p w14:paraId="6F30E070" w14:textId="6022435F" w:rsidR="00B178CA" w:rsidRPr="000B51E3" w:rsidRDefault="00B178CA" w:rsidP="006B56A8">
      <w:pPr>
        <w:spacing w:line="360" w:lineRule="auto"/>
        <w:jc w:val="both"/>
        <w:rPr>
          <w:b/>
          <w:bCs/>
          <w:sz w:val="24"/>
          <w:szCs w:val="24"/>
        </w:rPr>
      </w:pPr>
      <w:r w:rsidRPr="000B51E3">
        <w:rPr>
          <w:b/>
          <w:bCs/>
          <w:sz w:val="24"/>
          <w:szCs w:val="24"/>
        </w:rPr>
        <w:t>Historic desires</w:t>
      </w:r>
    </w:p>
    <w:p w14:paraId="102E5A76" w14:textId="4A8EFE98" w:rsidR="00735770" w:rsidRPr="00AC4AC9" w:rsidRDefault="00735770" w:rsidP="00D63A4E">
      <w:pPr>
        <w:spacing w:line="360" w:lineRule="auto"/>
        <w:jc w:val="both"/>
        <w:rPr>
          <w:sz w:val="24"/>
          <w:szCs w:val="24"/>
        </w:rPr>
      </w:pPr>
      <w:r w:rsidRPr="00AC4AC9">
        <w:rPr>
          <w:sz w:val="24"/>
          <w:szCs w:val="24"/>
        </w:rPr>
        <w:t xml:space="preserve">Unction was intertwined with questions </w:t>
      </w:r>
      <w:r w:rsidR="0059757E">
        <w:rPr>
          <w:sz w:val="24"/>
          <w:szCs w:val="24"/>
        </w:rPr>
        <w:t>of</w:t>
      </w:r>
      <w:r w:rsidRPr="00AC4AC9">
        <w:rPr>
          <w:sz w:val="24"/>
          <w:szCs w:val="24"/>
        </w:rPr>
        <w:t xml:space="preserve"> Scotland’s sovereignty </w:t>
      </w:r>
      <w:r w:rsidR="006F1EC7">
        <w:rPr>
          <w:sz w:val="24"/>
          <w:szCs w:val="24"/>
        </w:rPr>
        <w:t xml:space="preserve">and had been for </w:t>
      </w:r>
      <w:r w:rsidR="00241582">
        <w:rPr>
          <w:sz w:val="24"/>
          <w:szCs w:val="24"/>
        </w:rPr>
        <w:t>many decades</w:t>
      </w:r>
      <w:r w:rsidRPr="00AC4AC9">
        <w:rPr>
          <w:sz w:val="24"/>
          <w:szCs w:val="24"/>
        </w:rPr>
        <w:t xml:space="preserve">. Until 1331 English kings were the only rulers across the Atlantic archipelago to receive </w:t>
      </w:r>
      <w:r w:rsidR="00241582">
        <w:rPr>
          <w:sz w:val="24"/>
          <w:szCs w:val="24"/>
        </w:rPr>
        <w:t>holy oil</w:t>
      </w:r>
      <w:r w:rsidRPr="00AC4AC9">
        <w:rPr>
          <w:sz w:val="24"/>
          <w:szCs w:val="24"/>
        </w:rPr>
        <w:t xml:space="preserve"> at their inauguration</w:t>
      </w:r>
      <w:r w:rsidR="00134CDA">
        <w:rPr>
          <w:sz w:val="24"/>
          <w:szCs w:val="24"/>
        </w:rPr>
        <w:t>, although</w:t>
      </w:r>
      <w:r w:rsidRPr="00AC4AC9">
        <w:rPr>
          <w:sz w:val="24"/>
          <w:szCs w:val="24"/>
        </w:rPr>
        <w:t xml:space="preserve"> </w:t>
      </w:r>
      <w:r w:rsidR="00747AA6">
        <w:rPr>
          <w:sz w:val="24"/>
          <w:szCs w:val="24"/>
        </w:rPr>
        <w:t xml:space="preserve">some scholars have argued that anointing had been associated with Scottish </w:t>
      </w:r>
      <w:r w:rsidR="003D1357">
        <w:rPr>
          <w:sz w:val="24"/>
          <w:szCs w:val="24"/>
        </w:rPr>
        <w:t>inaugurations</w:t>
      </w:r>
      <w:r w:rsidR="00747AA6">
        <w:rPr>
          <w:sz w:val="24"/>
          <w:szCs w:val="24"/>
        </w:rPr>
        <w:t xml:space="preserve"> since the </w:t>
      </w:r>
      <w:r w:rsidR="00632687">
        <w:rPr>
          <w:sz w:val="24"/>
          <w:szCs w:val="24"/>
        </w:rPr>
        <w:t>sixth century.</w:t>
      </w:r>
      <w:r w:rsidR="00632687">
        <w:rPr>
          <w:rStyle w:val="FootnoteReference"/>
          <w:sz w:val="24"/>
          <w:szCs w:val="24"/>
        </w:rPr>
        <w:footnoteReference w:id="28"/>
      </w:r>
      <w:r w:rsidR="00632687">
        <w:rPr>
          <w:sz w:val="24"/>
          <w:szCs w:val="24"/>
        </w:rPr>
        <w:t xml:space="preserve"> </w:t>
      </w:r>
      <w:r w:rsidR="0003752F" w:rsidRPr="00AC4AC9">
        <w:rPr>
          <w:sz w:val="24"/>
          <w:szCs w:val="24"/>
        </w:rPr>
        <w:t>Scottish kings did not s</w:t>
      </w:r>
      <w:r w:rsidR="00E730FE">
        <w:rPr>
          <w:sz w:val="24"/>
          <w:szCs w:val="24"/>
        </w:rPr>
        <w:t xml:space="preserve">eek </w:t>
      </w:r>
      <w:r w:rsidR="0003752F" w:rsidRPr="00AC4AC9">
        <w:rPr>
          <w:sz w:val="24"/>
          <w:szCs w:val="24"/>
        </w:rPr>
        <w:t>this right in earnest until the 1200s, when Alexander II wished to be anointed as an acknowledgement of his sovereignty</w:t>
      </w:r>
      <w:r w:rsidR="00E730FE">
        <w:rPr>
          <w:sz w:val="24"/>
          <w:szCs w:val="24"/>
        </w:rPr>
        <w:t xml:space="preserve">, paralleling efforts by the </w:t>
      </w:r>
      <w:proofErr w:type="spellStart"/>
      <w:r w:rsidR="00E730FE">
        <w:rPr>
          <w:sz w:val="24"/>
          <w:szCs w:val="24"/>
        </w:rPr>
        <w:t>Aragonese</w:t>
      </w:r>
      <w:proofErr w:type="spellEnd"/>
      <w:r w:rsidR="00E730FE">
        <w:rPr>
          <w:sz w:val="24"/>
          <w:szCs w:val="24"/>
        </w:rPr>
        <w:t xml:space="preserve"> kings in Iberia</w:t>
      </w:r>
      <w:r w:rsidR="0003752F" w:rsidRPr="00AC4AC9">
        <w:rPr>
          <w:sz w:val="24"/>
          <w:szCs w:val="24"/>
        </w:rPr>
        <w:t>.</w:t>
      </w:r>
      <w:r w:rsidR="0003752F" w:rsidRPr="00AC4AC9">
        <w:rPr>
          <w:rStyle w:val="FootnoteReference"/>
          <w:sz w:val="24"/>
          <w:szCs w:val="24"/>
        </w:rPr>
        <w:footnoteReference w:id="29"/>
      </w:r>
      <w:r w:rsidR="0003752F" w:rsidRPr="00AC4AC9">
        <w:rPr>
          <w:sz w:val="24"/>
          <w:szCs w:val="24"/>
        </w:rPr>
        <w:t xml:space="preserve"> </w:t>
      </w:r>
      <w:r w:rsidR="00E730FE">
        <w:rPr>
          <w:sz w:val="24"/>
          <w:szCs w:val="24"/>
        </w:rPr>
        <w:t xml:space="preserve">Indeed, as </w:t>
      </w:r>
      <w:proofErr w:type="spellStart"/>
      <w:r w:rsidR="00E730FE">
        <w:rPr>
          <w:sz w:val="24"/>
          <w:szCs w:val="24"/>
        </w:rPr>
        <w:t>Dauvit</w:t>
      </w:r>
      <w:proofErr w:type="spellEnd"/>
      <w:r w:rsidR="00E730FE">
        <w:rPr>
          <w:sz w:val="24"/>
          <w:szCs w:val="24"/>
        </w:rPr>
        <w:t xml:space="preserve"> Broun remarked, Scots reportedly watched the anointing of Magnús, son of King H</w:t>
      </w:r>
      <w:r w:rsidR="00E07B82">
        <w:rPr>
          <w:sz w:val="24"/>
          <w:szCs w:val="24"/>
        </w:rPr>
        <w:t xml:space="preserve">ákon IV of Norway, </w:t>
      </w:r>
      <w:r w:rsidR="003B6E7B">
        <w:rPr>
          <w:sz w:val="24"/>
          <w:szCs w:val="24"/>
        </w:rPr>
        <w:t xml:space="preserve">with awe and perhaps jealousy </w:t>
      </w:r>
      <w:r w:rsidR="00E07B82">
        <w:rPr>
          <w:sz w:val="24"/>
          <w:szCs w:val="24"/>
        </w:rPr>
        <w:t>on 14 September 1261.</w:t>
      </w:r>
      <w:r w:rsidR="00E07B82">
        <w:rPr>
          <w:rStyle w:val="FootnoteReference"/>
          <w:sz w:val="24"/>
          <w:szCs w:val="24"/>
        </w:rPr>
        <w:footnoteReference w:id="30"/>
      </w:r>
      <w:r w:rsidR="00E07B82">
        <w:rPr>
          <w:sz w:val="24"/>
          <w:szCs w:val="24"/>
        </w:rPr>
        <w:t xml:space="preserve"> </w:t>
      </w:r>
      <w:r w:rsidR="0003752F" w:rsidRPr="00AC4AC9">
        <w:rPr>
          <w:sz w:val="24"/>
          <w:szCs w:val="24"/>
        </w:rPr>
        <w:t>The blessing of the king in this manner acted as a statement of royal authority in opposition to English kings’ claims of dominion over Scotland. English kings asserted that Scotland was a vassalized territory of England because earlier Scottish kings had performed homage to their predecessors. Máel Coluim III made an oath to William II of England in autumn 1091.</w:t>
      </w:r>
      <w:r w:rsidR="0003752F" w:rsidRPr="00AC4AC9">
        <w:rPr>
          <w:rStyle w:val="FootnoteReference"/>
          <w:sz w:val="24"/>
          <w:szCs w:val="24"/>
        </w:rPr>
        <w:footnoteReference w:id="31"/>
      </w:r>
      <w:r w:rsidR="0003752F" w:rsidRPr="00AC4AC9">
        <w:rPr>
          <w:sz w:val="24"/>
          <w:szCs w:val="24"/>
        </w:rPr>
        <w:t xml:space="preserve"> The Anglo-Saxon Chronicle records that Máel Coluim ‘became his vassal’ via this oath.</w:t>
      </w:r>
      <w:r w:rsidR="0003752F" w:rsidRPr="00AC4AC9">
        <w:rPr>
          <w:rStyle w:val="FootnoteReference"/>
          <w:sz w:val="24"/>
          <w:szCs w:val="24"/>
        </w:rPr>
        <w:footnoteReference w:id="32"/>
      </w:r>
      <w:r w:rsidR="0003752F" w:rsidRPr="00AC4AC9">
        <w:rPr>
          <w:sz w:val="24"/>
          <w:szCs w:val="24"/>
        </w:rPr>
        <w:t xml:space="preserve"> The </w:t>
      </w:r>
      <w:r w:rsidR="0003752F" w:rsidRPr="00AC4AC9">
        <w:rPr>
          <w:sz w:val="24"/>
          <w:szCs w:val="24"/>
        </w:rPr>
        <w:lastRenderedPageBreak/>
        <w:t xml:space="preserve">nature of the Scottish king’s vassalage was </w:t>
      </w:r>
      <w:r w:rsidR="00E7770F">
        <w:rPr>
          <w:sz w:val="24"/>
          <w:szCs w:val="24"/>
        </w:rPr>
        <w:t>underlined</w:t>
      </w:r>
      <w:r w:rsidR="00E7770F" w:rsidRPr="00AC4AC9">
        <w:rPr>
          <w:sz w:val="24"/>
          <w:szCs w:val="24"/>
        </w:rPr>
        <w:t xml:space="preserve"> </w:t>
      </w:r>
      <w:r w:rsidR="0003752F" w:rsidRPr="00AC4AC9">
        <w:rPr>
          <w:sz w:val="24"/>
          <w:szCs w:val="24"/>
        </w:rPr>
        <w:t>in 1174, when William the Lion made an oath to Henry II after his defeat at Alnwick: the resulting Treaty of Falaise specified that Scotland was now an English fief and William was required to perform homage.</w:t>
      </w:r>
      <w:r w:rsidR="0003752F" w:rsidRPr="00AC4AC9">
        <w:rPr>
          <w:rStyle w:val="FootnoteReference"/>
          <w:sz w:val="24"/>
          <w:szCs w:val="24"/>
        </w:rPr>
        <w:footnoteReference w:id="33"/>
      </w:r>
      <w:r w:rsidR="0003752F" w:rsidRPr="00AC4AC9">
        <w:rPr>
          <w:sz w:val="24"/>
          <w:szCs w:val="24"/>
        </w:rPr>
        <w:t xml:space="preserve"> Although Richard I released William from this obligation</w:t>
      </w:r>
      <w:r w:rsidR="00E7770F">
        <w:rPr>
          <w:sz w:val="24"/>
          <w:szCs w:val="24"/>
        </w:rPr>
        <w:t xml:space="preserve"> in the Quitclaim of Canterbury (1189), protecting Scotland from such </w:t>
      </w:r>
      <w:r w:rsidR="00A36CB2">
        <w:rPr>
          <w:sz w:val="24"/>
          <w:szCs w:val="24"/>
        </w:rPr>
        <w:t>obligations for a century</w:t>
      </w:r>
      <w:r w:rsidR="0003752F" w:rsidRPr="00AC4AC9">
        <w:rPr>
          <w:sz w:val="24"/>
          <w:szCs w:val="24"/>
        </w:rPr>
        <w:t xml:space="preserve">, the Treaty </w:t>
      </w:r>
      <w:r w:rsidR="00E7770F">
        <w:rPr>
          <w:sz w:val="24"/>
          <w:szCs w:val="24"/>
        </w:rPr>
        <w:t xml:space="preserve">demonstrates the early foundations upon which later claims of superiority by English kings and ecclesiastics rested. </w:t>
      </w:r>
      <w:r w:rsidR="00E60BA9">
        <w:rPr>
          <w:sz w:val="24"/>
          <w:szCs w:val="24"/>
        </w:rPr>
        <w:t xml:space="preserve">When the </w:t>
      </w:r>
      <w:r w:rsidR="002728B7">
        <w:rPr>
          <w:sz w:val="24"/>
          <w:szCs w:val="24"/>
        </w:rPr>
        <w:t>Scottish king obtained th</w:t>
      </w:r>
      <w:r w:rsidR="00164C6D">
        <w:rPr>
          <w:sz w:val="24"/>
          <w:szCs w:val="24"/>
        </w:rPr>
        <w:t>e anointing</w:t>
      </w:r>
      <w:r w:rsidR="002728B7">
        <w:rPr>
          <w:sz w:val="24"/>
          <w:szCs w:val="24"/>
        </w:rPr>
        <w:t xml:space="preserve"> right, he was placed on an equal footing with English kings. </w:t>
      </w:r>
      <w:r w:rsidRPr="00AC4AC9">
        <w:rPr>
          <w:sz w:val="24"/>
          <w:szCs w:val="24"/>
        </w:rPr>
        <w:t xml:space="preserve">As God’s anointed, his rule was divinely sanctioned and protected, with only one acknowledged secular superior in God. Therefore, theoretically at least, he could not be a vassal of the English king because to vassalize an anointed </w:t>
      </w:r>
      <w:r w:rsidR="00AE2B3E">
        <w:rPr>
          <w:sz w:val="24"/>
          <w:szCs w:val="24"/>
        </w:rPr>
        <w:t>ruler</w:t>
      </w:r>
      <w:r w:rsidRPr="00AC4AC9">
        <w:rPr>
          <w:sz w:val="24"/>
          <w:szCs w:val="24"/>
        </w:rPr>
        <w:t xml:space="preserve"> would be to question God’s blessing. It was for these reasons that English kings and ecclesiastics opposed Scottish petitions to the papal </w:t>
      </w:r>
      <w:r>
        <w:rPr>
          <w:sz w:val="24"/>
          <w:szCs w:val="24"/>
        </w:rPr>
        <w:t>court</w:t>
      </w:r>
      <w:r w:rsidRPr="00AC4AC9">
        <w:rPr>
          <w:sz w:val="24"/>
          <w:szCs w:val="24"/>
        </w:rPr>
        <w:t xml:space="preserve"> for the right to anoint so vehemently in the thirteenth century. In 1233, an application for the right to anoint was opposed by Archbishop Walter de Gray of York on his king’s behalf, demonstrating how the issue unified the ambitions of the king and bishops.</w:t>
      </w:r>
      <w:r w:rsidRPr="00AC4AC9">
        <w:rPr>
          <w:rStyle w:val="FootnoteReference"/>
          <w:sz w:val="24"/>
          <w:szCs w:val="24"/>
        </w:rPr>
        <w:footnoteReference w:id="34"/>
      </w:r>
      <w:r w:rsidRPr="00AC4AC9">
        <w:rPr>
          <w:sz w:val="24"/>
          <w:szCs w:val="24"/>
        </w:rPr>
        <w:t xml:space="preserve"> While the outcomes of various thirteenth-century petitions seemingly favoured English political ambitions, the situation was nuanced. Pope Innocent IV also refused Henry III’s other request: a proposed ‘veto’ of future Scottish requests for unction.</w:t>
      </w:r>
      <w:r w:rsidRPr="00AC4AC9">
        <w:rPr>
          <w:rStyle w:val="FootnoteReference"/>
          <w:sz w:val="24"/>
          <w:szCs w:val="24"/>
        </w:rPr>
        <w:footnoteReference w:id="35"/>
      </w:r>
      <w:r w:rsidRPr="00AC4AC9">
        <w:rPr>
          <w:sz w:val="24"/>
          <w:szCs w:val="24"/>
        </w:rPr>
        <w:t xml:space="preserve"> Therefore, the anointing rite was a hotly contested issue. </w:t>
      </w:r>
    </w:p>
    <w:p w14:paraId="3E14160A" w14:textId="07EACD5A" w:rsidR="00B178CA" w:rsidRPr="00735770" w:rsidRDefault="00735770" w:rsidP="006B56A8">
      <w:pPr>
        <w:spacing w:line="360" w:lineRule="auto"/>
        <w:ind w:firstLine="720"/>
        <w:jc w:val="both"/>
        <w:rPr>
          <w:sz w:val="24"/>
          <w:szCs w:val="24"/>
        </w:rPr>
      </w:pPr>
      <w:r w:rsidRPr="00AC4AC9">
        <w:rPr>
          <w:sz w:val="24"/>
          <w:szCs w:val="24"/>
        </w:rPr>
        <w:t>Not all Scots in the late thirteenth century wished to obtain this right. Controversially, Robert Bruce, fourth lord of Annandale (d.</w:t>
      </w:r>
      <w:r w:rsidR="00AE2B3E">
        <w:rPr>
          <w:sz w:val="24"/>
          <w:szCs w:val="24"/>
        </w:rPr>
        <w:t xml:space="preserve"> </w:t>
      </w:r>
      <w:r w:rsidRPr="00AC4AC9">
        <w:rPr>
          <w:sz w:val="24"/>
          <w:szCs w:val="24"/>
        </w:rPr>
        <w:t xml:space="preserve">1295), used the absence of unction to argue that Scotland was a ‘land’ rather than a kingdom in 1290 during the Great Cause, </w:t>
      </w:r>
      <w:r>
        <w:rPr>
          <w:sz w:val="24"/>
          <w:szCs w:val="24"/>
        </w:rPr>
        <w:t>so that he might benefit from its partition and inherit part of its territory</w:t>
      </w:r>
      <w:r w:rsidRPr="00AC4AC9">
        <w:rPr>
          <w:sz w:val="24"/>
          <w:szCs w:val="24"/>
        </w:rPr>
        <w:t>.</w:t>
      </w:r>
      <w:r w:rsidRPr="00AC4AC9">
        <w:rPr>
          <w:rStyle w:val="FootnoteReference"/>
          <w:sz w:val="24"/>
          <w:szCs w:val="24"/>
        </w:rPr>
        <w:footnoteReference w:id="36"/>
      </w:r>
      <w:r w:rsidRPr="00AC4AC9">
        <w:rPr>
          <w:sz w:val="24"/>
          <w:szCs w:val="24"/>
        </w:rPr>
        <w:t xml:space="preserve"> It was not until the Wars of Independence that the political significance of unction and its pertinence to the kingdom’s status was fully realised, when his grandson, Robert I, obtained the right to anoint. This grant realised a multi-generational desire for Scottish kings, and their kingdom, to be acknowledged as sovereign. Since this right was granted as part of the diplomatic negotiations with England and the papacy in the 1328 Treaty of Edinburgh-Northampton, it also recognised Robert’s achievements in the face of his English adversaries and, in comparison, to his predecessors. David’s anointing in 1331 was a visual reminder of his father’s achievements and Scotland’s </w:t>
      </w:r>
      <w:r w:rsidRPr="00AC4AC9">
        <w:rPr>
          <w:sz w:val="24"/>
          <w:szCs w:val="24"/>
        </w:rPr>
        <w:lastRenderedPageBreak/>
        <w:t>resilience to English incursions for members of the political community who had fought for Scottish independence. In doing so, the ritual also tied David to this legacy.</w:t>
      </w:r>
    </w:p>
    <w:p w14:paraId="1B20A838" w14:textId="1F25D509" w:rsidR="00B178CA" w:rsidRPr="000B51E3" w:rsidRDefault="00DD7970" w:rsidP="006B56A8">
      <w:pPr>
        <w:spacing w:line="360" w:lineRule="auto"/>
        <w:jc w:val="both"/>
        <w:rPr>
          <w:b/>
          <w:bCs/>
          <w:sz w:val="24"/>
          <w:szCs w:val="24"/>
        </w:rPr>
      </w:pPr>
      <w:r w:rsidRPr="000B51E3">
        <w:rPr>
          <w:b/>
          <w:bCs/>
          <w:sz w:val="24"/>
          <w:szCs w:val="24"/>
        </w:rPr>
        <w:t xml:space="preserve">Inauguration and </w:t>
      </w:r>
      <w:r w:rsidR="00B178CA" w:rsidRPr="000B51E3">
        <w:rPr>
          <w:b/>
          <w:bCs/>
          <w:sz w:val="24"/>
          <w:szCs w:val="24"/>
        </w:rPr>
        <w:t>Ritual</w:t>
      </w:r>
    </w:p>
    <w:p w14:paraId="2825F5ED" w14:textId="23BE9009" w:rsidR="00C94A4E" w:rsidRPr="00AC4AC9" w:rsidRDefault="009C69AA" w:rsidP="006B56A8">
      <w:pPr>
        <w:spacing w:line="360" w:lineRule="auto"/>
        <w:jc w:val="both"/>
        <w:rPr>
          <w:sz w:val="24"/>
          <w:szCs w:val="24"/>
        </w:rPr>
      </w:pPr>
      <w:r w:rsidRPr="00AC4AC9">
        <w:rPr>
          <w:sz w:val="24"/>
          <w:szCs w:val="24"/>
        </w:rPr>
        <w:t>The inclusion of the anointing rite necessitated a change in the inauguration</w:t>
      </w:r>
      <w:r w:rsidR="005B25CD">
        <w:rPr>
          <w:sz w:val="24"/>
          <w:szCs w:val="24"/>
        </w:rPr>
        <w:t>’s form</w:t>
      </w:r>
      <w:r w:rsidR="00E01A02">
        <w:rPr>
          <w:sz w:val="24"/>
          <w:szCs w:val="24"/>
        </w:rPr>
        <w:t xml:space="preserve"> to accommodate this new element</w:t>
      </w:r>
      <w:r w:rsidR="005C28F8">
        <w:rPr>
          <w:sz w:val="24"/>
          <w:szCs w:val="24"/>
        </w:rPr>
        <w:t>, which also changed its meaning.</w:t>
      </w:r>
      <w:r w:rsidR="00AA4492">
        <w:rPr>
          <w:sz w:val="24"/>
          <w:szCs w:val="24"/>
        </w:rPr>
        <w:t xml:space="preserve"> Before embarking on </w:t>
      </w:r>
      <w:r w:rsidR="00DD3883">
        <w:rPr>
          <w:sz w:val="24"/>
          <w:szCs w:val="24"/>
        </w:rPr>
        <w:t xml:space="preserve">any further analysis, it is worth stating that David’s inauguration is here defined and understood as a ritual. If, </w:t>
      </w:r>
      <w:r w:rsidR="00A67DDE">
        <w:rPr>
          <w:sz w:val="24"/>
          <w:szCs w:val="24"/>
        </w:rPr>
        <w:t xml:space="preserve">like Victor Turner, we define ritual as </w:t>
      </w:r>
      <w:r w:rsidR="009E75A7" w:rsidRPr="00AC4AC9">
        <w:rPr>
          <w:sz w:val="24"/>
          <w:szCs w:val="24"/>
        </w:rPr>
        <w:t>‘a religious behaviour associated with social transitions’ that is inherently ‘transformative’, inaugurations fit neatly into this category.</w:t>
      </w:r>
      <w:r w:rsidR="009E75A7" w:rsidRPr="00AC4AC9">
        <w:rPr>
          <w:rStyle w:val="FootnoteReference"/>
          <w:sz w:val="24"/>
          <w:szCs w:val="24"/>
        </w:rPr>
        <w:footnoteReference w:id="37"/>
      </w:r>
      <w:r w:rsidR="009E7EC2">
        <w:rPr>
          <w:sz w:val="24"/>
          <w:szCs w:val="24"/>
        </w:rPr>
        <w:t xml:space="preserve"> </w:t>
      </w:r>
      <w:r w:rsidR="00ED5978">
        <w:rPr>
          <w:sz w:val="24"/>
          <w:szCs w:val="24"/>
        </w:rPr>
        <w:t>W</w:t>
      </w:r>
      <w:r w:rsidR="00122CB2">
        <w:rPr>
          <w:sz w:val="24"/>
          <w:szCs w:val="24"/>
        </w:rPr>
        <w:t>hile</w:t>
      </w:r>
      <w:r w:rsidR="009E7EC2">
        <w:rPr>
          <w:sz w:val="24"/>
          <w:szCs w:val="24"/>
        </w:rPr>
        <w:t xml:space="preserve"> a ‘ceremony’ confirms a pre-existing state, </w:t>
      </w:r>
      <w:r w:rsidR="00AE2B3E">
        <w:rPr>
          <w:sz w:val="24"/>
          <w:szCs w:val="24"/>
        </w:rPr>
        <w:t xml:space="preserve">a </w:t>
      </w:r>
      <w:r w:rsidR="009E7EC2">
        <w:rPr>
          <w:sz w:val="24"/>
          <w:szCs w:val="24"/>
        </w:rPr>
        <w:t>ritual confer</w:t>
      </w:r>
      <w:r w:rsidR="00AE2B3E">
        <w:rPr>
          <w:sz w:val="24"/>
          <w:szCs w:val="24"/>
        </w:rPr>
        <w:t>s</w:t>
      </w:r>
      <w:r w:rsidR="009E7EC2">
        <w:rPr>
          <w:sz w:val="24"/>
          <w:szCs w:val="24"/>
        </w:rPr>
        <w:t xml:space="preserve"> a new one.</w:t>
      </w:r>
      <w:r w:rsidR="009E7EC2" w:rsidRPr="00AC4AC9">
        <w:rPr>
          <w:rStyle w:val="FootnoteReference"/>
          <w:sz w:val="24"/>
          <w:szCs w:val="24"/>
        </w:rPr>
        <w:footnoteReference w:id="38"/>
      </w:r>
      <w:r w:rsidR="005B06DC">
        <w:rPr>
          <w:sz w:val="24"/>
          <w:szCs w:val="24"/>
        </w:rPr>
        <w:t xml:space="preserve"> This element </w:t>
      </w:r>
      <w:r w:rsidR="007E31B3">
        <w:rPr>
          <w:sz w:val="24"/>
          <w:szCs w:val="24"/>
        </w:rPr>
        <w:t>—</w:t>
      </w:r>
      <w:r w:rsidR="005B06DC">
        <w:rPr>
          <w:sz w:val="24"/>
          <w:szCs w:val="24"/>
        </w:rPr>
        <w:t xml:space="preserve"> of essential transformation </w:t>
      </w:r>
      <w:r w:rsidR="007E31B3">
        <w:rPr>
          <w:sz w:val="24"/>
          <w:szCs w:val="24"/>
        </w:rPr>
        <w:t>—</w:t>
      </w:r>
      <w:r w:rsidR="005B06DC">
        <w:rPr>
          <w:sz w:val="24"/>
          <w:szCs w:val="24"/>
        </w:rPr>
        <w:t xml:space="preserve"> is key to the particular </w:t>
      </w:r>
      <w:r w:rsidR="008C7ED6">
        <w:rPr>
          <w:sz w:val="24"/>
          <w:szCs w:val="24"/>
        </w:rPr>
        <w:t>category</w:t>
      </w:r>
      <w:r w:rsidR="005B06DC">
        <w:rPr>
          <w:sz w:val="24"/>
          <w:szCs w:val="24"/>
        </w:rPr>
        <w:t xml:space="preserve"> of the ritual genus</w:t>
      </w:r>
      <w:r w:rsidR="008C7ED6">
        <w:rPr>
          <w:sz w:val="24"/>
          <w:szCs w:val="24"/>
        </w:rPr>
        <w:t xml:space="preserve"> to which inaugurations belonged: </w:t>
      </w:r>
      <w:r w:rsidR="0094107F">
        <w:rPr>
          <w:sz w:val="24"/>
          <w:szCs w:val="24"/>
        </w:rPr>
        <w:t>the rite of passage (according to Turner’s</w:t>
      </w:r>
      <w:r w:rsidR="004E5FE6">
        <w:rPr>
          <w:sz w:val="24"/>
          <w:szCs w:val="24"/>
        </w:rPr>
        <w:t xml:space="preserve"> phraseology).</w:t>
      </w:r>
      <w:r w:rsidR="00C94A4E">
        <w:rPr>
          <w:sz w:val="24"/>
          <w:szCs w:val="24"/>
        </w:rPr>
        <w:t xml:space="preserve"> This occurred </w:t>
      </w:r>
      <w:r w:rsidR="00C94A4E" w:rsidRPr="00AC4AC9">
        <w:rPr>
          <w:sz w:val="24"/>
          <w:szCs w:val="24"/>
        </w:rPr>
        <w:t>at moments of social crisis</w:t>
      </w:r>
      <w:r w:rsidR="00C94A4E">
        <w:rPr>
          <w:sz w:val="24"/>
          <w:szCs w:val="24"/>
        </w:rPr>
        <w:t xml:space="preserve"> (</w:t>
      </w:r>
      <w:r w:rsidR="00C94A4E" w:rsidRPr="00AC4AC9">
        <w:rPr>
          <w:sz w:val="24"/>
          <w:szCs w:val="24"/>
        </w:rPr>
        <w:t xml:space="preserve">such as the death of the reigning </w:t>
      </w:r>
      <w:r w:rsidR="00C94A4E">
        <w:rPr>
          <w:sz w:val="24"/>
          <w:szCs w:val="24"/>
        </w:rPr>
        <w:t>ruler)</w:t>
      </w:r>
      <w:r w:rsidR="00C94A4E" w:rsidRPr="00AC4AC9">
        <w:rPr>
          <w:sz w:val="24"/>
          <w:szCs w:val="24"/>
        </w:rPr>
        <w:t xml:space="preserve"> and changed the status of </w:t>
      </w:r>
      <w:r w:rsidR="00C94A4E">
        <w:rPr>
          <w:sz w:val="24"/>
          <w:szCs w:val="24"/>
        </w:rPr>
        <w:t>the initiand: he was not a king until he had been inaugurated. The rite of passage</w:t>
      </w:r>
      <w:r w:rsidR="00C94A4E" w:rsidRPr="00AC4AC9">
        <w:rPr>
          <w:sz w:val="24"/>
          <w:szCs w:val="24"/>
        </w:rPr>
        <w:t xml:space="preserve"> re-establish</w:t>
      </w:r>
      <w:r w:rsidR="00C94A4E">
        <w:rPr>
          <w:sz w:val="24"/>
          <w:szCs w:val="24"/>
        </w:rPr>
        <w:t>ed</w:t>
      </w:r>
      <w:r w:rsidR="00C94A4E" w:rsidRPr="00AC4AC9">
        <w:rPr>
          <w:sz w:val="24"/>
          <w:szCs w:val="24"/>
        </w:rPr>
        <w:t xml:space="preserve"> social harmony in a collective group.</w:t>
      </w:r>
      <w:r w:rsidR="00C94A4E" w:rsidRPr="00AC4AC9">
        <w:rPr>
          <w:rStyle w:val="FootnoteReference"/>
          <w:sz w:val="24"/>
          <w:szCs w:val="24"/>
        </w:rPr>
        <w:footnoteReference w:id="39"/>
      </w:r>
      <w:r w:rsidR="00C94A4E" w:rsidRPr="00AC4AC9">
        <w:rPr>
          <w:sz w:val="24"/>
          <w:szCs w:val="24"/>
        </w:rPr>
        <w:t xml:space="preserve"> According to Turner, </w:t>
      </w:r>
      <w:r w:rsidR="00C94A4E">
        <w:rPr>
          <w:sz w:val="24"/>
          <w:szCs w:val="24"/>
        </w:rPr>
        <w:t xml:space="preserve">during a ritual, </w:t>
      </w:r>
      <w:r w:rsidR="00C94A4E" w:rsidRPr="00AC4AC9">
        <w:rPr>
          <w:sz w:val="24"/>
          <w:szCs w:val="24"/>
        </w:rPr>
        <w:t xml:space="preserve">as </w:t>
      </w:r>
      <w:r w:rsidR="00C94A4E">
        <w:rPr>
          <w:sz w:val="24"/>
          <w:szCs w:val="24"/>
        </w:rPr>
        <w:t>the initiand</w:t>
      </w:r>
      <w:r w:rsidR="00C94A4E" w:rsidRPr="00AC4AC9">
        <w:rPr>
          <w:sz w:val="24"/>
          <w:szCs w:val="24"/>
        </w:rPr>
        <w:t xml:space="preserve"> moves through the three stages of separation, margin and aggregation, they become a liminal entity who is ‘neither here nor there; they are betwixt and between’ their former social role and their future position.</w:t>
      </w:r>
      <w:r w:rsidR="00C94A4E" w:rsidRPr="00AC4AC9">
        <w:rPr>
          <w:rStyle w:val="FootnoteReference"/>
          <w:sz w:val="24"/>
          <w:szCs w:val="24"/>
        </w:rPr>
        <w:footnoteReference w:id="40"/>
      </w:r>
      <w:r w:rsidR="00C94A4E" w:rsidRPr="00AC4AC9">
        <w:rPr>
          <w:sz w:val="24"/>
          <w:szCs w:val="24"/>
        </w:rPr>
        <w:t xml:space="preserve"> We can see this transformation in the Old Testament, when Saul is told he ‘shalt be changed into another man’ when the spirit of the Lord comes upon him.</w:t>
      </w:r>
      <w:r w:rsidR="00C94A4E" w:rsidRPr="00AC4AC9">
        <w:rPr>
          <w:rStyle w:val="FootnoteReference"/>
          <w:sz w:val="24"/>
          <w:szCs w:val="24"/>
        </w:rPr>
        <w:footnoteReference w:id="41"/>
      </w:r>
      <w:r w:rsidR="00C94A4E" w:rsidRPr="00AC4AC9">
        <w:rPr>
          <w:sz w:val="24"/>
          <w:szCs w:val="24"/>
        </w:rPr>
        <w:t xml:space="preserve"> Similarly, </w:t>
      </w:r>
      <w:r w:rsidR="00ED5978">
        <w:rPr>
          <w:sz w:val="24"/>
          <w:szCs w:val="24"/>
        </w:rPr>
        <w:t xml:space="preserve">the chronicle referred to as </w:t>
      </w:r>
      <w:proofErr w:type="spellStart"/>
      <w:r w:rsidR="00C94A4E" w:rsidRPr="5F11FC62">
        <w:rPr>
          <w:i/>
          <w:iCs/>
          <w:sz w:val="24"/>
          <w:szCs w:val="24"/>
        </w:rPr>
        <w:t>Gesta</w:t>
      </w:r>
      <w:proofErr w:type="spellEnd"/>
      <w:r w:rsidR="00C94A4E" w:rsidRPr="5F11FC62">
        <w:rPr>
          <w:i/>
          <w:iCs/>
          <w:sz w:val="24"/>
          <w:szCs w:val="24"/>
        </w:rPr>
        <w:t xml:space="preserve"> Annalia I </w:t>
      </w:r>
      <w:r w:rsidR="00C94A4E" w:rsidRPr="00AC4AC9">
        <w:rPr>
          <w:sz w:val="24"/>
          <w:szCs w:val="24"/>
        </w:rPr>
        <w:t>describes Alexander III as ‘</w:t>
      </w:r>
      <w:r w:rsidR="00C94A4E" w:rsidRPr="00763E19">
        <w:rPr>
          <w:i/>
          <w:iCs/>
          <w:sz w:val="24"/>
          <w:szCs w:val="24"/>
        </w:rPr>
        <w:t xml:space="preserve">rex </w:t>
      </w:r>
      <w:proofErr w:type="spellStart"/>
      <w:r w:rsidR="00C94A4E" w:rsidRPr="00763E19">
        <w:rPr>
          <w:i/>
          <w:iCs/>
          <w:sz w:val="24"/>
          <w:szCs w:val="24"/>
        </w:rPr>
        <w:t>mox</w:t>
      </w:r>
      <w:proofErr w:type="spellEnd"/>
      <w:r w:rsidR="00C94A4E" w:rsidRPr="00763E19">
        <w:rPr>
          <w:i/>
          <w:iCs/>
          <w:sz w:val="24"/>
          <w:szCs w:val="24"/>
        </w:rPr>
        <w:t xml:space="preserve"> </w:t>
      </w:r>
      <w:proofErr w:type="spellStart"/>
      <w:r w:rsidR="00C94A4E" w:rsidRPr="00763E19">
        <w:rPr>
          <w:i/>
          <w:iCs/>
          <w:sz w:val="24"/>
          <w:szCs w:val="24"/>
        </w:rPr>
        <w:t>futurus</w:t>
      </w:r>
      <w:proofErr w:type="spellEnd"/>
      <w:r w:rsidR="00C94A4E" w:rsidRPr="00AC4AC9">
        <w:rPr>
          <w:sz w:val="24"/>
          <w:szCs w:val="24"/>
        </w:rPr>
        <w:t>’ prior to his enthronement outside Scone Abbey in 1249.</w:t>
      </w:r>
      <w:r w:rsidR="00C94A4E" w:rsidRPr="00AC4AC9">
        <w:rPr>
          <w:rStyle w:val="FootnoteReference"/>
          <w:sz w:val="24"/>
          <w:szCs w:val="24"/>
        </w:rPr>
        <w:footnoteReference w:id="42"/>
      </w:r>
      <w:r w:rsidR="00C94A4E" w:rsidRPr="00AC4AC9">
        <w:rPr>
          <w:sz w:val="24"/>
          <w:szCs w:val="24"/>
        </w:rPr>
        <w:t xml:space="preserve"> Thus, rituals had </w:t>
      </w:r>
      <w:r w:rsidR="00A82122">
        <w:rPr>
          <w:sz w:val="24"/>
          <w:szCs w:val="24"/>
        </w:rPr>
        <w:t>affective</w:t>
      </w:r>
      <w:r w:rsidR="00C94A4E" w:rsidRPr="00AC4AC9">
        <w:rPr>
          <w:sz w:val="24"/>
          <w:szCs w:val="24"/>
        </w:rPr>
        <w:t xml:space="preserve"> power that confronted the status quo and altered it.</w:t>
      </w:r>
    </w:p>
    <w:p w14:paraId="6934DBED" w14:textId="03FC1434" w:rsidR="009C69AA" w:rsidRDefault="009873D9" w:rsidP="006B56A8">
      <w:pPr>
        <w:spacing w:line="360" w:lineRule="auto"/>
        <w:jc w:val="both"/>
        <w:rPr>
          <w:sz w:val="24"/>
          <w:szCs w:val="24"/>
        </w:rPr>
      </w:pPr>
      <w:r>
        <w:rPr>
          <w:sz w:val="24"/>
          <w:szCs w:val="24"/>
        </w:rPr>
        <w:tab/>
        <w:t xml:space="preserve">One could be forgiven </w:t>
      </w:r>
      <w:r w:rsidR="004F1FB1">
        <w:rPr>
          <w:sz w:val="24"/>
          <w:szCs w:val="24"/>
        </w:rPr>
        <w:t>for doubting the transformative quality of inaugurations by the 1300s because it had become more common for rulers to be referred to as a king</w:t>
      </w:r>
      <w:r w:rsidR="00B1610C">
        <w:rPr>
          <w:sz w:val="24"/>
          <w:szCs w:val="24"/>
        </w:rPr>
        <w:t xml:space="preserve"> after the death of their predecessor</w:t>
      </w:r>
      <w:r w:rsidR="00E62125">
        <w:rPr>
          <w:sz w:val="24"/>
          <w:szCs w:val="24"/>
        </w:rPr>
        <w:t xml:space="preserve"> and prior to </w:t>
      </w:r>
      <w:r w:rsidR="003D19B2">
        <w:rPr>
          <w:sz w:val="24"/>
          <w:szCs w:val="24"/>
        </w:rPr>
        <w:t xml:space="preserve">being crowned. </w:t>
      </w:r>
      <w:r w:rsidR="004F4E05">
        <w:rPr>
          <w:sz w:val="24"/>
          <w:szCs w:val="24"/>
        </w:rPr>
        <w:t xml:space="preserve">For example, </w:t>
      </w:r>
      <w:r w:rsidR="00147595">
        <w:rPr>
          <w:sz w:val="24"/>
          <w:szCs w:val="24"/>
        </w:rPr>
        <w:t xml:space="preserve">Edward I of England was referred to as </w:t>
      </w:r>
      <w:r w:rsidR="00B27753">
        <w:rPr>
          <w:sz w:val="24"/>
          <w:szCs w:val="24"/>
        </w:rPr>
        <w:t>‘</w:t>
      </w:r>
      <w:r w:rsidR="00147595">
        <w:rPr>
          <w:sz w:val="24"/>
          <w:szCs w:val="24"/>
        </w:rPr>
        <w:t>king</w:t>
      </w:r>
      <w:r w:rsidR="00B27753">
        <w:rPr>
          <w:sz w:val="24"/>
          <w:szCs w:val="24"/>
        </w:rPr>
        <w:t>’</w:t>
      </w:r>
      <w:r w:rsidR="00147595">
        <w:rPr>
          <w:sz w:val="24"/>
          <w:szCs w:val="24"/>
        </w:rPr>
        <w:t xml:space="preserve"> </w:t>
      </w:r>
      <w:r w:rsidR="00E07981">
        <w:rPr>
          <w:sz w:val="24"/>
          <w:szCs w:val="24"/>
        </w:rPr>
        <w:t xml:space="preserve">from </w:t>
      </w:r>
      <w:r w:rsidR="00AE2B3E">
        <w:rPr>
          <w:sz w:val="24"/>
          <w:szCs w:val="24"/>
        </w:rPr>
        <w:t>1272, when</w:t>
      </w:r>
      <w:r w:rsidR="00147595">
        <w:rPr>
          <w:sz w:val="24"/>
          <w:szCs w:val="24"/>
        </w:rPr>
        <w:t xml:space="preserve"> the administrative records of his reign began, </w:t>
      </w:r>
      <w:r w:rsidR="004F4E05">
        <w:rPr>
          <w:sz w:val="24"/>
          <w:szCs w:val="24"/>
        </w:rPr>
        <w:t>despite his inauguration not taking place until 1274.</w:t>
      </w:r>
      <w:r w:rsidR="004F4E05">
        <w:rPr>
          <w:rStyle w:val="FootnoteReference"/>
          <w:sz w:val="24"/>
          <w:szCs w:val="24"/>
        </w:rPr>
        <w:footnoteReference w:id="43"/>
      </w:r>
      <w:r w:rsidR="00386F66">
        <w:rPr>
          <w:sz w:val="24"/>
          <w:szCs w:val="24"/>
        </w:rPr>
        <w:t xml:space="preserve"> Scott Dempsey argued that a similar pattern could </w:t>
      </w:r>
      <w:r w:rsidR="00386F66">
        <w:rPr>
          <w:sz w:val="24"/>
          <w:szCs w:val="24"/>
        </w:rPr>
        <w:lastRenderedPageBreak/>
        <w:t xml:space="preserve">be spotted </w:t>
      </w:r>
      <w:r w:rsidR="00DC6FC5">
        <w:rPr>
          <w:sz w:val="24"/>
          <w:szCs w:val="24"/>
        </w:rPr>
        <w:t>for John Balliol’s reign and that this may suggest the inauguration had lost its constitutional value by the late 1200s.</w:t>
      </w:r>
      <w:r w:rsidR="00DC6FC5">
        <w:rPr>
          <w:rStyle w:val="FootnoteReference"/>
          <w:sz w:val="24"/>
          <w:szCs w:val="24"/>
        </w:rPr>
        <w:footnoteReference w:id="44"/>
      </w:r>
      <w:r w:rsidR="002241A8">
        <w:rPr>
          <w:sz w:val="24"/>
          <w:szCs w:val="24"/>
        </w:rPr>
        <w:t xml:space="preserve"> </w:t>
      </w:r>
      <w:r w:rsidR="00ED5978">
        <w:rPr>
          <w:sz w:val="24"/>
          <w:szCs w:val="24"/>
        </w:rPr>
        <w:t>Yuki Nakagawa also argued the same point recently for Edward Balliol’s reign in this journal.</w:t>
      </w:r>
      <w:r w:rsidR="00ED5978">
        <w:rPr>
          <w:rStyle w:val="FootnoteReference"/>
          <w:sz w:val="24"/>
          <w:szCs w:val="24"/>
        </w:rPr>
        <w:footnoteReference w:id="45"/>
      </w:r>
      <w:r w:rsidR="00ED5978">
        <w:rPr>
          <w:sz w:val="24"/>
          <w:szCs w:val="24"/>
        </w:rPr>
        <w:t xml:space="preserve"> </w:t>
      </w:r>
      <w:r w:rsidR="002241A8">
        <w:rPr>
          <w:sz w:val="24"/>
          <w:szCs w:val="24"/>
        </w:rPr>
        <w:t xml:space="preserve">Yet, the crowning of </w:t>
      </w:r>
      <w:r w:rsidR="00434990">
        <w:rPr>
          <w:sz w:val="24"/>
          <w:szCs w:val="24"/>
        </w:rPr>
        <w:t xml:space="preserve">a king still had the power to legitimise a ruler </w:t>
      </w:r>
      <w:r w:rsidR="007E31B3">
        <w:rPr>
          <w:sz w:val="24"/>
          <w:szCs w:val="24"/>
        </w:rPr>
        <w:t>—</w:t>
      </w:r>
      <w:r w:rsidR="00434990">
        <w:rPr>
          <w:sz w:val="24"/>
          <w:szCs w:val="24"/>
        </w:rPr>
        <w:t xml:space="preserve"> it was for these reasons that Robert I rushed to be inaugurated </w:t>
      </w:r>
      <w:r w:rsidR="00031047">
        <w:rPr>
          <w:sz w:val="24"/>
          <w:szCs w:val="24"/>
        </w:rPr>
        <w:t>in 1306 after he murdered John Comyn</w:t>
      </w:r>
      <w:r w:rsidR="005B0257">
        <w:rPr>
          <w:sz w:val="24"/>
          <w:szCs w:val="24"/>
        </w:rPr>
        <w:t xml:space="preserve"> and </w:t>
      </w:r>
      <w:r w:rsidR="002955D7">
        <w:rPr>
          <w:sz w:val="24"/>
          <w:szCs w:val="24"/>
        </w:rPr>
        <w:t>perhaps why David II</w:t>
      </w:r>
      <w:r w:rsidR="00282C6F">
        <w:rPr>
          <w:sz w:val="24"/>
          <w:szCs w:val="24"/>
        </w:rPr>
        <w:t xml:space="preserve"> </w:t>
      </w:r>
      <w:r w:rsidR="00826689">
        <w:rPr>
          <w:sz w:val="24"/>
          <w:szCs w:val="24"/>
        </w:rPr>
        <w:t xml:space="preserve">and his wife </w:t>
      </w:r>
      <w:r w:rsidR="00282C6F">
        <w:rPr>
          <w:sz w:val="24"/>
          <w:szCs w:val="24"/>
        </w:rPr>
        <w:t>may have been crowned in 1328, before his father’s death.</w:t>
      </w:r>
      <w:r w:rsidR="00282C6F">
        <w:rPr>
          <w:rStyle w:val="FootnoteReference"/>
          <w:sz w:val="24"/>
          <w:szCs w:val="24"/>
        </w:rPr>
        <w:footnoteReference w:id="46"/>
      </w:r>
      <w:r w:rsidR="00B509AB">
        <w:rPr>
          <w:sz w:val="24"/>
          <w:szCs w:val="24"/>
        </w:rPr>
        <w:t xml:space="preserve"> </w:t>
      </w:r>
      <w:r w:rsidR="006C62DE">
        <w:rPr>
          <w:sz w:val="24"/>
          <w:szCs w:val="24"/>
        </w:rPr>
        <w:t xml:space="preserve">Vitally, the 1331 inauguration was </w:t>
      </w:r>
      <w:r w:rsidR="00521E82">
        <w:rPr>
          <w:sz w:val="24"/>
          <w:szCs w:val="24"/>
        </w:rPr>
        <w:t xml:space="preserve">both transformative and </w:t>
      </w:r>
      <w:r w:rsidR="006C62DE">
        <w:rPr>
          <w:sz w:val="24"/>
          <w:szCs w:val="24"/>
        </w:rPr>
        <w:t xml:space="preserve">a ritual because, as demonstrated above, </w:t>
      </w:r>
      <w:r w:rsidR="00E04450">
        <w:rPr>
          <w:sz w:val="24"/>
          <w:szCs w:val="24"/>
        </w:rPr>
        <w:t xml:space="preserve">the inclusion </w:t>
      </w:r>
      <w:r w:rsidR="009759B0">
        <w:rPr>
          <w:sz w:val="24"/>
          <w:szCs w:val="24"/>
        </w:rPr>
        <w:t xml:space="preserve">of the anointing </w:t>
      </w:r>
      <w:r w:rsidR="00841596">
        <w:rPr>
          <w:sz w:val="24"/>
          <w:szCs w:val="24"/>
        </w:rPr>
        <w:t>rite transformed the king of Scots into the Lord’s anointed for the first time, underlying his sovereignty.</w:t>
      </w:r>
    </w:p>
    <w:p w14:paraId="7057C94A" w14:textId="1A4F9FBB" w:rsidR="00275E89" w:rsidRDefault="009C46A2" w:rsidP="006B56A8">
      <w:pPr>
        <w:spacing w:line="360" w:lineRule="auto"/>
        <w:ind w:firstLine="720"/>
        <w:jc w:val="both"/>
        <w:rPr>
          <w:sz w:val="24"/>
          <w:szCs w:val="24"/>
        </w:rPr>
      </w:pPr>
      <w:r w:rsidRPr="00AC4AC9">
        <w:rPr>
          <w:sz w:val="24"/>
          <w:szCs w:val="24"/>
        </w:rPr>
        <w:t>The term</w:t>
      </w:r>
      <w:r>
        <w:rPr>
          <w:sz w:val="24"/>
          <w:szCs w:val="24"/>
        </w:rPr>
        <w:t xml:space="preserve"> ritual</w:t>
      </w:r>
      <w:r w:rsidRPr="00AC4AC9">
        <w:rPr>
          <w:sz w:val="24"/>
          <w:szCs w:val="24"/>
        </w:rPr>
        <w:t xml:space="preserve"> and its application to </w:t>
      </w:r>
      <w:r w:rsidR="00AE2B3E">
        <w:rPr>
          <w:sz w:val="24"/>
          <w:szCs w:val="24"/>
        </w:rPr>
        <w:t xml:space="preserve">religious </w:t>
      </w:r>
      <w:r w:rsidRPr="00AC4AC9">
        <w:rPr>
          <w:sz w:val="24"/>
          <w:szCs w:val="24"/>
        </w:rPr>
        <w:t xml:space="preserve">performances in the </w:t>
      </w:r>
      <w:r w:rsidR="00122CB2">
        <w:rPr>
          <w:sz w:val="24"/>
          <w:szCs w:val="24"/>
        </w:rPr>
        <w:t>Middle Ages</w:t>
      </w:r>
      <w:r w:rsidRPr="00AC4AC9">
        <w:rPr>
          <w:sz w:val="24"/>
          <w:szCs w:val="24"/>
        </w:rPr>
        <w:t xml:space="preserve"> has been the subject of much debate.</w:t>
      </w:r>
      <w:r w:rsidRPr="00AC4AC9">
        <w:rPr>
          <w:rStyle w:val="FootnoteReference"/>
          <w:sz w:val="24"/>
          <w:szCs w:val="24"/>
        </w:rPr>
        <w:footnoteReference w:id="47"/>
      </w:r>
      <w:r w:rsidRPr="00AC4AC9">
        <w:rPr>
          <w:sz w:val="24"/>
          <w:szCs w:val="24"/>
        </w:rPr>
        <w:t xml:space="preserve"> </w:t>
      </w:r>
      <w:r w:rsidR="00D362B3">
        <w:rPr>
          <w:sz w:val="24"/>
          <w:szCs w:val="24"/>
        </w:rPr>
        <w:t>This is because m</w:t>
      </w:r>
      <w:r w:rsidRPr="00AC4AC9">
        <w:rPr>
          <w:sz w:val="24"/>
          <w:szCs w:val="24"/>
        </w:rPr>
        <w:t xml:space="preserve">edieval historians are confronted by a unique set of problems when analysing rituals. Some anthropological approaches to ritual are based </w:t>
      </w:r>
      <w:r w:rsidR="001D509B">
        <w:rPr>
          <w:sz w:val="24"/>
          <w:szCs w:val="24"/>
        </w:rPr>
        <w:t xml:space="preserve">on </w:t>
      </w:r>
      <w:r w:rsidRPr="00AC4AC9">
        <w:rPr>
          <w:sz w:val="24"/>
          <w:szCs w:val="24"/>
        </w:rPr>
        <w:t>ahistorical principles. Arnold Van Gennep’s work on rites of passages sought universal patterns behind rituals from different cultures and historical periods.</w:t>
      </w:r>
      <w:r w:rsidRPr="00AC4AC9">
        <w:rPr>
          <w:rStyle w:val="FootnoteReference"/>
          <w:sz w:val="24"/>
          <w:szCs w:val="24"/>
        </w:rPr>
        <w:footnoteReference w:id="48"/>
      </w:r>
      <w:r w:rsidRPr="00AC4AC9">
        <w:rPr>
          <w:sz w:val="24"/>
          <w:szCs w:val="24"/>
        </w:rPr>
        <w:t xml:space="preserve"> Such approaches were critiqued by Clifford Geertz because there is no such thing as a ‘typical’ example of any social phenomenon, meaning that universal conclusions cannot be sought from any example.</w:t>
      </w:r>
      <w:r w:rsidRPr="00AC4AC9">
        <w:rPr>
          <w:rStyle w:val="FootnoteReference"/>
          <w:sz w:val="24"/>
          <w:szCs w:val="24"/>
        </w:rPr>
        <w:footnoteReference w:id="49"/>
      </w:r>
      <w:r w:rsidRPr="00AC4AC9">
        <w:rPr>
          <w:sz w:val="24"/>
          <w:szCs w:val="24"/>
        </w:rPr>
        <w:t xml:space="preserve"> Geertz’s solution was to study each ritual on its own terms, to understand its natural variation of cultural forms, describing the subject ‘thickly’ in microscopic detail to root any analyses in the appropriate ‘structure[s] of signification’.</w:t>
      </w:r>
      <w:r w:rsidRPr="00AC4AC9">
        <w:rPr>
          <w:rStyle w:val="FootnoteReference"/>
          <w:sz w:val="24"/>
          <w:szCs w:val="24"/>
        </w:rPr>
        <w:footnoteReference w:id="50"/>
      </w:r>
      <w:r w:rsidRPr="00AC4AC9">
        <w:rPr>
          <w:sz w:val="24"/>
          <w:szCs w:val="24"/>
        </w:rPr>
        <w:t xml:space="preserve"> </w:t>
      </w:r>
      <w:r w:rsidR="006B5B46">
        <w:rPr>
          <w:sz w:val="24"/>
          <w:szCs w:val="24"/>
        </w:rPr>
        <w:t xml:space="preserve">His </w:t>
      </w:r>
      <w:r w:rsidRPr="00AC4AC9">
        <w:rPr>
          <w:sz w:val="24"/>
          <w:szCs w:val="24"/>
        </w:rPr>
        <w:t xml:space="preserve">approach emphasised the importance of observing the subject and interviewing informants, </w:t>
      </w:r>
      <w:r w:rsidR="006B5B46">
        <w:rPr>
          <w:sz w:val="24"/>
          <w:szCs w:val="24"/>
        </w:rPr>
        <w:t>which</w:t>
      </w:r>
      <w:r w:rsidR="007014A1">
        <w:rPr>
          <w:sz w:val="24"/>
          <w:szCs w:val="24"/>
        </w:rPr>
        <w:t xml:space="preserve"> medieval historians are unable to do for obvious reasons. </w:t>
      </w:r>
      <w:r w:rsidR="006B5B46">
        <w:rPr>
          <w:sz w:val="24"/>
          <w:szCs w:val="24"/>
        </w:rPr>
        <w:t xml:space="preserve">Indeed, Philippe Buc argued that we cannot provide such a systematic analysis of the ritual’s </w:t>
      </w:r>
      <w:r w:rsidR="007014A1">
        <w:rPr>
          <w:sz w:val="24"/>
          <w:szCs w:val="24"/>
        </w:rPr>
        <w:t xml:space="preserve">symbolic material because </w:t>
      </w:r>
      <w:r w:rsidRPr="00AC4AC9">
        <w:rPr>
          <w:sz w:val="24"/>
          <w:szCs w:val="24"/>
        </w:rPr>
        <w:t xml:space="preserve">our </w:t>
      </w:r>
      <w:r w:rsidR="007014A1">
        <w:rPr>
          <w:sz w:val="24"/>
          <w:szCs w:val="24"/>
        </w:rPr>
        <w:t>interpretation of such events</w:t>
      </w:r>
      <w:r w:rsidRPr="00AC4AC9">
        <w:rPr>
          <w:sz w:val="24"/>
          <w:szCs w:val="24"/>
        </w:rPr>
        <w:t xml:space="preserve"> is distorted by</w:t>
      </w:r>
      <w:r>
        <w:rPr>
          <w:sz w:val="24"/>
          <w:szCs w:val="24"/>
        </w:rPr>
        <w:t xml:space="preserve"> the creative vision </w:t>
      </w:r>
      <w:r w:rsidRPr="00AC4AC9">
        <w:rPr>
          <w:sz w:val="24"/>
          <w:szCs w:val="24"/>
        </w:rPr>
        <w:t>of chronicler</w:t>
      </w:r>
      <w:r>
        <w:rPr>
          <w:sz w:val="24"/>
          <w:szCs w:val="24"/>
        </w:rPr>
        <w:t xml:space="preserve">s: we cannot </w:t>
      </w:r>
      <w:r w:rsidRPr="00AC4AC9">
        <w:rPr>
          <w:sz w:val="24"/>
          <w:szCs w:val="24"/>
        </w:rPr>
        <w:t>differentiate between how the ritual was performed and the author</w:t>
      </w:r>
      <w:r w:rsidR="007014A1">
        <w:rPr>
          <w:sz w:val="24"/>
          <w:szCs w:val="24"/>
        </w:rPr>
        <w:t>’s narrative</w:t>
      </w:r>
      <w:r w:rsidRPr="00AC4AC9">
        <w:rPr>
          <w:sz w:val="24"/>
          <w:szCs w:val="24"/>
        </w:rPr>
        <w:t xml:space="preserve"> construct</w:t>
      </w:r>
      <w:r w:rsidR="007014A1">
        <w:rPr>
          <w:sz w:val="24"/>
          <w:szCs w:val="24"/>
        </w:rPr>
        <w:t>ion</w:t>
      </w:r>
      <w:r>
        <w:rPr>
          <w:sz w:val="24"/>
          <w:szCs w:val="24"/>
        </w:rPr>
        <w:t xml:space="preserve"> of it</w:t>
      </w:r>
      <w:r w:rsidRPr="00AC4AC9">
        <w:rPr>
          <w:sz w:val="24"/>
          <w:szCs w:val="24"/>
        </w:rPr>
        <w:t xml:space="preserve">, which sought to persuade the reader of </w:t>
      </w:r>
      <w:r>
        <w:rPr>
          <w:sz w:val="24"/>
          <w:szCs w:val="24"/>
        </w:rPr>
        <w:t>the</w:t>
      </w:r>
      <w:r w:rsidR="007014A1">
        <w:rPr>
          <w:sz w:val="24"/>
          <w:szCs w:val="24"/>
        </w:rPr>
        <w:t>ir</w:t>
      </w:r>
      <w:r>
        <w:rPr>
          <w:sz w:val="24"/>
          <w:szCs w:val="24"/>
        </w:rPr>
        <w:t xml:space="preserve"> interpretation</w:t>
      </w:r>
      <w:r w:rsidRPr="00AC4AC9">
        <w:rPr>
          <w:sz w:val="24"/>
          <w:szCs w:val="24"/>
        </w:rPr>
        <w:t>.</w:t>
      </w:r>
      <w:r w:rsidRPr="00AC4AC9">
        <w:rPr>
          <w:rStyle w:val="FootnoteReference"/>
          <w:sz w:val="24"/>
          <w:szCs w:val="24"/>
        </w:rPr>
        <w:footnoteReference w:id="51"/>
      </w:r>
      <w:r w:rsidRPr="00AC4AC9">
        <w:rPr>
          <w:sz w:val="24"/>
          <w:szCs w:val="24"/>
        </w:rPr>
        <w:t xml:space="preserve"> </w:t>
      </w:r>
      <w:r>
        <w:rPr>
          <w:sz w:val="24"/>
          <w:szCs w:val="24"/>
        </w:rPr>
        <w:t xml:space="preserve">Yet, </w:t>
      </w:r>
      <w:r w:rsidRPr="00AC4AC9">
        <w:rPr>
          <w:sz w:val="24"/>
          <w:szCs w:val="24"/>
        </w:rPr>
        <w:t xml:space="preserve">while chroniclers did </w:t>
      </w:r>
      <w:r w:rsidR="007014A1">
        <w:rPr>
          <w:sz w:val="24"/>
          <w:szCs w:val="24"/>
        </w:rPr>
        <w:t>reframe</w:t>
      </w:r>
      <w:r w:rsidRPr="00AC4AC9">
        <w:rPr>
          <w:sz w:val="24"/>
          <w:szCs w:val="24"/>
        </w:rPr>
        <w:t xml:space="preserve"> and manipulate events for their own </w:t>
      </w:r>
      <w:r w:rsidRPr="00AC4AC9">
        <w:rPr>
          <w:sz w:val="24"/>
          <w:szCs w:val="24"/>
        </w:rPr>
        <w:lastRenderedPageBreak/>
        <w:t xml:space="preserve">purposes, </w:t>
      </w:r>
      <w:r w:rsidR="009937B9">
        <w:rPr>
          <w:sz w:val="24"/>
          <w:szCs w:val="24"/>
        </w:rPr>
        <w:t>the</w:t>
      </w:r>
      <w:r w:rsidR="00587DEF">
        <w:rPr>
          <w:sz w:val="24"/>
          <w:szCs w:val="24"/>
        </w:rPr>
        <w:t xml:space="preserve">ir account of the ritual’s form had to </w:t>
      </w:r>
      <w:r w:rsidR="007D09A4">
        <w:rPr>
          <w:sz w:val="24"/>
          <w:szCs w:val="24"/>
        </w:rPr>
        <w:t>have verisimilitude</w:t>
      </w:r>
      <w:r w:rsidRPr="00AC4AC9">
        <w:rPr>
          <w:sz w:val="24"/>
          <w:szCs w:val="24"/>
        </w:rPr>
        <w:t>.</w:t>
      </w:r>
      <w:r w:rsidRPr="00AC4AC9">
        <w:rPr>
          <w:rStyle w:val="FootnoteReference"/>
          <w:sz w:val="24"/>
          <w:szCs w:val="24"/>
        </w:rPr>
        <w:footnoteReference w:id="52"/>
      </w:r>
      <w:r w:rsidRPr="00AC4AC9">
        <w:rPr>
          <w:sz w:val="24"/>
          <w:szCs w:val="24"/>
        </w:rPr>
        <w:t xml:space="preserve"> Without plausibility, </w:t>
      </w:r>
      <w:r w:rsidR="007014A1">
        <w:rPr>
          <w:sz w:val="24"/>
          <w:szCs w:val="24"/>
        </w:rPr>
        <w:t>their narrative would not be convincing to their readers</w:t>
      </w:r>
      <w:r>
        <w:rPr>
          <w:sz w:val="24"/>
          <w:szCs w:val="24"/>
        </w:rPr>
        <w:t>: they</w:t>
      </w:r>
      <w:r w:rsidRPr="00AC4AC9">
        <w:rPr>
          <w:sz w:val="24"/>
          <w:szCs w:val="24"/>
        </w:rPr>
        <w:t xml:space="preserve"> had to tap into </w:t>
      </w:r>
      <w:r>
        <w:rPr>
          <w:sz w:val="24"/>
          <w:szCs w:val="24"/>
        </w:rPr>
        <w:t>s</w:t>
      </w:r>
      <w:r w:rsidRPr="00AC4AC9">
        <w:rPr>
          <w:sz w:val="24"/>
          <w:szCs w:val="24"/>
        </w:rPr>
        <w:t>hared understandings or assumptions.</w:t>
      </w:r>
      <w:r>
        <w:rPr>
          <w:sz w:val="24"/>
          <w:szCs w:val="24"/>
        </w:rPr>
        <w:t xml:space="preserve"> </w:t>
      </w:r>
    </w:p>
    <w:p w14:paraId="5A5906C6" w14:textId="6A7B1E26" w:rsidR="009C46A2" w:rsidRPr="00AC4AC9" w:rsidRDefault="009C46A2" w:rsidP="006B56A8">
      <w:pPr>
        <w:spacing w:line="360" w:lineRule="auto"/>
        <w:ind w:firstLine="720"/>
        <w:jc w:val="both"/>
        <w:rPr>
          <w:sz w:val="24"/>
          <w:szCs w:val="24"/>
        </w:rPr>
      </w:pPr>
      <w:r>
        <w:rPr>
          <w:sz w:val="24"/>
          <w:szCs w:val="24"/>
        </w:rPr>
        <w:t xml:space="preserve">Buc also critiqued the idea that all medieval people observing a ritual trusted its ‘ceremonial appearances’ and interpreted the performance according to a shared, </w:t>
      </w:r>
      <w:r w:rsidR="00AE2B3E">
        <w:rPr>
          <w:sz w:val="24"/>
          <w:szCs w:val="24"/>
        </w:rPr>
        <w:t>single</w:t>
      </w:r>
      <w:r>
        <w:rPr>
          <w:sz w:val="24"/>
          <w:szCs w:val="24"/>
        </w:rPr>
        <w:t xml:space="preserve"> meaning.</w:t>
      </w:r>
      <w:r>
        <w:rPr>
          <w:rStyle w:val="FootnoteReference"/>
          <w:sz w:val="24"/>
          <w:szCs w:val="24"/>
        </w:rPr>
        <w:footnoteReference w:id="53"/>
      </w:r>
      <w:r>
        <w:rPr>
          <w:sz w:val="24"/>
          <w:szCs w:val="24"/>
        </w:rPr>
        <w:t xml:space="preserve"> </w:t>
      </w:r>
      <w:r w:rsidR="00692044">
        <w:rPr>
          <w:sz w:val="24"/>
          <w:szCs w:val="24"/>
        </w:rPr>
        <w:t xml:space="preserve">However, diverging audience interpretations of a ritual do not </w:t>
      </w:r>
      <w:r w:rsidR="0055139B">
        <w:rPr>
          <w:sz w:val="24"/>
          <w:szCs w:val="24"/>
        </w:rPr>
        <w:t>necessarily present us with analytical problems. A</w:t>
      </w:r>
      <w:r w:rsidRPr="00AC4AC9">
        <w:rPr>
          <w:sz w:val="24"/>
          <w:szCs w:val="24"/>
        </w:rPr>
        <w:t xml:space="preserve">s Edward Schieffelin’s research reveals, while people who attended or acted in a ritual </w:t>
      </w:r>
      <w:r>
        <w:rPr>
          <w:sz w:val="24"/>
          <w:szCs w:val="24"/>
        </w:rPr>
        <w:t>might</w:t>
      </w:r>
      <w:r w:rsidRPr="00AC4AC9">
        <w:rPr>
          <w:sz w:val="24"/>
          <w:szCs w:val="24"/>
        </w:rPr>
        <w:t xml:space="preserve"> have a ‘basic set of common beliefs’ about </w:t>
      </w:r>
      <w:r w:rsidR="0055139B">
        <w:rPr>
          <w:sz w:val="24"/>
          <w:szCs w:val="24"/>
        </w:rPr>
        <w:t xml:space="preserve">its </w:t>
      </w:r>
      <w:r w:rsidRPr="00AC4AC9">
        <w:rPr>
          <w:sz w:val="24"/>
          <w:szCs w:val="24"/>
        </w:rPr>
        <w:t xml:space="preserve">meaning, they do not have ‘a thoroughgoing and consistent system’: their interpretations of what occurs </w:t>
      </w:r>
      <w:r>
        <w:rPr>
          <w:sz w:val="24"/>
          <w:szCs w:val="24"/>
        </w:rPr>
        <w:t>could</w:t>
      </w:r>
      <w:r w:rsidRPr="00AC4AC9">
        <w:rPr>
          <w:sz w:val="24"/>
          <w:szCs w:val="24"/>
        </w:rPr>
        <w:t xml:space="preserve"> vary.</w:t>
      </w:r>
      <w:r w:rsidRPr="00AC4AC9">
        <w:rPr>
          <w:rStyle w:val="FootnoteReference"/>
          <w:sz w:val="24"/>
          <w:szCs w:val="24"/>
        </w:rPr>
        <w:footnoteReference w:id="54"/>
      </w:r>
      <w:r w:rsidR="005338C8">
        <w:rPr>
          <w:sz w:val="24"/>
          <w:szCs w:val="24"/>
        </w:rPr>
        <w:t xml:space="preserve"> The ritual’s success did not depend on them sharing </w:t>
      </w:r>
      <w:r w:rsidR="00831E44">
        <w:rPr>
          <w:sz w:val="24"/>
          <w:szCs w:val="24"/>
        </w:rPr>
        <w:t xml:space="preserve">an identical belief system: </w:t>
      </w:r>
      <w:r w:rsidR="007014A1">
        <w:rPr>
          <w:sz w:val="24"/>
          <w:szCs w:val="24"/>
        </w:rPr>
        <w:t>it is gripping because its meaning is unclear and incomplete</w:t>
      </w:r>
      <w:r w:rsidR="00122CB2">
        <w:rPr>
          <w:sz w:val="24"/>
          <w:szCs w:val="24"/>
        </w:rPr>
        <w:t xml:space="preserve"> </w:t>
      </w:r>
      <w:r w:rsidR="007E31B3">
        <w:rPr>
          <w:sz w:val="24"/>
          <w:szCs w:val="24"/>
        </w:rPr>
        <w:t>—</w:t>
      </w:r>
      <w:r w:rsidR="00122CB2">
        <w:rPr>
          <w:sz w:val="24"/>
          <w:szCs w:val="24"/>
        </w:rPr>
        <w:t xml:space="preserve"> something Francesco Della Costa has termed the ‘meaningful meaninglessness of ritual’</w:t>
      </w:r>
      <w:r w:rsidR="00831E44">
        <w:rPr>
          <w:sz w:val="24"/>
          <w:szCs w:val="24"/>
        </w:rPr>
        <w:t>.</w:t>
      </w:r>
      <w:r w:rsidRPr="00AC4AC9">
        <w:rPr>
          <w:rStyle w:val="FootnoteReference"/>
          <w:sz w:val="24"/>
          <w:szCs w:val="24"/>
        </w:rPr>
        <w:footnoteReference w:id="55"/>
      </w:r>
      <w:r w:rsidRPr="00AC4AC9">
        <w:rPr>
          <w:sz w:val="24"/>
          <w:szCs w:val="24"/>
        </w:rPr>
        <w:t xml:space="preserve"> </w:t>
      </w:r>
      <w:r w:rsidR="007014A1">
        <w:rPr>
          <w:sz w:val="24"/>
          <w:szCs w:val="24"/>
        </w:rPr>
        <w:t xml:space="preserve">This meant that ritual attendees could confer their own </w:t>
      </w:r>
      <w:r w:rsidRPr="00AC4AC9">
        <w:rPr>
          <w:sz w:val="24"/>
          <w:szCs w:val="24"/>
        </w:rPr>
        <w:t>meaning</w:t>
      </w:r>
      <w:r w:rsidR="007014A1">
        <w:rPr>
          <w:sz w:val="24"/>
          <w:szCs w:val="24"/>
        </w:rPr>
        <w:t>s</w:t>
      </w:r>
      <w:r w:rsidRPr="00AC4AC9">
        <w:rPr>
          <w:sz w:val="24"/>
          <w:szCs w:val="24"/>
        </w:rPr>
        <w:t xml:space="preserve"> on</w:t>
      </w:r>
      <w:r w:rsidR="007014A1">
        <w:rPr>
          <w:sz w:val="24"/>
          <w:szCs w:val="24"/>
        </w:rPr>
        <w:t xml:space="preserve"> </w:t>
      </w:r>
      <w:r w:rsidRPr="00AC4AC9">
        <w:rPr>
          <w:sz w:val="24"/>
          <w:szCs w:val="24"/>
        </w:rPr>
        <w:t>these events because their experience of ‘inconclusiveness and imbalance’ engages them</w:t>
      </w:r>
      <w:r w:rsidR="007014A1">
        <w:rPr>
          <w:sz w:val="24"/>
          <w:szCs w:val="24"/>
        </w:rPr>
        <w:t xml:space="preserve">, inviting them </w:t>
      </w:r>
      <w:r w:rsidRPr="00AC4AC9">
        <w:rPr>
          <w:sz w:val="24"/>
          <w:szCs w:val="24"/>
        </w:rPr>
        <w:t xml:space="preserve">to </w:t>
      </w:r>
      <w:r w:rsidR="00FC2E31">
        <w:rPr>
          <w:sz w:val="24"/>
          <w:szCs w:val="24"/>
        </w:rPr>
        <w:t>seek their own explanations</w:t>
      </w:r>
      <w:r w:rsidRPr="00AC4AC9">
        <w:rPr>
          <w:sz w:val="24"/>
          <w:szCs w:val="24"/>
        </w:rPr>
        <w:t>.</w:t>
      </w:r>
      <w:r w:rsidRPr="00AC4AC9">
        <w:rPr>
          <w:rStyle w:val="FootnoteReference"/>
          <w:sz w:val="24"/>
          <w:szCs w:val="24"/>
        </w:rPr>
        <w:footnoteReference w:id="56"/>
      </w:r>
      <w:r w:rsidRPr="00AC4AC9">
        <w:rPr>
          <w:sz w:val="24"/>
          <w:szCs w:val="24"/>
        </w:rPr>
        <w:t xml:space="preserve"> </w:t>
      </w:r>
      <w:r>
        <w:rPr>
          <w:sz w:val="24"/>
          <w:szCs w:val="24"/>
        </w:rPr>
        <w:t>Therefore, w</w:t>
      </w:r>
      <w:r w:rsidRPr="00AC4AC9">
        <w:rPr>
          <w:sz w:val="24"/>
          <w:szCs w:val="24"/>
        </w:rPr>
        <w:t xml:space="preserve">e </w:t>
      </w:r>
      <w:r>
        <w:rPr>
          <w:sz w:val="24"/>
          <w:szCs w:val="24"/>
        </w:rPr>
        <w:t xml:space="preserve">need not </w:t>
      </w:r>
      <w:r w:rsidRPr="00AC4AC9">
        <w:rPr>
          <w:sz w:val="24"/>
          <w:szCs w:val="24"/>
        </w:rPr>
        <w:t>reconstruct an entire belief system, nor rely too heavily upon the meaning that chroniclers prescribe certain actions</w:t>
      </w:r>
      <w:r>
        <w:rPr>
          <w:sz w:val="24"/>
          <w:szCs w:val="24"/>
        </w:rPr>
        <w:t>. We can</w:t>
      </w:r>
      <w:r w:rsidRPr="00AC4AC9">
        <w:rPr>
          <w:sz w:val="24"/>
          <w:szCs w:val="24"/>
        </w:rPr>
        <w:t xml:space="preserve"> simply establish the ritual’s form and how participants interacted with it to interpret its</w:t>
      </w:r>
      <w:r>
        <w:rPr>
          <w:sz w:val="24"/>
          <w:szCs w:val="24"/>
        </w:rPr>
        <w:t xml:space="preserve"> intended</w:t>
      </w:r>
      <w:r w:rsidRPr="00AC4AC9">
        <w:rPr>
          <w:sz w:val="24"/>
          <w:szCs w:val="24"/>
        </w:rPr>
        <w:t xml:space="preserve"> meaning and efficacy.</w:t>
      </w:r>
      <w:r>
        <w:rPr>
          <w:sz w:val="24"/>
          <w:szCs w:val="24"/>
        </w:rPr>
        <w:t xml:space="preserve"> Thus, the purpose of this article is to uncover the inauguration’s intended meaning, rather than the multiplicity of meanings that Scots ascribed to it.</w:t>
      </w:r>
    </w:p>
    <w:p w14:paraId="2465CEF8" w14:textId="11374BBE" w:rsidR="009C46A2" w:rsidRDefault="009C46A2" w:rsidP="006B56A8">
      <w:pPr>
        <w:spacing w:line="360" w:lineRule="auto"/>
        <w:ind w:firstLine="720"/>
        <w:jc w:val="both"/>
        <w:rPr>
          <w:sz w:val="24"/>
          <w:szCs w:val="24"/>
        </w:rPr>
      </w:pPr>
      <w:r>
        <w:rPr>
          <w:sz w:val="24"/>
          <w:szCs w:val="24"/>
        </w:rPr>
        <w:t>To achieve this</w:t>
      </w:r>
      <w:r w:rsidRPr="00AC4AC9">
        <w:rPr>
          <w:sz w:val="24"/>
          <w:szCs w:val="24"/>
        </w:rPr>
        <w:t xml:space="preserve">, we must place greater emphasis on the ritual’s participants. The term ‘participant’ indicates the active components of the ritual. It might be tempting to focus on the rituals celebrant(s) and exclude the ritual’s audience from this group, but if those observing the performance were interpreting its meaning during the event, they are </w:t>
      </w:r>
      <w:r w:rsidRPr="00AC4AC9">
        <w:rPr>
          <w:i/>
          <w:iCs/>
          <w:sz w:val="24"/>
          <w:szCs w:val="24"/>
        </w:rPr>
        <w:t xml:space="preserve">participating </w:t>
      </w:r>
      <w:r w:rsidRPr="00AC4AC9">
        <w:rPr>
          <w:sz w:val="24"/>
          <w:szCs w:val="24"/>
        </w:rPr>
        <w:t>in its construction and helping to confirm their shared assumptions about its significance.</w:t>
      </w:r>
      <w:r w:rsidRPr="00AC4AC9">
        <w:rPr>
          <w:rStyle w:val="FootnoteReference"/>
          <w:sz w:val="24"/>
          <w:szCs w:val="24"/>
        </w:rPr>
        <w:footnoteReference w:id="57"/>
      </w:r>
      <w:r w:rsidRPr="00AC4AC9">
        <w:rPr>
          <w:sz w:val="24"/>
          <w:szCs w:val="24"/>
        </w:rPr>
        <w:t xml:space="preserve"> Their involvement as ‘</w:t>
      </w:r>
      <w:r w:rsidRPr="00AC4AC9">
        <w:rPr>
          <w:i/>
          <w:iCs/>
          <w:sz w:val="24"/>
          <w:szCs w:val="24"/>
        </w:rPr>
        <w:t xml:space="preserve">conscious </w:t>
      </w:r>
      <w:r w:rsidRPr="00AC4AC9">
        <w:rPr>
          <w:sz w:val="24"/>
          <w:szCs w:val="24"/>
        </w:rPr>
        <w:t>human agents’ ascribed cultural and political meaning to the ritual as they interpret it.</w:t>
      </w:r>
      <w:r w:rsidRPr="00AC4AC9">
        <w:rPr>
          <w:rStyle w:val="FootnoteReference"/>
          <w:sz w:val="24"/>
          <w:szCs w:val="24"/>
        </w:rPr>
        <w:footnoteReference w:id="58"/>
      </w:r>
      <w:r w:rsidRPr="00AC4AC9">
        <w:rPr>
          <w:sz w:val="24"/>
          <w:szCs w:val="24"/>
        </w:rPr>
        <w:t xml:space="preserve"> During the ritual, these participants were bound together in a moment of social cohesion </w:t>
      </w:r>
      <w:r w:rsidR="00826689">
        <w:rPr>
          <w:sz w:val="24"/>
          <w:szCs w:val="24"/>
        </w:rPr>
        <w:t>in a single location, where</w:t>
      </w:r>
      <w:r w:rsidRPr="00AC4AC9">
        <w:rPr>
          <w:sz w:val="24"/>
          <w:szCs w:val="24"/>
        </w:rPr>
        <w:t xml:space="preserve"> the situation determined how they engaged with one </w:t>
      </w:r>
      <w:r w:rsidRPr="00AC4AC9">
        <w:rPr>
          <w:sz w:val="24"/>
          <w:szCs w:val="24"/>
        </w:rPr>
        <w:lastRenderedPageBreak/>
        <w:t>another and allowed them to form relationships.</w:t>
      </w:r>
      <w:r w:rsidRPr="00AC4AC9">
        <w:rPr>
          <w:rStyle w:val="FootnoteReference"/>
          <w:sz w:val="24"/>
          <w:szCs w:val="24"/>
        </w:rPr>
        <w:footnoteReference w:id="59"/>
      </w:r>
      <w:r w:rsidRPr="00AC4AC9">
        <w:rPr>
          <w:sz w:val="24"/>
          <w:szCs w:val="24"/>
        </w:rPr>
        <w:t xml:space="preserve"> </w:t>
      </w:r>
      <w:r w:rsidR="00826689">
        <w:rPr>
          <w:sz w:val="24"/>
          <w:szCs w:val="24"/>
        </w:rPr>
        <w:t>The space they inhabited shap</w:t>
      </w:r>
      <w:r w:rsidR="00BB6B93">
        <w:rPr>
          <w:sz w:val="24"/>
          <w:szCs w:val="24"/>
        </w:rPr>
        <w:t>ed</w:t>
      </w:r>
      <w:r w:rsidR="00826689">
        <w:rPr>
          <w:sz w:val="24"/>
          <w:szCs w:val="24"/>
        </w:rPr>
        <w:t xml:space="preserve"> their interactions and reinforc</w:t>
      </w:r>
      <w:r w:rsidR="00BB6B93">
        <w:rPr>
          <w:sz w:val="24"/>
          <w:szCs w:val="24"/>
        </w:rPr>
        <w:t>ed</w:t>
      </w:r>
      <w:r w:rsidR="00826689">
        <w:rPr>
          <w:sz w:val="24"/>
          <w:szCs w:val="24"/>
        </w:rPr>
        <w:t xml:space="preserve"> socio-political hierarchies.</w:t>
      </w:r>
      <w:r w:rsidR="00826689">
        <w:rPr>
          <w:rStyle w:val="FootnoteReference"/>
          <w:sz w:val="24"/>
          <w:szCs w:val="24"/>
        </w:rPr>
        <w:footnoteReference w:id="60"/>
      </w:r>
      <w:r w:rsidR="00826689">
        <w:rPr>
          <w:sz w:val="24"/>
          <w:szCs w:val="24"/>
        </w:rPr>
        <w:t xml:space="preserve"> </w:t>
      </w:r>
      <w:r w:rsidRPr="00AC4AC9">
        <w:rPr>
          <w:sz w:val="24"/>
          <w:szCs w:val="24"/>
        </w:rPr>
        <w:t xml:space="preserve">This </w:t>
      </w:r>
      <w:r w:rsidR="00B42B39">
        <w:rPr>
          <w:sz w:val="24"/>
          <w:szCs w:val="24"/>
        </w:rPr>
        <w:t xml:space="preserve">connection of purpose and location </w:t>
      </w:r>
      <w:r w:rsidRPr="00AC4AC9">
        <w:rPr>
          <w:sz w:val="24"/>
          <w:szCs w:val="24"/>
        </w:rPr>
        <w:t xml:space="preserve">helped the group </w:t>
      </w:r>
      <w:r w:rsidR="00164C6D">
        <w:rPr>
          <w:sz w:val="24"/>
          <w:szCs w:val="24"/>
        </w:rPr>
        <w:t xml:space="preserve">to </w:t>
      </w:r>
      <w:r w:rsidRPr="00AC4AC9">
        <w:rPr>
          <w:sz w:val="24"/>
          <w:szCs w:val="24"/>
        </w:rPr>
        <w:t>navigate the ‘social drama’ that triggered its performance, while their shared experience allow</w:t>
      </w:r>
      <w:r>
        <w:rPr>
          <w:sz w:val="24"/>
          <w:szCs w:val="24"/>
        </w:rPr>
        <w:t>ed</w:t>
      </w:r>
      <w:r w:rsidRPr="00AC4AC9">
        <w:rPr>
          <w:sz w:val="24"/>
          <w:szCs w:val="24"/>
        </w:rPr>
        <w:t xml:space="preserve"> them to re</w:t>
      </w:r>
      <w:r w:rsidR="00396592">
        <w:rPr>
          <w:sz w:val="24"/>
          <w:szCs w:val="24"/>
        </w:rPr>
        <w:t>s</w:t>
      </w:r>
      <w:r w:rsidRPr="00AC4AC9">
        <w:rPr>
          <w:sz w:val="24"/>
          <w:szCs w:val="24"/>
        </w:rPr>
        <w:t>olve this drama and consolidate their group identity.</w:t>
      </w:r>
    </w:p>
    <w:p w14:paraId="70C1CF4A" w14:textId="14D555A8" w:rsidR="009C46A2" w:rsidRPr="00AC4AC9" w:rsidRDefault="009C46A2" w:rsidP="006B56A8">
      <w:pPr>
        <w:spacing w:line="360" w:lineRule="auto"/>
        <w:ind w:firstLine="720"/>
        <w:jc w:val="both"/>
        <w:rPr>
          <w:sz w:val="24"/>
          <w:szCs w:val="24"/>
        </w:rPr>
      </w:pPr>
      <w:r w:rsidRPr="00AC4AC9">
        <w:rPr>
          <w:sz w:val="24"/>
          <w:szCs w:val="24"/>
        </w:rPr>
        <w:t>The participants’ active role is contrasted by the part of the ritual candidate</w:t>
      </w:r>
      <w:r w:rsidR="005C3B59">
        <w:rPr>
          <w:sz w:val="24"/>
          <w:szCs w:val="24"/>
        </w:rPr>
        <w:t>, in this case David II.</w:t>
      </w:r>
      <w:r w:rsidRPr="00AC4AC9">
        <w:rPr>
          <w:sz w:val="24"/>
          <w:szCs w:val="24"/>
        </w:rPr>
        <w:t xml:space="preserve"> Throughout the </w:t>
      </w:r>
      <w:r w:rsidR="005C3B59">
        <w:rPr>
          <w:sz w:val="24"/>
          <w:szCs w:val="24"/>
        </w:rPr>
        <w:t>ritual</w:t>
      </w:r>
      <w:r w:rsidRPr="00AC4AC9">
        <w:rPr>
          <w:sz w:val="24"/>
          <w:szCs w:val="24"/>
        </w:rPr>
        <w:t>, the candidate is passive, and their actions are prescribed by the celebrant.</w:t>
      </w:r>
      <w:r w:rsidRPr="00AC4AC9">
        <w:rPr>
          <w:rStyle w:val="FootnoteReference"/>
          <w:sz w:val="24"/>
          <w:szCs w:val="24"/>
        </w:rPr>
        <w:footnoteReference w:id="61"/>
      </w:r>
      <w:r w:rsidRPr="00AC4AC9">
        <w:rPr>
          <w:sz w:val="24"/>
          <w:szCs w:val="24"/>
        </w:rPr>
        <w:t xml:space="preserve"> The initiand is subservient to the celebrant’s authority for the ritual’s duration and bound to obey their instruction.</w:t>
      </w:r>
      <w:r w:rsidRPr="00AC4AC9">
        <w:rPr>
          <w:rStyle w:val="FootnoteReference"/>
          <w:sz w:val="24"/>
          <w:szCs w:val="24"/>
        </w:rPr>
        <w:footnoteReference w:id="62"/>
      </w:r>
      <w:r w:rsidRPr="00AC4AC9">
        <w:rPr>
          <w:sz w:val="24"/>
          <w:szCs w:val="24"/>
        </w:rPr>
        <w:t xml:space="preserve"> </w:t>
      </w:r>
      <w:r w:rsidR="005C3B59">
        <w:rPr>
          <w:sz w:val="24"/>
          <w:szCs w:val="24"/>
        </w:rPr>
        <w:t xml:space="preserve">Medieval accounts often highlight the passivity of the candidates; as Johanna Dale notes, inauguration was </w:t>
      </w:r>
      <w:r w:rsidRPr="00AC4AC9">
        <w:rPr>
          <w:sz w:val="24"/>
          <w:szCs w:val="24"/>
        </w:rPr>
        <w:t>‘something that is done to the monarch’ as indicated by the use of the passive voice and placement of the candidate as the object of the sentence.</w:t>
      </w:r>
      <w:r w:rsidRPr="00AC4AC9">
        <w:rPr>
          <w:rStyle w:val="FootnoteReference"/>
          <w:sz w:val="24"/>
          <w:szCs w:val="24"/>
        </w:rPr>
        <w:footnoteReference w:id="63"/>
      </w:r>
      <w:r w:rsidRPr="00AC4AC9">
        <w:rPr>
          <w:sz w:val="24"/>
          <w:szCs w:val="24"/>
        </w:rPr>
        <w:t xml:space="preserve"> We can see this in Bower’s account of David’s inauguration: ‘David was provided with a high crown.’</w:t>
      </w:r>
      <w:r w:rsidRPr="00AC4AC9">
        <w:rPr>
          <w:rStyle w:val="FootnoteReference"/>
          <w:sz w:val="24"/>
          <w:szCs w:val="24"/>
        </w:rPr>
        <w:footnoteReference w:id="64"/>
      </w:r>
      <w:r w:rsidRPr="00AC4AC9">
        <w:rPr>
          <w:sz w:val="24"/>
          <w:szCs w:val="24"/>
        </w:rPr>
        <w:t xml:space="preserve"> The ritual render</w:t>
      </w:r>
      <w:r w:rsidR="00192FD6">
        <w:rPr>
          <w:sz w:val="24"/>
          <w:szCs w:val="24"/>
        </w:rPr>
        <w:t>ed</w:t>
      </w:r>
      <w:r w:rsidRPr="00AC4AC9">
        <w:rPr>
          <w:sz w:val="24"/>
          <w:szCs w:val="24"/>
        </w:rPr>
        <w:t xml:space="preserve"> the candidate temporarily powerless to imbibe them with the authority of their new status. </w:t>
      </w:r>
    </w:p>
    <w:p w14:paraId="563A49DC" w14:textId="54F6C2FD" w:rsidR="009C46A2" w:rsidRPr="00AC4AC9" w:rsidRDefault="009C46A2" w:rsidP="006B56A8">
      <w:pPr>
        <w:spacing w:line="360" w:lineRule="auto"/>
        <w:ind w:firstLine="720"/>
        <w:jc w:val="both"/>
        <w:rPr>
          <w:sz w:val="24"/>
          <w:szCs w:val="24"/>
        </w:rPr>
      </w:pPr>
      <w:r w:rsidRPr="00AC4AC9">
        <w:rPr>
          <w:sz w:val="24"/>
          <w:szCs w:val="24"/>
        </w:rPr>
        <w:t>The celebrant was at the heart of the proceedings, orchestrating and ordering the ritual. They were the primary actor holding temporary authority over the candidate. Their role was difficult because they focused and sustained the participants’ attention while maintaining ‘the right unity of mood throughout the performance.’</w:t>
      </w:r>
      <w:r w:rsidRPr="00AC4AC9">
        <w:rPr>
          <w:rStyle w:val="FootnoteReference"/>
          <w:sz w:val="24"/>
          <w:szCs w:val="24"/>
        </w:rPr>
        <w:footnoteReference w:id="65"/>
      </w:r>
      <w:r w:rsidRPr="00AC4AC9">
        <w:rPr>
          <w:sz w:val="24"/>
          <w:szCs w:val="24"/>
        </w:rPr>
        <w:t xml:space="preserve"> They had to call to mind the participants’ ‘shared assumptions’ and continually reconfirm them </w:t>
      </w:r>
      <w:r w:rsidR="007E31B3">
        <w:rPr>
          <w:sz w:val="24"/>
          <w:szCs w:val="24"/>
        </w:rPr>
        <w:t>—</w:t>
      </w:r>
      <w:r w:rsidRPr="00AC4AC9">
        <w:rPr>
          <w:sz w:val="24"/>
          <w:szCs w:val="24"/>
        </w:rPr>
        <w:t xml:space="preserve"> if these assumptions were not sustained, the ritual’s veracity could be questioned.</w:t>
      </w:r>
      <w:r w:rsidRPr="00AC4AC9">
        <w:rPr>
          <w:rStyle w:val="FootnoteReference"/>
          <w:sz w:val="24"/>
          <w:szCs w:val="24"/>
        </w:rPr>
        <w:footnoteReference w:id="66"/>
      </w:r>
      <w:r w:rsidRPr="00AC4AC9">
        <w:rPr>
          <w:sz w:val="24"/>
          <w:szCs w:val="24"/>
        </w:rPr>
        <w:t xml:space="preserve"> </w:t>
      </w:r>
      <w:r w:rsidR="00FE1ED6">
        <w:rPr>
          <w:sz w:val="24"/>
          <w:szCs w:val="24"/>
        </w:rPr>
        <w:t>T</w:t>
      </w:r>
      <w:r w:rsidRPr="00AC4AC9">
        <w:rPr>
          <w:sz w:val="24"/>
          <w:szCs w:val="24"/>
        </w:rPr>
        <w:t xml:space="preserve">his </w:t>
      </w:r>
      <w:r w:rsidR="0092676B">
        <w:rPr>
          <w:sz w:val="24"/>
          <w:szCs w:val="24"/>
        </w:rPr>
        <w:t>was</w:t>
      </w:r>
      <w:r w:rsidRPr="00AC4AC9">
        <w:rPr>
          <w:sz w:val="24"/>
          <w:szCs w:val="24"/>
        </w:rPr>
        <w:t xml:space="preserve"> achieved by including moment</w:t>
      </w:r>
      <w:r w:rsidR="009B3E06">
        <w:rPr>
          <w:sz w:val="24"/>
          <w:szCs w:val="24"/>
        </w:rPr>
        <w:t>s</w:t>
      </w:r>
      <w:r w:rsidRPr="00AC4AC9">
        <w:rPr>
          <w:sz w:val="24"/>
          <w:szCs w:val="24"/>
        </w:rPr>
        <w:t xml:space="preserve"> of interaction with the participants</w:t>
      </w:r>
      <w:r w:rsidR="00FE1ED6">
        <w:rPr>
          <w:sz w:val="24"/>
          <w:szCs w:val="24"/>
        </w:rPr>
        <w:t xml:space="preserve"> via</w:t>
      </w:r>
      <w:r w:rsidRPr="00AC4AC9">
        <w:rPr>
          <w:sz w:val="24"/>
          <w:szCs w:val="24"/>
        </w:rPr>
        <w:t xml:space="preserve"> songs </w:t>
      </w:r>
      <w:r w:rsidR="00FE1ED6">
        <w:rPr>
          <w:sz w:val="24"/>
          <w:szCs w:val="24"/>
        </w:rPr>
        <w:t>or other elements, which brought participants’ attention together and focused it</w:t>
      </w:r>
      <w:r w:rsidRPr="00AC4AC9">
        <w:rPr>
          <w:sz w:val="24"/>
          <w:szCs w:val="24"/>
        </w:rPr>
        <w:t>.</w:t>
      </w:r>
      <w:r w:rsidRPr="00AC4AC9">
        <w:rPr>
          <w:rStyle w:val="FootnoteReference"/>
          <w:sz w:val="24"/>
          <w:szCs w:val="24"/>
        </w:rPr>
        <w:footnoteReference w:id="67"/>
      </w:r>
      <w:r w:rsidRPr="00AC4AC9">
        <w:rPr>
          <w:sz w:val="24"/>
          <w:szCs w:val="24"/>
        </w:rPr>
        <w:t xml:space="preserve"> The same techniques were used by medieval ecclesiastics in inaugurations</w:t>
      </w:r>
      <w:r w:rsidR="00FE1ED6">
        <w:rPr>
          <w:sz w:val="24"/>
          <w:szCs w:val="24"/>
        </w:rPr>
        <w:t xml:space="preserve"> through </w:t>
      </w:r>
      <w:r w:rsidR="00164C6D">
        <w:rPr>
          <w:sz w:val="24"/>
          <w:szCs w:val="24"/>
        </w:rPr>
        <w:t xml:space="preserve">their participation in </w:t>
      </w:r>
      <w:r w:rsidRPr="00AC4AC9">
        <w:rPr>
          <w:sz w:val="24"/>
          <w:szCs w:val="24"/>
        </w:rPr>
        <w:t>anthems, prayers, and psalms.</w:t>
      </w:r>
      <w:r w:rsidRPr="00AC4AC9">
        <w:rPr>
          <w:rStyle w:val="FootnoteReference"/>
          <w:sz w:val="24"/>
          <w:szCs w:val="24"/>
        </w:rPr>
        <w:footnoteReference w:id="68"/>
      </w:r>
      <w:r w:rsidRPr="00AC4AC9">
        <w:rPr>
          <w:sz w:val="24"/>
          <w:szCs w:val="24"/>
        </w:rPr>
        <w:t xml:space="preserve"> </w:t>
      </w:r>
      <w:r w:rsidR="0067346C">
        <w:rPr>
          <w:sz w:val="24"/>
          <w:szCs w:val="24"/>
        </w:rPr>
        <w:t>The celebrant used s</w:t>
      </w:r>
      <w:r w:rsidR="00FE1ED6">
        <w:rPr>
          <w:sz w:val="24"/>
          <w:szCs w:val="24"/>
        </w:rPr>
        <w:t xml:space="preserve">uch moments </w:t>
      </w:r>
      <w:r w:rsidR="0067346C">
        <w:rPr>
          <w:sz w:val="24"/>
          <w:szCs w:val="24"/>
        </w:rPr>
        <w:t xml:space="preserve">to </w:t>
      </w:r>
      <w:r w:rsidR="00FE1ED6">
        <w:rPr>
          <w:sz w:val="24"/>
          <w:szCs w:val="24"/>
        </w:rPr>
        <w:t>remind the community and initiand of their ‘shared assumptions’ about kingship, and their expectations of a king, by citing the kingdom’s customs and laws, and biblical examples</w:t>
      </w:r>
      <w:r w:rsidRPr="00AC4AC9">
        <w:rPr>
          <w:sz w:val="24"/>
          <w:szCs w:val="24"/>
        </w:rPr>
        <w:t>.</w:t>
      </w:r>
      <w:r w:rsidRPr="00AC4AC9">
        <w:rPr>
          <w:rStyle w:val="FootnoteReference"/>
          <w:sz w:val="24"/>
          <w:szCs w:val="24"/>
        </w:rPr>
        <w:footnoteReference w:id="69"/>
      </w:r>
      <w:r w:rsidRPr="00AC4AC9">
        <w:rPr>
          <w:sz w:val="24"/>
          <w:szCs w:val="24"/>
        </w:rPr>
        <w:t xml:space="preserve"> These expectations usually included the protection of the Church and just </w:t>
      </w:r>
      <w:r w:rsidRPr="00AC4AC9">
        <w:rPr>
          <w:sz w:val="24"/>
          <w:szCs w:val="24"/>
        </w:rPr>
        <w:lastRenderedPageBreak/>
        <w:t xml:space="preserve">rule, by swearing to preserve the </w:t>
      </w:r>
      <w:r w:rsidR="00FE1ED6">
        <w:rPr>
          <w:sz w:val="24"/>
          <w:szCs w:val="24"/>
        </w:rPr>
        <w:t xml:space="preserve">kingdom’s </w:t>
      </w:r>
      <w:r w:rsidRPr="00AC4AC9">
        <w:rPr>
          <w:sz w:val="24"/>
          <w:szCs w:val="24"/>
        </w:rPr>
        <w:t xml:space="preserve">customs and laws. </w:t>
      </w:r>
      <w:r w:rsidR="0067346C">
        <w:rPr>
          <w:sz w:val="24"/>
          <w:szCs w:val="24"/>
        </w:rPr>
        <w:t xml:space="preserve">This need to maintain participant engagement in the ritual meant that </w:t>
      </w:r>
      <w:r w:rsidR="00AF0958">
        <w:rPr>
          <w:sz w:val="24"/>
          <w:szCs w:val="24"/>
        </w:rPr>
        <w:t xml:space="preserve">the </w:t>
      </w:r>
      <w:r w:rsidR="0067346C">
        <w:rPr>
          <w:sz w:val="24"/>
          <w:szCs w:val="24"/>
        </w:rPr>
        <w:t>celebrant w</w:t>
      </w:r>
      <w:r w:rsidR="00AF0958">
        <w:rPr>
          <w:sz w:val="24"/>
          <w:szCs w:val="24"/>
        </w:rPr>
        <w:t>as</w:t>
      </w:r>
      <w:r w:rsidR="0067346C">
        <w:rPr>
          <w:sz w:val="24"/>
          <w:szCs w:val="24"/>
        </w:rPr>
        <w:t xml:space="preserve"> responsible for its organisation and could make changes to its form to ensure the</w:t>
      </w:r>
      <w:r w:rsidR="00AF0958">
        <w:rPr>
          <w:sz w:val="24"/>
          <w:szCs w:val="24"/>
        </w:rPr>
        <w:t>y</w:t>
      </w:r>
      <w:r w:rsidR="0067346C">
        <w:rPr>
          <w:sz w:val="24"/>
          <w:szCs w:val="24"/>
        </w:rPr>
        <w:t xml:space="preserve"> stayed captivated. </w:t>
      </w:r>
      <w:r w:rsidR="00520DAC">
        <w:rPr>
          <w:sz w:val="24"/>
          <w:szCs w:val="24"/>
        </w:rPr>
        <w:t xml:space="preserve">Any changes </w:t>
      </w:r>
      <w:r w:rsidR="00192FD6">
        <w:rPr>
          <w:sz w:val="24"/>
          <w:szCs w:val="24"/>
        </w:rPr>
        <w:t>transformed</w:t>
      </w:r>
      <w:r w:rsidR="00520DAC">
        <w:rPr>
          <w:sz w:val="24"/>
          <w:szCs w:val="24"/>
        </w:rPr>
        <w:t xml:space="preserve"> the participants’ experience of </w:t>
      </w:r>
      <w:r w:rsidRPr="00AC4AC9">
        <w:rPr>
          <w:sz w:val="24"/>
          <w:szCs w:val="24"/>
        </w:rPr>
        <w:t>the ritual</w:t>
      </w:r>
      <w:r w:rsidR="00AF0958">
        <w:rPr>
          <w:sz w:val="24"/>
          <w:szCs w:val="24"/>
        </w:rPr>
        <w:t>,</w:t>
      </w:r>
      <w:r w:rsidRPr="00AC4AC9">
        <w:rPr>
          <w:sz w:val="24"/>
          <w:szCs w:val="24"/>
        </w:rPr>
        <w:t xml:space="preserve"> their interpretation of its meaning</w:t>
      </w:r>
      <w:r w:rsidR="00AF0958">
        <w:rPr>
          <w:sz w:val="24"/>
          <w:szCs w:val="24"/>
        </w:rPr>
        <w:t xml:space="preserve"> and their </w:t>
      </w:r>
      <w:r w:rsidR="00AF0958" w:rsidRPr="00AC4AC9">
        <w:rPr>
          <w:sz w:val="24"/>
          <w:szCs w:val="24"/>
        </w:rPr>
        <w:t>roles and relationships with one another because</w:t>
      </w:r>
      <w:r w:rsidR="00AF0958">
        <w:rPr>
          <w:sz w:val="24"/>
          <w:szCs w:val="24"/>
        </w:rPr>
        <w:t xml:space="preserve"> it </w:t>
      </w:r>
      <w:r w:rsidR="00192FD6">
        <w:rPr>
          <w:sz w:val="24"/>
          <w:szCs w:val="24"/>
        </w:rPr>
        <w:t>also changed</w:t>
      </w:r>
      <w:r w:rsidR="00AF0958" w:rsidRPr="00AC4AC9">
        <w:rPr>
          <w:sz w:val="24"/>
          <w:szCs w:val="24"/>
        </w:rPr>
        <w:t xml:space="preserve"> how they interacted with one another.</w:t>
      </w:r>
      <w:r w:rsidRPr="00AC4AC9">
        <w:rPr>
          <w:rStyle w:val="FootnoteReference"/>
          <w:sz w:val="24"/>
          <w:szCs w:val="24"/>
        </w:rPr>
        <w:footnoteReference w:id="70"/>
      </w:r>
      <w:r w:rsidRPr="00AC4AC9">
        <w:rPr>
          <w:sz w:val="24"/>
          <w:szCs w:val="24"/>
        </w:rPr>
        <w:t xml:space="preserve"> Thus, </w:t>
      </w:r>
      <w:r w:rsidR="00AF0958">
        <w:rPr>
          <w:sz w:val="24"/>
          <w:szCs w:val="24"/>
        </w:rPr>
        <w:t xml:space="preserve">the </w:t>
      </w:r>
      <w:r w:rsidRPr="00AC4AC9">
        <w:rPr>
          <w:sz w:val="24"/>
          <w:szCs w:val="24"/>
        </w:rPr>
        <w:t xml:space="preserve">celebrant held power over the initiand and the participants for the whole performance, shaping its impact. </w:t>
      </w:r>
    </w:p>
    <w:p w14:paraId="3A74A869" w14:textId="6DC78BAC" w:rsidR="00745800" w:rsidRDefault="00192FD6" w:rsidP="006B56A8">
      <w:pPr>
        <w:spacing w:line="360" w:lineRule="auto"/>
        <w:ind w:firstLine="720"/>
        <w:jc w:val="both"/>
        <w:rPr>
          <w:sz w:val="24"/>
          <w:szCs w:val="24"/>
        </w:rPr>
      </w:pPr>
      <w:r>
        <w:rPr>
          <w:sz w:val="24"/>
          <w:szCs w:val="24"/>
        </w:rPr>
        <w:t>B</w:t>
      </w:r>
      <w:r w:rsidR="009C46A2" w:rsidRPr="00AC4AC9">
        <w:rPr>
          <w:sz w:val="24"/>
          <w:szCs w:val="24"/>
        </w:rPr>
        <w:t>y drawing on Schieffelin’s approach, we can unpack how ritual</w:t>
      </w:r>
      <w:r w:rsidR="009C46A2">
        <w:rPr>
          <w:sz w:val="24"/>
          <w:szCs w:val="24"/>
        </w:rPr>
        <w:t>s</w:t>
      </w:r>
      <w:r w:rsidR="009C46A2" w:rsidRPr="00AC4AC9">
        <w:rPr>
          <w:sz w:val="24"/>
          <w:szCs w:val="24"/>
        </w:rPr>
        <w:t xml:space="preserve"> were powerful acts that helped communities overcome social dramas. They were not confirmatory but transformational, changing the initiand and participants, and subject to the authority of the celebrant. They could reshape or confirm the community’s shared values and confer meaning. In 1331, the Scottish ritual changed dramatically due to the inclusion of the anointing rite, </w:t>
      </w:r>
      <w:r w:rsidR="009B3E06">
        <w:rPr>
          <w:sz w:val="24"/>
          <w:szCs w:val="24"/>
        </w:rPr>
        <w:t xml:space="preserve">dramatically </w:t>
      </w:r>
      <w:r w:rsidR="009C46A2" w:rsidRPr="00AC4AC9">
        <w:rPr>
          <w:sz w:val="24"/>
          <w:szCs w:val="24"/>
        </w:rPr>
        <w:t xml:space="preserve">altering the </w:t>
      </w:r>
      <w:r w:rsidR="009B3E06">
        <w:rPr>
          <w:sz w:val="24"/>
          <w:szCs w:val="24"/>
        </w:rPr>
        <w:t xml:space="preserve">form and </w:t>
      </w:r>
      <w:r w:rsidR="009C46A2" w:rsidRPr="00AC4AC9">
        <w:rPr>
          <w:sz w:val="24"/>
          <w:szCs w:val="24"/>
        </w:rPr>
        <w:t>meaning of the ritual.</w:t>
      </w:r>
      <w:r w:rsidR="00AF0958">
        <w:rPr>
          <w:sz w:val="24"/>
          <w:szCs w:val="24"/>
        </w:rPr>
        <w:t xml:space="preserve"> </w:t>
      </w:r>
    </w:p>
    <w:p w14:paraId="2D5DD390" w14:textId="77777777" w:rsidR="00AF0958" w:rsidRPr="000B51E3" w:rsidRDefault="00AF0958" w:rsidP="006B56A8">
      <w:pPr>
        <w:spacing w:line="360" w:lineRule="auto"/>
        <w:jc w:val="both"/>
        <w:rPr>
          <w:b/>
          <w:bCs/>
          <w:sz w:val="24"/>
          <w:szCs w:val="24"/>
        </w:rPr>
      </w:pPr>
      <w:r w:rsidRPr="000B51E3">
        <w:rPr>
          <w:b/>
          <w:bCs/>
          <w:sz w:val="24"/>
          <w:szCs w:val="24"/>
        </w:rPr>
        <w:t>David II’s Inauguration</w:t>
      </w:r>
    </w:p>
    <w:p w14:paraId="5809B977" w14:textId="77777777" w:rsidR="00DD6932" w:rsidRDefault="00AF0958" w:rsidP="006F36A0">
      <w:pPr>
        <w:spacing w:line="360" w:lineRule="auto"/>
        <w:jc w:val="both"/>
        <w:rPr>
          <w:sz w:val="24"/>
          <w:szCs w:val="24"/>
        </w:rPr>
      </w:pPr>
      <w:r w:rsidRPr="00AC4AC9">
        <w:rPr>
          <w:sz w:val="24"/>
          <w:szCs w:val="24"/>
        </w:rPr>
        <w:t xml:space="preserve">David’s inauguration took place on the feast of St </w:t>
      </w:r>
      <w:proofErr w:type="spellStart"/>
      <w:r w:rsidRPr="00AC4AC9">
        <w:rPr>
          <w:sz w:val="24"/>
          <w:szCs w:val="24"/>
        </w:rPr>
        <w:t>Chrysogonus</w:t>
      </w:r>
      <w:proofErr w:type="spellEnd"/>
      <w:r w:rsidRPr="00AC4AC9">
        <w:rPr>
          <w:sz w:val="24"/>
          <w:szCs w:val="24"/>
        </w:rPr>
        <w:t>, 24 November 1331, and followed the practice of holding king-making rituals on Sundays: a custom borrowed from episcopal consecrations.</w:t>
      </w:r>
      <w:r w:rsidRPr="00AC4AC9">
        <w:rPr>
          <w:rStyle w:val="FootnoteReference"/>
          <w:sz w:val="24"/>
          <w:szCs w:val="24"/>
        </w:rPr>
        <w:footnoteReference w:id="71"/>
      </w:r>
      <w:r w:rsidRPr="00AC4AC9">
        <w:rPr>
          <w:sz w:val="24"/>
          <w:szCs w:val="24"/>
        </w:rPr>
        <w:t xml:space="preserve"> One of the key questions about this date is why Thomas Randolph, the earl of Moray and David’s guardian, waited so long to crown David. The feast of St </w:t>
      </w:r>
      <w:proofErr w:type="spellStart"/>
      <w:r w:rsidRPr="00AC4AC9">
        <w:rPr>
          <w:sz w:val="24"/>
          <w:szCs w:val="24"/>
        </w:rPr>
        <w:t>Chrysogonus</w:t>
      </w:r>
      <w:proofErr w:type="spellEnd"/>
      <w:r w:rsidRPr="00AC4AC9">
        <w:rPr>
          <w:sz w:val="24"/>
          <w:szCs w:val="24"/>
        </w:rPr>
        <w:t xml:space="preserve"> seems an unusual choice</w:t>
      </w:r>
      <w:r>
        <w:rPr>
          <w:sz w:val="24"/>
          <w:szCs w:val="24"/>
        </w:rPr>
        <w:t>, but</w:t>
      </w:r>
      <w:r w:rsidRPr="00AC4AC9">
        <w:rPr>
          <w:sz w:val="24"/>
          <w:szCs w:val="24"/>
        </w:rPr>
        <w:t xml:space="preserve"> Dale advises that church feasts ‘were bearers of specific content that was made visible in the [inauguration] liturgy and enveloped the event in the feast’s meaning’.</w:t>
      </w:r>
      <w:r w:rsidRPr="00AC4AC9">
        <w:rPr>
          <w:rStyle w:val="FootnoteReference"/>
          <w:sz w:val="24"/>
          <w:szCs w:val="24"/>
        </w:rPr>
        <w:footnoteReference w:id="72"/>
      </w:r>
      <w:r w:rsidRPr="00AC4AC9">
        <w:rPr>
          <w:sz w:val="24"/>
          <w:szCs w:val="24"/>
        </w:rPr>
        <w:t xml:space="preserve"> Thus, we are encouraged to interrogate this choice. Some kings were unable to choose their preferred feast day because their inaugurations were dictated by the date of their predecessor’s death and a pressing need to secure their succession.</w:t>
      </w:r>
      <w:r w:rsidRPr="00AC4AC9">
        <w:rPr>
          <w:rStyle w:val="FootnoteReference"/>
          <w:sz w:val="24"/>
          <w:szCs w:val="24"/>
        </w:rPr>
        <w:footnoteReference w:id="73"/>
      </w:r>
      <w:r w:rsidRPr="00AC4AC9">
        <w:rPr>
          <w:sz w:val="24"/>
          <w:szCs w:val="24"/>
        </w:rPr>
        <w:t xml:space="preserve"> By November 1331, David had waited twenty-nine months to be inaugurated, indicating that these factors were not a concern. Lucinda Dean argues that this date </w:t>
      </w:r>
      <w:r w:rsidR="00DD6932" w:rsidRPr="00AC4AC9">
        <w:rPr>
          <w:sz w:val="24"/>
          <w:szCs w:val="24"/>
        </w:rPr>
        <w:t>related to</w:t>
      </w:r>
      <w:r w:rsidRPr="00AC4AC9">
        <w:rPr>
          <w:sz w:val="24"/>
          <w:szCs w:val="24"/>
        </w:rPr>
        <w:t xml:space="preserve"> St Margaret, since the inauguration’s date was in the octave of her feast.</w:t>
      </w:r>
      <w:r w:rsidRPr="00AC4AC9">
        <w:rPr>
          <w:rStyle w:val="FootnoteReference"/>
          <w:sz w:val="24"/>
          <w:szCs w:val="24"/>
        </w:rPr>
        <w:footnoteReference w:id="74"/>
      </w:r>
      <w:r w:rsidRPr="00AC4AC9">
        <w:rPr>
          <w:sz w:val="24"/>
          <w:szCs w:val="24"/>
        </w:rPr>
        <w:t xml:space="preserve"> </w:t>
      </w:r>
      <w:r w:rsidR="00526FB0">
        <w:rPr>
          <w:sz w:val="24"/>
          <w:szCs w:val="24"/>
        </w:rPr>
        <w:t xml:space="preserve">While such an association is possible, particularly given the thirteenth-century connections made between Margaret and the anointing </w:t>
      </w:r>
      <w:r w:rsidR="00526FB0">
        <w:rPr>
          <w:sz w:val="24"/>
          <w:szCs w:val="24"/>
        </w:rPr>
        <w:lastRenderedPageBreak/>
        <w:t xml:space="preserve">rite in the Dunfermline compilation, the inauguration’s date </w:t>
      </w:r>
      <w:r w:rsidR="00561459">
        <w:rPr>
          <w:sz w:val="24"/>
          <w:szCs w:val="24"/>
        </w:rPr>
        <w:t>has several other notable and potentially more obvious associations</w:t>
      </w:r>
      <w:r w:rsidR="00526FB0">
        <w:rPr>
          <w:sz w:val="24"/>
          <w:szCs w:val="24"/>
        </w:rPr>
        <w:t>.</w:t>
      </w:r>
      <w:r w:rsidR="00526FB0">
        <w:rPr>
          <w:rStyle w:val="FootnoteReference"/>
          <w:sz w:val="24"/>
          <w:szCs w:val="24"/>
        </w:rPr>
        <w:footnoteReference w:id="75"/>
      </w:r>
      <w:r w:rsidR="00526FB0">
        <w:rPr>
          <w:sz w:val="24"/>
          <w:szCs w:val="24"/>
        </w:rPr>
        <w:t xml:space="preserve"> </w:t>
      </w:r>
    </w:p>
    <w:p w14:paraId="038A10BC" w14:textId="5969CC64" w:rsidR="00AF0958" w:rsidRPr="00ED0467" w:rsidRDefault="00ED0467" w:rsidP="00CB5094">
      <w:pPr>
        <w:spacing w:line="360" w:lineRule="auto"/>
        <w:ind w:firstLine="720"/>
        <w:jc w:val="both"/>
        <w:rPr>
          <w:sz w:val="24"/>
          <w:szCs w:val="24"/>
        </w:rPr>
      </w:pPr>
      <w:r>
        <w:rPr>
          <w:sz w:val="24"/>
          <w:szCs w:val="24"/>
        </w:rPr>
        <w:t>The first of these was the connection with St Andrew: i</w:t>
      </w:r>
      <w:r w:rsidR="00AF0958" w:rsidRPr="00AC4AC9">
        <w:rPr>
          <w:sz w:val="24"/>
          <w:szCs w:val="24"/>
        </w:rPr>
        <w:t xml:space="preserve">n 1331, the feast of St </w:t>
      </w:r>
      <w:proofErr w:type="spellStart"/>
      <w:r w:rsidR="00AF0958" w:rsidRPr="00AC4AC9">
        <w:rPr>
          <w:sz w:val="24"/>
          <w:szCs w:val="24"/>
        </w:rPr>
        <w:t>Chrysogonus</w:t>
      </w:r>
      <w:proofErr w:type="spellEnd"/>
      <w:r w:rsidR="00AF0958" w:rsidRPr="00AC4AC9">
        <w:rPr>
          <w:sz w:val="24"/>
          <w:szCs w:val="24"/>
        </w:rPr>
        <w:t xml:space="preserve"> fell on the Sunday closest to the feast of St Andrew, who, by </w:t>
      </w:r>
      <w:r w:rsidR="00AF0958" w:rsidRPr="00AC4AC9">
        <w:rPr>
          <w:i/>
          <w:iCs/>
          <w:sz w:val="24"/>
          <w:szCs w:val="24"/>
        </w:rPr>
        <w:t>ca.</w:t>
      </w:r>
      <w:r w:rsidR="00AF0958" w:rsidRPr="00AC4AC9">
        <w:rPr>
          <w:sz w:val="24"/>
          <w:szCs w:val="24"/>
        </w:rPr>
        <w:t>1300, was considered Scotland’s national saint.</w:t>
      </w:r>
      <w:r w:rsidR="00AF0958" w:rsidRPr="00AC4AC9">
        <w:rPr>
          <w:rStyle w:val="FootnoteReference"/>
          <w:sz w:val="24"/>
          <w:szCs w:val="24"/>
        </w:rPr>
        <w:footnoteReference w:id="76"/>
      </w:r>
      <w:r w:rsidR="00AF0958" w:rsidRPr="00AC4AC9">
        <w:rPr>
          <w:sz w:val="24"/>
          <w:szCs w:val="24"/>
        </w:rPr>
        <w:t xml:space="preserve"> St Andrew’s day was the 30 November, but in 1331 this was a Saturday. The inauguration could not be held the Sunday after the feast (1 December) because this marked the beginning of advent, associating the ritual with a different </w:t>
      </w:r>
      <w:r w:rsidR="00192FD6">
        <w:rPr>
          <w:sz w:val="24"/>
          <w:szCs w:val="24"/>
        </w:rPr>
        <w:t>celebration</w:t>
      </w:r>
      <w:r w:rsidR="00AF0958" w:rsidRPr="00AC4AC9">
        <w:rPr>
          <w:sz w:val="24"/>
          <w:szCs w:val="24"/>
        </w:rPr>
        <w:t xml:space="preserve">. Therefore, the 24 November was chosen to </w:t>
      </w:r>
      <w:r w:rsidR="00DD6932">
        <w:rPr>
          <w:sz w:val="24"/>
          <w:szCs w:val="24"/>
        </w:rPr>
        <w:t>connect</w:t>
      </w:r>
      <w:r w:rsidR="00DD6932" w:rsidRPr="00AC4AC9">
        <w:rPr>
          <w:sz w:val="24"/>
          <w:szCs w:val="24"/>
        </w:rPr>
        <w:t xml:space="preserve"> </w:t>
      </w:r>
      <w:r w:rsidR="00AF0958" w:rsidRPr="00AC4AC9">
        <w:rPr>
          <w:sz w:val="24"/>
          <w:szCs w:val="24"/>
        </w:rPr>
        <w:t>the ritual with St Andrew,</w:t>
      </w:r>
      <w:r w:rsidR="00AF0958">
        <w:rPr>
          <w:sz w:val="24"/>
          <w:szCs w:val="24"/>
        </w:rPr>
        <w:t xml:space="preserve"> </w:t>
      </w:r>
      <w:r w:rsidR="00AF0958" w:rsidRPr="00AC4AC9">
        <w:rPr>
          <w:sz w:val="24"/>
          <w:szCs w:val="24"/>
        </w:rPr>
        <w:t xml:space="preserve">on the Sunday </w:t>
      </w:r>
      <w:r w:rsidR="00192FD6" w:rsidRPr="00AC4AC9">
        <w:rPr>
          <w:sz w:val="24"/>
          <w:szCs w:val="24"/>
        </w:rPr>
        <w:t xml:space="preserve">closest </w:t>
      </w:r>
      <w:r w:rsidR="00AF0958" w:rsidRPr="00AC4AC9">
        <w:rPr>
          <w:sz w:val="24"/>
          <w:szCs w:val="24"/>
        </w:rPr>
        <w:t>to his feast</w:t>
      </w:r>
      <w:r w:rsidR="00192FD6">
        <w:rPr>
          <w:sz w:val="24"/>
          <w:szCs w:val="24"/>
        </w:rPr>
        <w:t xml:space="preserve"> day</w:t>
      </w:r>
      <w:r w:rsidR="00272E4C">
        <w:rPr>
          <w:sz w:val="24"/>
          <w:szCs w:val="24"/>
        </w:rPr>
        <w:t xml:space="preserve">; </w:t>
      </w:r>
      <w:r w:rsidR="006F36A0">
        <w:rPr>
          <w:sz w:val="24"/>
          <w:szCs w:val="24"/>
        </w:rPr>
        <w:t xml:space="preserve">the Scots </w:t>
      </w:r>
      <w:r w:rsidR="00D63A4E">
        <w:rPr>
          <w:sz w:val="24"/>
          <w:szCs w:val="24"/>
        </w:rPr>
        <w:t xml:space="preserve">may have sought this connection to </w:t>
      </w:r>
      <w:r w:rsidR="006F36A0">
        <w:rPr>
          <w:sz w:val="24"/>
          <w:szCs w:val="24"/>
        </w:rPr>
        <w:t>draw on the fraternal bond between St Andrew and St Peter</w:t>
      </w:r>
      <w:r w:rsidR="00D63A4E">
        <w:rPr>
          <w:sz w:val="24"/>
          <w:szCs w:val="24"/>
        </w:rPr>
        <w:t>, highlighting their special relationship with</w:t>
      </w:r>
      <w:r w:rsidR="006F36A0">
        <w:rPr>
          <w:sz w:val="24"/>
          <w:szCs w:val="24"/>
        </w:rPr>
        <w:t xml:space="preserve"> the </w:t>
      </w:r>
      <w:r w:rsidR="00D63A4E">
        <w:rPr>
          <w:sz w:val="24"/>
          <w:szCs w:val="24"/>
        </w:rPr>
        <w:t xml:space="preserve">papal curia. </w:t>
      </w:r>
      <w:r>
        <w:rPr>
          <w:sz w:val="24"/>
          <w:szCs w:val="24"/>
        </w:rPr>
        <w:t xml:space="preserve">Meanwhile, the connection to </w:t>
      </w:r>
      <w:proofErr w:type="spellStart"/>
      <w:r>
        <w:rPr>
          <w:sz w:val="24"/>
          <w:szCs w:val="24"/>
        </w:rPr>
        <w:t>Chrysogonus</w:t>
      </w:r>
      <w:proofErr w:type="spellEnd"/>
      <w:r>
        <w:rPr>
          <w:sz w:val="24"/>
          <w:szCs w:val="24"/>
        </w:rPr>
        <w:t xml:space="preserve"> </w:t>
      </w:r>
      <w:r w:rsidR="00D63A4E">
        <w:rPr>
          <w:sz w:val="24"/>
          <w:szCs w:val="24"/>
        </w:rPr>
        <w:t xml:space="preserve">emphasised </w:t>
      </w:r>
      <w:r>
        <w:rPr>
          <w:sz w:val="24"/>
          <w:szCs w:val="24"/>
        </w:rPr>
        <w:t>David’s status as Robert I</w:t>
      </w:r>
      <w:r w:rsidR="00D63A4E">
        <w:rPr>
          <w:sz w:val="24"/>
          <w:szCs w:val="24"/>
        </w:rPr>
        <w:t>’s sole heir</w:t>
      </w:r>
      <w:r w:rsidR="00E27EE0">
        <w:rPr>
          <w:sz w:val="24"/>
          <w:szCs w:val="24"/>
        </w:rPr>
        <w:t>, preventing another potentially catastrophic succession crisis</w:t>
      </w:r>
      <w:r>
        <w:rPr>
          <w:sz w:val="24"/>
          <w:szCs w:val="24"/>
        </w:rPr>
        <w:t xml:space="preserve">: </w:t>
      </w:r>
      <w:proofErr w:type="spellStart"/>
      <w:r w:rsidR="00D60002">
        <w:rPr>
          <w:sz w:val="24"/>
          <w:szCs w:val="24"/>
        </w:rPr>
        <w:t>Chrysogonus</w:t>
      </w:r>
      <w:proofErr w:type="spellEnd"/>
      <w:r w:rsidR="00D60002">
        <w:rPr>
          <w:sz w:val="24"/>
          <w:szCs w:val="24"/>
        </w:rPr>
        <w:t xml:space="preserve"> </w:t>
      </w:r>
      <w:r>
        <w:rPr>
          <w:sz w:val="24"/>
          <w:szCs w:val="24"/>
        </w:rPr>
        <w:t>derive</w:t>
      </w:r>
      <w:r w:rsidR="00DD6932">
        <w:rPr>
          <w:sz w:val="24"/>
          <w:szCs w:val="24"/>
        </w:rPr>
        <w:t>d</w:t>
      </w:r>
      <w:r>
        <w:rPr>
          <w:sz w:val="24"/>
          <w:szCs w:val="24"/>
        </w:rPr>
        <w:t xml:space="preserve"> from Greek and was composed of the two elements </w:t>
      </w:r>
      <w:proofErr w:type="spellStart"/>
      <w:r w:rsidRPr="006F36A0">
        <w:rPr>
          <w:i/>
          <w:iCs/>
          <w:sz w:val="24"/>
          <w:szCs w:val="24"/>
        </w:rPr>
        <w:t>χρῡσός</w:t>
      </w:r>
      <w:proofErr w:type="spellEnd"/>
      <w:r>
        <w:rPr>
          <w:sz w:val="24"/>
          <w:szCs w:val="24"/>
        </w:rPr>
        <w:t xml:space="preserve"> (</w:t>
      </w:r>
      <w:proofErr w:type="spellStart"/>
      <w:r w:rsidRPr="006F36A0">
        <w:rPr>
          <w:sz w:val="24"/>
          <w:szCs w:val="24"/>
        </w:rPr>
        <w:t>khrūsós</w:t>
      </w:r>
      <w:proofErr w:type="spellEnd"/>
      <w:r>
        <w:rPr>
          <w:sz w:val="24"/>
          <w:szCs w:val="24"/>
        </w:rPr>
        <w:t xml:space="preserve">) meaning golden or something precious, and </w:t>
      </w:r>
      <w:proofErr w:type="spellStart"/>
      <w:r w:rsidRPr="006F36A0">
        <w:rPr>
          <w:sz w:val="24"/>
          <w:szCs w:val="24"/>
        </w:rPr>
        <w:t>γέννησις</w:t>
      </w:r>
      <w:proofErr w:type="spellEnd"/>
      <w:r>
        <w:rPr>
          <w:sz w:val="24"/>
          <w:szCs w:val="24"/>
        </w:rPr>
        <w:t xml:space="preserve"> (</w:t>
      </w:r>
      <w:proofErr w:type="spellStart"/>
      <w:r w:rsidRPr="006F36A0">
        <w:rPr>
          <w:i/>
          <w:iCs/>
          <w:sz w:val="24"/>
          <w:szCs w:val="24"/>
        </w:rPr>
        <w:t>génnēsis</w:t>
      </w:r>
      <w:proofErr w:type="spellEnd"/>
      <w:r>
        <w:rPr>
          <w:sz w:val="24"/>
          <w:szCs w:val="24"/>
        </w:rPr>
        <w:t>) meaning birth</w:t>
      </w:r>
      <w:r w:rsidR="00D63A4E">
        <w:rPr>
          <w:sz w:val="24"/>
          <w:szCs w:val="24"/>
        </w:rPr>
        <w:t xml:space="preserve">, underlining David’s </w:t>
      </w:r>
      <w:r w:rsidR="003421A9">
        <w:rPr>
          <w:sz w:val="24"/>
          <w:szCs w:val="24"/>
        </w:rPr>
        <w:t>‘golden birth’ since he was</w:t>
      </w:r>
      <w:r w:rsidR="00D63A4E">
        <w:rPr>
          <w:sz w:val="24"/>
          <w:szCs w:val="24"/>
        </w:rPr>
        <w:t xml:space="preserve"> the only direct Bruce descendant</w:t>
      </w:r>
      <w:r>
        <w:rPr>
          <w:sz w:val="24"/>
          <w:szCs w:val="24"/>
        </w:rPr>
        <w:t>.</w:t>
      </w:r>
      <w:r w:rsidR="00D60002">
        <w:rPr>
          <w:rStyle w:val="FootnoteReference"/>
          <w:sz w:val="24"/>
          <w:szCs w:val="24"/>
        </w:rPr>
        <w:footnoteReference w:id="77"/>
      </w:r>
      <w:r w:rsidR="00DD6932">
        <w:rPr>
          <w:sz w:val="24"/>
          <w:szCs w:val="24"/>
        </w:rPr>
        <w:t xml:space="preserve"> Through these associations, the inauguration date referred to this ‘smorgasbord of liturgical symbolism’ that underlined the significance of David and his kingdom’s sovereignty.</w:t>
      </w:r>
      <w:r w:rsidR="003421A9">
        <w:rPr>
          <w:rStyle w:val="FootnoteReference"/>
          <w:sz w:val="24"/>
          <w:szCs w:val="24"/>
        </w:rPr>
        <w:footnoteReference w:id="78"/>
      </w:r>
    </w:p>
    <w:p w14:paraId="77CAA93B" w14:textId="60D90582" w:rsidR="00AF0958" w:rsidRDefault="00AF0958" w:rsidP="006B56A8">
      <w:pPr>
        <w:spacing w:line="360" w:lineRule="auto"/>
        <w:ind w:firstLine="720"/>
        <w:jc w:val="both"/>
        <w:rPr>
          <w:sz w:val="24"/>
          <w:szCs w:val="24"/>
        </w:rPr>
      </w:pPr>
      <w:r w:rsidRPr="00AC4AC9">
        <w:rPr>
          <w:sz w:val="24"/>
          <w:szCs w:val="24"/>
        </w:rPr>
        <w:t xml:space="preserve">This does not explain the substantial delay of the </w:t>
      </w:r>
      <w:r>
        <w:rPr>
          <w:sz w:val="24"/>
          <w:szCs w:val="24"/>
        </w:rPr>
        <w:t>inauguration</w:t>
      </w:r>
      <w:r w:rsidRPr="00AC4AC9">
        <w:rPr>
          <w:sz w:val="24"/>
          <w:szCs w:val="24"/>
        </w:rPr>
        <w:t xml:space="preserve">. Several suggestions have been made to explain this. Michael Penman posits that proceedings were delayed while the Scots awaited instructions from the papal court, </w:t>
      </w:r>
      <w:r w:rsidR="00062AFC">
        <w:rPr>
          <w:sz w:val="24"/>
          <w:szCs w:val="24"/>
        </w:rPr>
        <w:t xml:space="preserve">which </w:t>
      </w:r>
      <w:r w:rsidRPr="00AC4AC9">
        <w:rPr>
          <w:sz w:val="24"/>
          <w:szCs w:val="24"/>
        </w:rPr>
        <w:t>detail</w:t>
      </w:r>
      <w:r w:rsidR="00062AFC">
        <w:rPr>
          <w:sz w:val="24"/>
          <w:szCs w:val="24"/>
        </w:rPr>
        <w:t>ed</w:t>
      </w:r>
      <w:r w:rsidRPr="00AC4AC9">
        <w:rPr>
          <w:sz w:val="24"/>
          <w:szCs w:val="24"/>
        </w:rPr>
        <w:t xml:space="preserve"> how to perform the anointing ritual, but the Scots rushed to anoint David in response to Edward Balliol’s invitation to the English court in 1331.</w:t>
      </w:r>
      <w:r w:rsidRPr="00AC4AC9">
        <w:rPr>
          <w:rStyle w:val="FootnoteReference"/>
          <w:sz w:val="24"/>
          <w:szCs w:val="24"/>
        </w:rPr>
        <w:footnoteReference w:id="79"/>
      </w:r>
      <w:r w:rsidRPr="00AC4AC9">
        <w:rPr>
          <w:sz w:val="24"/>
          <w:szCs w:val="24"/>
        </w:rPr>
        <w:t xml:space="preserve"> </w:t>
      </w:r>
      <w:r>
        <w:rPr>
          <w:sz w:val="24"/>
          <w:szCs w:val="24"/>
        </w:rPr>
        <w:t>However</w:t>
      </w:r>
      <w:r w:rsidRPr="00AC4AC9">
        <w:rPr>
          <w:sz w:val="24"/>
          <w:szCs w:val="24"/>
        </w:rPr>
        <w:t xml:space="preserve">, this would have been a delay of a few weeks rather than months. </w:t>
      </w:r>
      <w:r w:rsidR="00062AFC">
        <w:rPr>
          <w:sz w:val="24"/>
          <w:szCs w:val="24"/>
        </w:rPr>
        <w:t>I</w:t>
      </w:r>
      <w:r w:rsidRPr="00AC4AC9">
        <w:rPr>
          <w:sz w:val="24"/>
          <w:szCs w:val="24"/>
        </w:rPr>
        <w:t xml:space="preserve">t would not have taken two years for the pope to bless the oil or any new items of regalia and </w:t>
      </w:r>
      <w:r>
        <w:rPr>
          <w:sz w:val="24"/>
          <w:szCs w:val="24"/>
        </w:rPr>
        <w:t>return</w:t>
      </w:r>
      <w:r w:rsidRPr="00AC4AC9">
        <w:rPr>
          <w:sz w:val="24"/>
          <w:szCs w:val="24"/>
        </w:rPr>
        <w:t xml:space="preserve"> them to Scotland, especially considering the frequency with which ecclesiastics (who could act as envoys) made this trip and the relative ease of the journey now that the papal court was based at Avignon, which did not force travellers into traversing the </w:t>
      </w:r>
      <w:r w:rsidRPr="00AC4AC9">
        <w:rPr>
          <w:sz w:val="24"/>
          <w:szCs w:val="24"/>
        </w:rPr>
        <w:lastRenderedPageBreak/>
        <w:t>Alps.</w:t>
      </w:r>
      <w:r>
        <w:rPr>
          <w:rStyle w:val="FootnoteReference"/>
          <w:sz w:val="24"/>
          <w:szCs w:val="24"/>
        </w:rPr>
        <w:footnoteReference w:id="80"/>
      </w:r>
      <w:r w:rsidRPr="00AC4AC9">
        <w:rPr>
          <w:sz w:val="24"/>
          <w:szCs w:val="24"/>
        </w:rPr>
        <w:t xml:space="preserve"> Dean suggests that there was a clash between the abbeys of Scone and Dunfermline, fighting for the right to house the oil after the inauguration, but this seems unlikely.</w:t>
      </w:r>
      <w:r w:rsidRPr="00AC4AC9">
        <w:rPr>
          <w:rStyle w:val="FootnoteReference"/>
          <w:sz w:val="24"/>
          <w:szCs w:val="24"/>
        </w:rPr>
        <w:footnoteReference w:id="81"/>
      </w:r>
      <w:r w:rsidRPr="00AC4AC9">
        <w:rPr>
          <w:sz w:val="24"/>
          <w:szCs w:val="24"/>
        </w:rPr>
        <w:t xml:space="preserve"> Moreover, both historians </w:t>
      </w:r>
      <w:r>
        <w:rPr>
          <w:sz w:val="24"/>
          <w:szCs w:val="24"/>
        </w:rPr>
        <w:t>posit</w:t>
      </w:r>
      <w:r w:rsidRPr="00AC4AC9">
        <w:rPr>
          <w:sz w:val="24"/>
          <w:szCs w:val="24"/>
        </w:rPr>
        <w:t xml:space="preserve"> that there was an anxiety about the </w:t>
      </w:r>
      <w:r w:rsidR="000C62D9">
        <w:rPr>
          <w:sz w:val="24"/>
          <w:szCs w:val="24"/>
        </w:rPr>
        <w:t xml:space="preserve">political </w:t>
      </w:r>
      <w:r w:rsidRPr="00AC4AC9">
        <w:rPr>
          <w:sz w:val="24"/>
          <w:szCs w:val="24"/>
        </w:rPr>
        <w:t xml:space="preserve">security of the minority government: Randolph may have waited for David to pass from a stage of </w:t>
      </w:r>
      <w:proofErr w:type="spellStart"/>
      <w:r w:rsidRPr="00AC4AC9">
        <w:rPr>
          <w:i/>
          <w:iCs/>
          <w:sz w:val="24"/>
          <w:szCs w:val="24"/>
        </w:rPr>
        <w:t>infantia</w:t>
      </w:r>
      <w:proofErr w:type="spellEnd"/>
      <w:r w:rsidRPr="00AC4AC9">
        <w:rPr>
          <w:sz w:val="24"/>
          <w:szCs w:val="24"/>
        </w:rPr>
        <w:t xml:space="preserve"> (birth to the age of seven) to </w:t>
      </w:r>
      <w:proofErr w:type="spellStart"/>
      <w:r w:rsidRPr="00AC4AC9">
        <w:rPr>
          <w:i/>
          <w:iCs/>
          <w:sz w:val="24"/>
          <w:szCs w:val="24"/>
        </w:rPr>
        <w:t>pueritia</w:t>
      </w:r>
      <w:proofErr w:type="spellEnd"/>
      <w:r w:rsidRPr="00AC4AC9">
        <w:rPr>
          <w:sz w:val="24"/>
          <w:szCs w:val="24"/>
        </w:rPr>
        <w:t xml:space="preserve"> (seven to fourteen).</w:t>
      </w:r>
      <w:r w:rsidRPr="00AC4AC9">
        <w:rPr>
          <w:rStyle w:val="FootnoteReference"/>
          <w:sz w:val="24"/>
          <w:szCs w:val="24"/>
        </w:rPr>
        <w:footnoteReference w:id="82"/>
      </w:r>
      <w:r w:rsidRPr="00AC4AC9">
        <w:rPr>
          <w:sz w:val="24"/>
          <w:szCs w:val="24"/>
        </w:rPr>
        <w:t xml:space="preserve"> However, David turned seven eight months before the ritual and fragile successions were typically marked by shorter rather than longer periods between the death of the previous king and the inauguration.</w:t>
      </w:r>
      <w:r w:rsidRPr="00AC4AC9">
        <w:rPr>
          <w:rStyle w:val="FootnoteReference"/>
          <w:sz w:val="24"/>
          <w:szCs w:val="24"/>
        </w:rPr>
        <w:footnoteReference w:id="83"/>
      </w:r>
      <w:r w:rsidRPr="00AC4AC9">
        <w:rPr>
          <w:sz w:val="24"/>
          <w:szCs w:val="24"/>
        </w:rPr>
        <w:t xml:space="preserve"> The most plausible explanation is Duncan’s argument that the two-year delay was linked to the financial dues owed by the Scots to the English, according to the terms of the Treaty of Edinburgh-Northampton.</w:t>
      </w:r>
      <w:r w:rsidRPr="00AC4AC9">
        <w:rPr>
          <w:rStyle w:val="FootnoteReference"/>
          <w:sz w:val="24"/>
          <w:szCs w:val="24"/>
        </w:rPr>
        <w:footnoteReference w:id="84"/>
      </w:r>
      <w:r w:rsidRPr="00AC4AC9">
        <w:rPr>
          <w:sz w:val="24"/>
          <w:szCs w:val="24"/>
        </w:rPr>
        <w:t xml:space="preserve"> In </w:t>
      </w:r>
      <w:r w:rsidR="00D271A6">
        <w:rPr>
          <w:sz w:val="24"/>
          <w:szCs w:val="24"/>
        </w:rPr>
        <w:t>June</w:t>
      </w:r>
      <w:r w:rsidR="00D271A6" w:rsidRPr="00AC4AC9">
        <w:rPr>
          <w:sz w:val="24"/>
          <w:szCs w:val="24"/>
        </w:rPr>
        <w:t xml:space="preserve"> </w:t>
      </w:r>
      <w:r w:rsidRPr="00AC4AC9">
        <w:rPr>
          <w:sz w:val="24"/>
          <w:szCs w:val="24"/>
        </w:rPr>
        <w:t xml:space="preserve">1331, </w:t>
      </w:r>
      <w:r>
        <w:rPr>
          <w:sz w:val="24"/>
          <w:szCs w:val="24"/>
        </w:rPr>
        <w:t>the Scots paid</w:t>
      </w:r>
      <w:r w:rsidRPr="00AC4AC9">
        <w:rPr>
          <w:sz w:val="24"/>
          <w:szCs w:val="24"/>
        </w:rPr>
        <w:t xml:space="preserve"> the final </w:t>
      </w:r>
      <w:r w:rsidR="003C5364">
        <w:rPr>
          <w:sz w:val="24"/>
          <w:szCs w:val="24"/>
        </w:rPr>
        <w:t>instalment</w:t>
      </w:r>
      <w:r w:rsidRPr="00AC4AC9">
        <w:rPr>
          <w:sz w:val="24"/>
          <w:szCs w:val="24"/>
        </w:rPr>
        <w:t xml:space="preserve"> of these dues, fulfilling the Treaty’s terms</w:t>
      </w:r>
      <w:r w:rsidR="00D271A6">
        <w:rPr>
          <w:sz w:val="24"/>
          <w:szCs w:val="24"/>
        </w:rPr>
        <w:t>, as well as an outstanding loan owed to the Pope</w:t>
      </w:r>
      <w:r w:rsidRPr="00AC4AC9">
        <w:rPr>
          <w:sz w:val="24"/>
          <w:szCs w:val="24"/>
        </w:rPr>
        <w:t>.</w:t>
      </w:r>
      <w:r w:rsidR="00D271A6">
        <w:rPr>
          <w:rStyle w:val="FootnoteReference"/>
          <w:sz w:val="24"/>
          <w:szCs w:val="24"/>
        </w:rPr>
        <w:footnoteReference w:id="85"/>
      </w:r>
      <w:r w:rsidRPr="00AC4AC9">
        <w:rPr>
          <w:sz w:val="24"/>
          <w:szCs w:val="24"/>
        </w:rPr>
        <w:t xml:space="preserve"> This meant that the English could not renege </w:t>
      </w:r>
      <w:r w:rsidR="00164C6D">
        <w:rPr>
          <w:sz w:val="24"/>
          <w:szCs w:val="24"/>
        </w:rPr>
        <w:t xml:space="preserve">on </w:t>
      </w:r>
      <w:r w:rsidRPr="00AC4AC9">
        <w:rPr>
          <w:sz w:val="24"/>
          <w:szCs w:val="24"/>
        </w:rPr>
        <w:t>their acknowledgement of Scottish independence.</w:t>
      </w:r>
      <w:r w:rsidRPr="00AC4AC9">
        <w:rPr>
          <w:rStyle w:val="FootnoteReference"/>
          <w:sz w:val="24"/>
          <w:szCs w:val="24"/>
        </w:rPr>
        <w:footnoteReference w:id="86"/>
      </w:r>
      <w:r w:rsidRPr="00AC4AC9">
        <w:rPr>
          <w:sz w:val="24"/>
          <w:szCs w:val="24"/>
        </w:rPr>
        <w:t xml:space="preserve"> David could be anointed and crowned free from English claims of overlordship, perhaps soon after his father’s heart was finally buried, on the Sunday closest to the feast of Scotland’s patron saint.</w:t>
      </w:r>
      <w:r w:rsidRPr="00AC4AC9">
        <w:rPr>
          <w:rStyle w:val="FootnoteReference"/>
          <w:sz w:val="24"/>
          <w:szCs w:val="24"/>
        </w:rPr>
        <w:footnoteReference w:id="87"/>
      </w:r>
      <w:r w:rsidRPr="00AC4AC9">
        <w:rPr>
          <w:sz w:val="24"/>
          <w:szCs w:val="24"/>
        </w:rPr>
        <w:t xml:space="preserve"> Therefore, the date of the inauguration and its delay demonstrate how the inauguration restated Scottish sovereignty.</w:t>
      </w:r>
    </w:p>
    <w:p w14:paraId="73974E52" w14:textId="498A0619" w:rsidR="00AF0958" w:rsidRDefault="00AF0958" w:rsidP="006B56A8">
      <w:pPr>
        <w:spacing w:line="360" w:lineRule="auto"/>
        <w:ind w:firstLine="720"/>
        <w:jc w:val="both"/>
        <w:rPr>
          <w:sz w:val="24"/>
          <w:szCs w:val="24"/>
        </w:rPr>
      </w:pPr>
      <w:r w:rsidRPr="00AC4AC9">
        <w:rPr>
          <w:sz w:val="24"/>
          <w:szCs w:val="24"/>
        </w:rPr>
        <w:t xml:space="preserve">As we have established, the form and organisation of a ritual communicated its meaning to the participants and held the key to understanding its significance. Usually, an </w:t>
      </w:r>
      <w:r w:rsidRPr="00AC4AC9">
        <w:rPr>
          <w:i/>
          <w:iCs/>
          <w:sz w:val="24"/>
          <w:szCs w:val="24"/>
        </w:rPr>
        <w:t xml:space="preserve">ordo </w:t>
      </w:r>
      <w:r w:rsidRPr="00AC4AC9">
        <w:rPr>
          <w:sz w:val="24"/>
          <w:szCs w:val="24"/>
        </w:rPr>
        <w:t xml:space="preserve">instructed contemporaries about the proper organisation of inaugurations. Scholars of English and French inaugurations have devoted considerable time analysing various surviving </w:t>
      </w:r>
      <w:r w:rsidRPr="00AC4AC9">
        <w:rPr>
          <w:i/>
          <w:iCs/>
          <w:sz w:val="24"/>
          <w:szCs w:val="24"/>
        </w:rPr>
        <w:t>ordines</w:t>
      </w:r>
      <w:r w:rsidRPr="00AC4AC9">
        <w:rPr>
          <w:sz w:val="24"/>
          <w:szCs w:val="24"/>
        </w:rPr>
        <w:t>, but these sources were prescriptive rather than descriptive.</w:t>
      </w:r>
      <w:r w:rsidRPr="00AC4AC9">
        <w:rPr>
          <w:rStyle w:val="FootnoteReference"/>
          <w:sz w:val="24"/>
          <w:szCs w:val="24"/>
        </w:rPr>
        <w:footnoteReference w:id="88"/>
      </w:r>
      <w:r w:rsidRPr="00AC4AC9">
        <w:rPr>
          <w:sz w:val="24"/>
          <w:szCs w:val="24"/>
        </w:rPr>
        <w:t xml:space="preserve"> Such a source would allow us to pinpoint the ritual’s precise organisation and track changes to its form over time, just as Richard </w:t>
      </w:r>
      <w:r w:rsidRPr="00AC4AC9">
        <w:rPr>
          <w:sz w:val="24"/>
          <w:szCs w:val="24"/>
        </w:rPr>
        <w:lastRenderedPageBreak/>
        <w:t>Jackson achieved for the French inauguration.</w:t>
      </w:r>
      <w:r w:rsidRPr="00AC4AC9">
        <w:rPr>
          <w:rStyle w:val="FootnoteReference"/>
          <w:sz w:val="24"/>
          <w:szCs w:val="24"/>
        </w:rPr>
        <w:footnoteReference w:id="89"/>
      </w:r>
      <w:r w:rsidRPr="00AC4AC9">
        <w:rPr>
          <w:sz w:val="24"/>
          <w:szCs w:val="24"/>
        </w:rPr>
        <w:t xml:space="preserve"> Before the Reformation, no Scottish inauguration </w:t>
      </w:r>
      <w:r w:rsidRPr="00AC4AC9">
        <w:rPr>
          <w:i/>
          <w:iCs/>
          <w:sz w:val="24"/>
          <w:szCs w:val="24"/>
        </w:rPr>
        <w:t xml:space="preserve">ordo </w:t>
      </w:r>
      <w:r w:rsidRPr="00AC4AC9">
        <w:rPr>
          <w:sz w:val="24"/>
          <w:szCs w:val="24"/>
        </w:rPr>
        <w:t>survives.</w:t>
      </w:r>
      <w:r w:rsidRPr="00AC4AC9">
        <w:rPr>
          <w:rStyle w:val="FootnoteReference"/>
          <w:sz w:val="24"/>
          <w:szCs w:val="24"/>
        </w:rPr>
        <w:footnoteReference w:id="90"/>
      </w:r>
      <w:r w:rsidRPr="00AC4AC9">
        <w:rPr>
          <w:sz w:val="24"/>
          <w:szCs w:val="24"/>
        </w:rPr>
        <w:t xml:space="preserve"> An </w:t>
      </w:r>
      <w:r w:rsidRPr="00AC4AC9">
        <w:rPr>
          <w:i/>
          <w:iCs/>
          <w:sz w:val="24"/>
          <w:szCs w:val="24"/>
        </w:rPr>
        <w:t xml:space="preserve">ordo </w:t>
      </w:r>
      <w:r w:rsidRPr="00AC4AC9">
        <w:rPr>
          <w:sz w:val="24"/>
          <w:szCs w:val="24"/>
        </w:rPr>
        <w:t>may have been made for David’s elevation, which does not survive: Dean suggests that the exchequer rolls might point to one being commissioned by Thomas Randolph</w:t>
      </w:r>
      <w:r w:rsidR="00BA658B">
        <w:rPr>
          <w:sz w:val="24"/>
          <w:szCs w:val="24"/>
        </w:rPr>
        <w:t>, David’s guardian,</w:t>
      </w:r>
      <w:r w:rsidRPr="00AC4AC9">
        <w:rPr>
          <w:sz w:val="24"/>
          <w:szCs w:val="24"/>
        </w:rPr>
        <w:t xml:space="preserve"> on the king’s behalf.</w:t>
      </w:r>
      <w:r w:rsidRPr="00AC4AC9">
        <w:rPr>
          <w:rStyle w:val="FootnoteReference"/>
          <w:sz w:val="24"/>
          <w:szCs w:val="24"/>
        </w:rPr>
        <w:footnoteReference w:id="91"/>
      </w:r>
      <w:r w:rsidRPr="00AC4AC9">
        <w:rPr>
          <w:sz w:val="24"/>
          <w:szCs w:val="24"/>
        </w:rPr>
        <w:t xml:space="preserve"> If this was the case, it suggests that the ritual incorporated many liturgical features because </w:t>
      </w:r>
      <w:r w:rsidRPr="00AC4AC9">
        <w:rPr>
          <w:i/>
          <w:iCs/>
          <w:sz w:val="24"/>
          <w:szCs w:val="24"/>
        </w:rPr>
        <w:t xml:space="preserve">ordines </w:t>
      </w:r>
      <w:r w:rsidRPr="00AC4AC9">
        <w:rPr>
          <w:sz w:val="24"/>
          <w:szCs w:val="24"/>
        </w:rPr>
        <w:t xml:space="preserve">were synonymous with the inclusion of anthems, psalms, prayers, and a mass. </w:t>
      </w:r>
      <w:r w:rsidR="00225270">
        <w:rPr>
          <w:sz w:val="24"/>
          <w:szCs w:val="24"/>
        </w:rPr>
        <w:t>As is the case in accounts of Norwegian inaugurations, our sources contain few liturgical details.</w:t>
      </w:r>
      <w:r w:rsidR="00225270">
        <w:rPr>
          <w:rStyle w:val="FootnoteReference"/>
          <w:sz w:val="24"/>
          <w:szCs w:val="24"/>
        </w:rPr>
        <w:footnoteReference w:id="92"/>
      </w:r>
      <w:r w:rsidR="00225270">
        <w:rPr>
          <w:sz w:val="24"/>
          <w:szCs w:val="24"/>
        </w:rPr>
        <w:t xml:space="preserve"> One of the few accounts to detail these elements in the 1300s is </w:t>
      </w:r>
      <w:r w:rsidRPr="00AC4AC9">
        <w:rPr>
          <w:sz w:val="24"/>
          <w:szCs w:val="24"/>
        </w:rPr>
        <w:t>Richard II</w:t>
      </w:r>
      <w:r w:rsidR="00BA658B">
        <w:rPr>
          <w:sz w:val="24"/>
          <w:szCs w:val="24"/>
        </w:rPr>
        <w:t xml:space="preserve"> of England</w:t>
      </w:r>
      <w:r w:rsidRPr="00AC4AC9">
        <w:rPr>
          <w:sz w:val="24"/>
          <w:szCs w:val="24"/>
        </w:rPr>
        <w:t>’s inauguration</w:t>
      </w:r>
      <w:r>
        <w:rPr>
          <w:sz w:val="24"/>
          <w:szCs w:val="24"/>
        </w:rPr>
        <w:t xml:space="preserve"> in 1377</w:t>
      </w:r>
      <w:r w:rsidR="00225270">
        <w:rPr>
          <w:sz w:val="24"/>
          <w:szCs w:val="24"/>
        </w:rPr>
        <w:t>, which</w:t>
      </w:r>
      <w:r>
        <w:rPr>
          <w:sz w:val="24"/>
          <w:szCs w:val="24"/>
        </w:rPr>
        <w:t xml:space="preserve"> </w:t>
      </w:r>
      <w:r w:rsidRPr="00AC4AC9">
        <w:rPr>
          <w:sz w:val="24"/>
          <w:szCs w:val="24"/>
        </w:rPr>
        <w:t>punctuated every ritual act with the inclusion of further prayers, chants, and anthems.</w:t>
      </w:r>
      <w:r w:rsidRPr="00AC4AC9">
        <w:rPr>
          <w:rStyle w:val="FootnoteReference"/>
          <w:sz w:val="24"/>
          <w:szCs w:val="24"/>
        </w:rPr>
        <w:footnoteReference w:id="93"/>
      </w:r>
      <w:r w:rsidRPr="00AC4AC9">
        <w:rPr>
          <w:sz w:val="24"/>
          <w:szCs w:val="24"/>
        </w:rPr>
        <w:t xml:space="preserve"> </w:t>
      </w:r>
      <w:r w:rsidR="00BA658B">
        <w:rPr>
          <w:sz w:val="24"/>
          <w:szCs w:val="24"/>
        </w:rPr>
        <w:t>If</w:t>
      </w:r>
      <w:r w:rsidRPr="00AC4AC9">
        <w:rPr>
          <w:sz w:val="24"/>
          <w:szCs w:val="24"/>
        </w:rPr>
        <w:t xml:space="preserve"> comparable liturgical features</w:t>
      </w:r>
      <w:r w:rsidR="00BA658B">
        <w:rPr>
          <w:sz w:val="24"/>
          <w:szCs w:val="24"/>
        </w:rPr>
        <w:t xml:space="preserve"> were included</w:t>
      </w:r>
      <w:r w:rsidRPr="00AC4AC9">
        <w:rPr>
          <w:sz w:val="24"/>
          <w:szCs w:val="24"/>
        </w:rPr>
        <w:t xml:space="preserve"> in</w:t>
      </w:r>
      <w:r w:rsidR="00225270">
        <w:rPr>
          <w:sz w:val="24"/>
          <w:szCs w:val="24"/>
        </w:rPr>
        <w:t xml:space="preserve"> earlier rituals such as David’s</w:t>
      </w:r>
      <w:r w:rsidR="00BA658B">
        <w:rPr>
          <w:sz w:val="24"/>
          <w:szCs w:val="24"/>
        </w:rPr>
        <w:t>, this</w:t>
      </w:r>
      <w:r w:rsidRPr="00AC4AC9">
        <w:rPr>
          <w:sz w:val="24"/>
          <w:szCs w:val="24"/>
        </w:rPr>
        <w:t xml:space="preserve"> would have necessitated more ecclesiastical performers to assist the celebrant to sing the anthems and celebrate the mass, suggesting that clergymen played more prominent roles in David’s inauguration. Unfortunately, we can only speculate about any liturgical aspects that were performed because this </w:t>
      </w:r>
      <w:r w:rsidRPr="00AC4AC9">
        <w:rPr>
          <w:i/>
          <w:iCs/>
          <w:sz w:val="24"/>
          <w:szCs w:val="24"/>
        </w:rPr>
        <w:t xml:space="preserve">ordo </w:t>
      </w:r>
      <w:r w:rsidRPr="00AC4AC9">
        <w:rPr>
          <w:sz w:val="24"/>
          <w:szCs w:val="24"/>
        </w:rPr>
        <w:t xml:space="preserve">does not survive. However, the absence of an </w:t>
      </w:r>
      <w:r w:rsidRPr="00AC4AC9">
        <w:rPr>
          <w:i/>
          <w:iCs/>
          <w:sz w:val="24"/>
          <w:szCs w:val="24"/>
        </w:rPr>
        <w:t>ordo</w:t>
      </w:r>
      <w:r w:rsidRPr="00AC4AC9">
        <w:rPr>
          <w:sz w:val="24"/>
          <w:szCs w:val="24"/>
        </w:rPr>
        <w:t xml:space="preserve"> does not prevent us from reconstructing the key components of this ritual because it prescribed what </w:t>
      </w:r>
      <w:r w:rsidRPr="00AC4AC9">
        <w:rPr>
          <w:i/>
          <w:iCs/>
          <w:sz w:val="24"/>
          <w:szCs w:val="24"/>
        </w:rPr>
        <w:t>ought</w:t>
      </w:r>
      <w:r w:rsidRPr="00AC4AC9">
        <w:rPr>
          <w:sz w:val="24"/>
          <w:szCs w:val="24"/>
        </w:rPr>
        <w:t xml:space="preserve"> to occur rather than what took place.</w:t>
      </w:r>
      <w:r w:rsidRPr="00AC4AC9">
        <w:rPr>
          <w:rStyle w:val="FootnoteReference"/>
          <w:sz w:val="24"/>
          <w:szCs w:val="24"/>
        </w:rPr>
        <w:footnoteReference w:id="94"/>
      </w:r>
      <w:r w:rsidRPr="00AC4AC9">
        <w:rPr>
          <w:sz w:val="24"/>
          <w:szCs w:val="24"/>
        </w:rPr>
        <w:t xml:space="preserve"> </w:t>
      </w:r>
      <w:r w:rsidR="00BA658B">
        <w:rPr>
          <w:sz w:val="24"/>
          <w:szCs w:val="24"/>
        </w:rPr>
        <w:t>Instead, w</w:t>
      </w:r>
      <w:r w:rsidRPr="00AC4AC9">
        <w:rPr>
          <w:sz w:val="24"/>
          <w:szCs w:val="24"/>
        </w:rPr>
        <w:t>e can reconstruct the latter from chroniclers’ accounts.</w:t>
      </w:r>
    </w:p>
    <w:p w14:paraId="7C49FBAD" w14:textId="1C74B26D" w:rsidR="00D63A4E" w:rsidRDefault="00C078F7" w:rsidP="006B56A8">
      <w:pPr>
        <w:spacing w:line="360" w:lineRule="auto"/>
        <w:ind w:firstLine="720"/>
        <w:jc w:val="both"/>
        <w:rPr>
          <w:sz w:val="24"/>
          <w:szCs w:val="24"/>
        </w:rPr>
      </w:pPr>
      <w:r>
        <w:rPr>
          <w:sz w:val="24"/>
          <w:szCs w:val="24"/>
        </w:rPr>
        <w:t xml:space="preserve">As I discussed earlier, any analysis reliant upon chronicle material must remain cognisant of the authors’ influences shaping the narrative of the ritual. For example, it is possible that Bower’s account of David’s inauguration was </w:t>
      </w:r>
      <w:r w:rsidR="008E3344">
        <w:rPr>
          <w:sz w:val="24"/>
          <w:szCs w:val="24"/>
        </w:rPr>
        <w:t>influenced</w:t>
      </w:r>
      <w:r>
        <w:rPr>
          <w:sz w:val="24"/>
          <w:szCs w:val="24"/>
        </w:rPr>
        <w:t xml:space="preserve"> by his experience of the fraught ascensions of James I and II, who were also child kings. </w:t>
      </w:r>
      <w:r w:rsidR="008E3344">
        <w:rPr>
          <w:sz w:val="24"/>
          <w:szCs w:val="24"/>
        </w:rPr>
        <w:t>T</w:t>
      </w:r>
      <w:r>
        <w:rPr>
          <w:sz w:val="24"/>
          <w:szCs w:val="24"/>
        </w:rPr>
        <w:t xml:space="preserve">he following analysis uses the anonymous poem interpolated by Bower and quoted above, </w:t>
      </w:r>
      <w:r w:rsidR="008E3344">
        <w:rPr>
          <w:sz w:val="24"/>
          <w:szCs w:val="24"/>
        </w:rPr>
        <w:t>which is an earlier account perhaps informed by a witness of the ritual and held by the archives of St Andrews. This may be where Bower encountered the text and copied it into his chronicle, as he often did with other sources.</w:t>
      </w:r>
      <w:r w:rsidR="008E3344">
        <w:rPr>
          <w:rStyle w:val="FootnoteReference"/>
          <w:sz w:val="24"/>
          <w:szCs w:val="24"/>
        </w:rPr>
        <w:footnoteReference w:id="95"/>
      </w:r>
      <w:r w:rsidR="008E3344">
        <w:rPr>
          <w:sz w:val="24"/>
          <w:szCs w:val="24"/>
        </w:rPr>
        <w:t xml:space="preserve"> </w:t>
      </w:r>
      <w:r w:rsidR="000D5730">
        <w:rPr>
          <w:sz w:val="24"/>
          <w:szCs w:val="24"/>
        </w:rPr>
        <w:t>T</w:t>
      </w:r>
      <w:r w:rsidR="008E3344">
        <w:rPr>
          <w:sz w:val="24"/>
          <w:szCs w:val="24"/>
        </w:rPr>
        <w:t xml:space="preserve">his source and other chronicle accounts are supplemented with various contemporary </w:t>
      </w:r>
      <w:r>
        <w:rPr>
          <w:sz w:val="24"/>
          <w:szCs w:val="24"/>
        </w:rPr>
        <w:t>administrative sources from the Scottish Crown and papal curia,</w:t>
      </w:r>
      <w:r w:rsidR="008E3344">
        <w:rPr>
          <w:sz w:val="24"/>
          <w:szCs w:val="24"/>
        </w:rPr>
        <w:t xml:space="preserve"> as well as comparisons with earlier Scottish inaugurations and other rituals from other kingdoms in western Europe. </w:t>
      </w:r>
      <w:r w:rsidR="000D5730">
        <w:rPr>
          <w:sz w:val="24"/>
          <w:szCs w:val="24"/>
        </w:rPr>
        <w:t xml:space="preserve">While the resulting analysis speculates about aspects of the ritual performed </w:t>
      </w:r>
      <w:r w:rsidR="000D5730">
        <w:rPr>
          <w:sz w:val="24"/>
          <w:szCs w:val="24"/>
        </w:rPr>
        <w:lastRenderedPageBreak/>
        <w:t xml:space="preserve">in 1331, this is rooted in the contemporary sources. To this end, the following discussion omits </w:t>
      </w:r>
      <w:r w:rsidR="00B543F5">
        <w:rPr>
          <w:sz w:val="24"/>
          <w:szCs w:val="24"/>
        </w:rPr>
        <w:t>ritual acts where firm evidence is lacking, such as the form</w:t>
      </w:r>
      <w:r w:rsidR="000D5730">
        <w:rPr>
          <w:sz w:val="24"/>
          <w:szCs w:val="24"/>
        </w:rPr>
        <w:t xml:space="preserve"> of </w:t>
      </w:r>
      <w:r w:rsidR="00B543F5">
        <w:rPr>
          <w:sz w:val="24"/>
          <w:szCs w:val="24"/>
        </w:rPr>
        <w:t xml:space="preserve">Queen </w:t>
      </w:r>
      <w:r w:rsidR="000D5730">
        <w:rPr>
          <w:sz w:val="24"/>
          <w:szCs w:val="24"/>
        </w:rPr>
        <w:t>Joan</w:t>
      </w:r>
      <w:r w:rsidR="00B543F5">
        <w:rPr>
          <w:sz w:val="24"/>
          <w:szCs w:val="24"/>
        </w:rPr>
        <w:t>’s inauguration</w:t>
      </w:r>
      <w:r w:rsidR="000D5730">
        <w:rPr>
          <w:sz w:val="24"/>
          <w:szCs w:val="24"/>
        </w:rPr>
        <w:t xml:space="preserve">, </w:t>
      </w:r>
      <w:r w:rsidR="00B543F5">
        <w:rPr>
          <w:sz w:val="24"/>
          <w:szCs w:val="24"/>
        </w:rPr>
        <w:t xml:space="preserve">which </w:t>
      </w:r>
      <w:r w:rsidR="000D5730">
        <w:rPr>
          <w:sz w:val="24"/>
          <w:szCs w:val="24"/>
        </w:rPr>
        <w:t xml:space="preserve">is not mentioned </w:t>
      </w:r>
      <w:r w:rsidR="00B543F5">
        <w:rPr>
          <w:sz w:val="24"/>
          <w:szCs w:val="24"/>
        </w:rPr>
        <w:t>in detail</w:t>
      </w:r>
      <w:r w:rsidR="000D5730">
        <w:rPr>
          <w:sz w:val="24"/>
          <w:szCs w:val="24"/>
        </w:rPr>
        <w:t xml:space="preserve">; her presence at Scone is </w:t>
      </w:r>
      <w:r w:rsidR="00B543F5">
        <w:rPr>
          <w:sz w:val="24"/>
          <w:szCs w:val="24"/>
        </w:rPr>
        <w:t xml:space="preserve">only </w:t>
      </w:r>
      <w:r w:rsidR="000D5730">
        <w:rPr>
          <w:sz w:val="24"/>
          <w:szCs w:val="24"/>
        </w:rPr>
        <w:t>attested by the exchequer rolls.</w:t>
      </w:r>
      <w:r w:rsidR="000D5730">
        <w:rPr>
          <w:rStyle w:val="FootnoteReference"/>
          <w:sz w:val="24"/>
          <w:szCs w:val="24"/>
        </w:rPr>
        <w:footnoteReference w:id="96"/>
      </w:r>
    </w:p>
    <w:p w14:paraId="19EBBB35" w14:textId="5F676554" w:rsidR="00BA658B" w:rsidRPr="00AC4AC9" w:rsidRDefault="00BA658B" w:rsidP="006B56A8">
      <w:pPr>
        <w:spacing w:line="360" w:lineRule="auto"/>
        <w:ind w:firstLine="720"/>
        <w:jc w:val="both"/>
        <w:rPr>
          <w:sz w:val="24"/>
          <w:szCs w:val="24"/>
        </w:rPr>
      </w:pPr>
      <w:r w:rsidRPr="00AC4AC9">
        <w:rPr>
          <w:sz w:val="24"/>
          <w:szCs w:val="24"/>
        </w:rPr>
        <w:t xml:space="preserve">Prior to 1331 it is unclear how extensively ecclesiastics were involved in the inauguration and which, if any, religious features were incorporated into the ritual. Adomnán’s </w:t>
      </w:r>
      <w:r w:rsidRPr="00AC4AC9">
        <w:rPr>
          <w:i/>
          <w:iCs/>
          <w:sz w:val="24"/>
          <w:szCs w:val="24"/>
        </w:rPr>
        <w:t xml:space="preserve">Vitae Columbae </w:t>
      </w:r>
      <w:r w:rsidRPr="00AC4AC9">
        <w:rPr>
          <w:sz w:val="24"/>
          <w:szCs w:val="24"/>
        </w:rPr>
        <w:t xml:space="preserve">certainly suggested than an ecclesiastic ought to perform the inauguration because he depicted </w:t>
      </w:r>
      <w:r>
        <w:rPr>
          <w:sz w:val="24"/>
          <w:szCs w:val="24"/>
        </w:rPr>
        <w:t xml:space="preserve">St </w:t>
      </w:r>
      <w:r w:rsidRPr="00AC4AC9">
        <w:rPr>
          <w:sz w:val="24"/>
          <w:szCs w:val="24"/>
        </w:rPr>
        <w:t xml:space="preserve">Columba conferring </w:t>
      </w:r>
      <w:proofErr w:type="spellStart"/>
      <w:r w:rsidRPr="00AC4AC9">
        <w:rPr>
          <w:sz w:val="24"/>
          <w:szCs w:val="24"/>
        </w:rPr>
        <w:t>Áedán</w:t>
      </w:r>
      <w:proofErr w:type="spellEnd"/>
      <w:r>
        <w:rPr>
          <w:sz w:val="24"/>
          <w:szCs w:val="24"/>
        </w:rPr>
        <w:t xml:space="preserve"> mac Gabráin’s ‘ordination’ in the sixth century</w:t>
      </w:r>
      <w:r w:rsidRPr="00AC4AC9">
        <w:rPr>
          <w:sz w:val="24"/>
          <w:szCs w:val="24"/>
        </w:rPr>
        <w:t>.</w:t>
      </w:r>
      <w:r w:rsidRPr="00AC4AC9">
        <w:rPr>
          <w:rStyle w:val="FootnoteReference"/>
          <w:sz w:val="24"/>
          <w:szCs w:val="24"/>
        </w:rPr>
        <w:footnoteReference w:id="97"/>
      </w:r>
      <w:r w:rsidRPr="00AC4AC9">
        <w:rPr>
          <w:sz w:val="24"/>
          <w:szCs w:val="24"/>
        </w:rPr>
        <w:t xml:space="preserve"> Yet, before the 1300s, it is unlikely that prelates led the kingmaking process. Alexander III was said to </w:t>
      </w:r>
      <w:r w:rsidR="00164C6D">
        <w:rPr>
          <w:sz w:val="24"/>
          <w:szCs w:val="24"/>
        </w:rPr>
        <w:t xml:space="preserve">have </w:t>
      </w:r>
      <w:r w:rsidRPr="00AC4AC9">
        <w:rPr>
          <w:sz w:val="24"/>
          <w:szCs w:val="24"/>
        </w:rPr>
        <w:t>be</w:t>
      </w:r>
      <w:r w:rsidR="00164C6D">
        <w:rPr>
          <w:sz w:val="24"/>
          <w:szCs w:val="24"/>
        </w:rPr>
        <w:t>en</w:t>
      </w:r>
      <w:r w:rsidRPr="00AC4AC9">
        <w:rPr>
          <w:sz w:val="24"/>
          <w:szCs w:val="24"/>
        </w:rPr>
        <w:t xml:space="preserve"> enthroned (the key act in the earlier ritual) in 1249 by ‘the magnates’</w:t>
      </w:r>
      <w:r w:rsidR="00062AFC" w:rsidRPr="00AC4AC9">
        <w:rPr>
          <w:sz w:val="24"/>
          <w:szCs w:val="24"/>
        </w:rPr>
        <w:t>, specifically the earls of Fife and Strathearn</w:t>
      </w:r>
      <w:r w:rsidR="00062AFC">
        <w:rPr>
          <w:sz w:val="24"/>
          <w:szCs w:val="24"/>
        </w:rPr>
        <w:t xml:space="preserve">, </w:t>
      </w:r>
      <w:r w:rsidRPr="00AC4AC9">
        <w:rPr>
          <w:sz w:val="24"/>
          <w:szCs w:val="24"/>
        </w:rPr>
        <w:t>according</w:t>
      </w:r>
      <w:r w:rsidR="00DB289D">
        <w:rPr>
          <w:sz w:val="24"/>
          <w:szCs w:val="24"/>
        </w:rPr>
        <w:t xml:space="preserve"> to</w:t>
      </w:r>
      <w:r w:rsidRPr="00AC4AC9">
        <w:rPr>
          <w:sz w:val="24"/>
          <w:szCs w:val="24"/>
        </w:rPr>
        <w:t xml:space="preserve"> two thirteenth-century chronicle accounts.</w:t>
      </w:r>
      <w:r w:rsidRPr="00AC4AC9">
        <w:rPr>
          <w:rStyle w:val="FootnoteReference"/>
          <w:sz w:val="24"/>
          <w:szCs w:val="24"/>
        </w:rPr>
        <w:footnoteReference w:id="98"/>
      </w:r>
      <w:r w:rsidRPr="00AC4AC9">
        <w:rPr>
          <w:sz w:val="24"/>
          <w:szCs w:val="24"/>
        </w:rPr>
        <w:t xml:space="preserve"> Scone Abbey’s thirteenth-century seal supports this by depicting two knights, with the shields of Fife and Strathearn below them as part of the inauguration scene (although this choice may reflect the aesthetic preferences of the designer rather than ritual practice).</w:t>
      </w:r>
      <w:r w:rsidRPr="00AC4AC9">
        <w:rPr>
          <w:rStyle w:val="FootnoteReference"/>
          <w:sz w:val="24"/>
          <w:szCs w:val="24"/>
        </w:rPr>
        <w:footnoteReference w:id="99"/>
      </w:r>
      <w:r w:rsidRPr="00AC4AC9">
        <w:rPr>
          <w:sz w:val="24"/>
          <w:szCs w:val="24"/>
        </w:rPr>
        <w:t xml:space="preserve"> </w:t>
      </w:r>
      <w:r w:rsidR="00062AFC">
        <w:rPr>
          <w:sz w:val="24"/>
          <w:szCs w:val="24"/>
        </w:rPr>
        <w:t xml:space="preserve">As the 1249 inauguration </w:t>
      </w:r>
      <w:r w:rsidR="00164C6D">
        <w:rPr>
          <w:sz w:val="24"/>
          <w:szCs w:val="24"/>
        </w:rPr>
        <w:t>w</w:t>
      </w:r>
      <w:r w:rsidR="00062AFC">
        <w:rPr>
          <w:sz w:val="24"/>
          <w:szCs w:val="24"/>
        </w:rPr>
        <w:t xml:space="preserve">as the </w:t>
      </w:r>
      <w:r w:rsidRPr="00AC4AC9">
        <w:rPr>
          <w:sz w:val="24"/>
          <w:szCs w:val="24"/>
        </w:rPr>
        <w:t xml:space="preserve">first Scottish inauguration recorded in any detail, it is difficult to know </w:t>
      </w:r>
      <w:r w:rsidR="00164C6D">
        <w:rPr>
          <w:sz w:val="24"/>
          <w:szCs w:val="24"/>
        </w:rPr>
        <w:t>whether the earls had previously performed this duty</w:t>
      </w:r>
      <w:r w:rsidRPr="00AC4AC9">
        <w:rPr>
          <w:sz w:val="24"/>
          <w:szCs w:val="24"/>
        </w:rPr>
        <w:t>. Bishops were present at the inaugurations of earlier kings such as David I (1124</w:t>
      </w:r>
      <w:r w:rsidR="007E31B3">
        <w:rPr>
          <w:sz w:val="24"/>
          <w:szCs w:val="24"/>
        </w:rPr>
        <w:t>-</w:t>
      </w:r>
      <w:r w:rsidRPr="00AC4AC9">
        <w:rPr>
          <w:sz w:val="24"/>
          <w:szCs w:val="24"/>
        </w:rPr>
        <w:t>1153), when they supposedly persuaded the king to participate in the ‘disturbingly pagan’ ritual.</w:t>
      </w:r>
      <w:r w:rsidRPr="00AC4AC9">
        <w:rPr>
          <w:rStyle w:val="FootnoteReference"/>
          <w:sz w:val="24"/>
          <w:szCs w:val="24"/>
        </w:rPr>
        <w:footnoteReference w:id="100"/>
      </w:r>
      <w:r w:rsidRPr="00AC4AC9">
        <w:rPr>
          <w:sz w:val="24"/>
          <w:szCs w:val="24"/>
        </w:rPr>
        <w:t xml:space="preserve"> One bishop is recorded attending Alexander II’s inauguration in 1214, but</w:t>
      </w:r>
      <w:r w:rsidR="00062AFC">
        <w:rPr>
          <w:sz w:val="24"/>
          <w:szCs w:val="24"/>
        </w:rPr>
        <w:t xml:space="preserve"> generally</w:t>
      </w:r>
      <w:r w:rsidRPr="00AC4AC9">
        <w:rPr>
          <w:sz w:val="24"/>
          <w:szCs w:val="24"/>
        </w:rPr>
        <w:t xml:space="preserve">, as Duncan argued, </w:t>
      </w:r>
      <w:r w:rsidR="00062AFC">
        <w:rPr>
          <w:sz w:val="24"/>
          <w:szCs w:val="24"/>
        </w:rPr>
        <w:t>inaugurations were</w:t>
      </w:r>
      <w:r w:rsidRPr="00AC4AC9">
        <w:rPr>
          <w:sz w:val="24"/>
          <w:szCs w:val="24"/>
        </w:rPr>
        <w:t xml:space="preserve"> ‘predominantly secular’.</w:t>
      </w:r>
      <w:r w:rsidRPr="00AC4AC9">
        <w:rPr>
          <w:rStyle w:val="FootnoteReference"/>
          <w:sz w:val="24"/>
          <w:szCs w:val="24"/>
        </w:rPr>
        <w:footnoteReference w:id="101"/>
      </w:r>
      <w:r w:rsidRPr="00AC4AC9">
        <w:rPr>
          <w:sz w:val="24"/>
          <w:szCs w:val="24"/>
        </w:rPr>
        <w:t xml:space="preserve"> In 1249, </w:t>
      </w:r>
      <w:r w:rsidR="00062AFC">
        <w:rPr>
          <w:sz w:val="24"/>
          <w:szCs w:val="24"/>
        </w:rPr>
        <w:t>bishops</w:t>
      </w:r>
      <w:r w:rsidRPr="00AC4AC9">
        <w:rPr>
          <w:sz w:val="24"/>
          <w:szCs w:val="24"/>
        </w:rPr>
        <w:t xml:space="preserve"> </w:t>
      </w:r>
      <w:r w:rsidR="00A84691">
        <w:rPr>
          <w:sz w:val="24"/>
          <w:szCs w:val="24"/>
        </w:rPr>
        <w:t xml:space="preserve">supposedly </w:t>
      </w:r>
      <w:r w:rsidR="003C5364" w:rsidRPr="00AC4AC9">
        <w:rPr>
          <w:sz w:val="24"/>
          <w:szCs w:val="24"/>
        </w:rPr>
        <w:t>undertook</w:t>
      </w:r>
      <w:r w:rsidRPr="00AC4AC9">
        <w:rPr>
          <w:sz w:val="24"/>
          <w:szCs w:val="24"/>
        </w:rPr>
        <w:t xml:space="preserve"> a greater role and ‘consecrated’ Alexander III after his enthronement, but only two bishops are mentioned in the sources.</w:t>
      </w:r>
      <w:r w:rsidRPr="00AC4AC9">
        <w:rPr>
          <w:rStyle w:val="FootnoteReference"/>
          <w:sz w:val="24"/>
          <w:szCs w:val="24"/>
        </w:rPr>
        <w:footnoteReference w:id="102"/>
      </w:r>
      <w:r w:rsidRPr="00AC4AC9">
        <w:rPr>
          <w:sz w:val="24"/>
          <w:szCs w:val="24"/>
        </w:rPr>
        <w:t xml:space="preserve"> Historians also disagree about what </w:t>
      </w:r>
      <w:proofErr w:type="spellStart"/>
      <w:r w:rsidRPr="00AC4AC9">
        <w:rPr>
          <w:i/>
          <w:iCs/>
          <w:sz w:val="24"/>
          <w:szCs w:val="24"/>
        </w:rPr>
        <w:t>Gesta</w:t>
      </w:r>
      <w:proofErr w:type="spellEnd"/>
      <w:r w:rsidRPr="00AC4AC9">
        <w:rPr>
          <w:i/>
          <w:iCs/>
          <w:sz w:val="24"/>
          <w:szCs w:val="24"/>
        </w:rPr>
        <w:t xml:space="preserve"> Annalia I</w:t>
      </w:r>
      <w:r w:rsidR="00062AFC">
        <w:rPr>
          <w:sz w:val="24"/>
          <w:szCs w:val="24"/>
        </w:rPr>
        <w:t>’s author</w:t>
      </w:r>
      <w:r w:rsidRPr="00AC4AC9">
        <w:rPr>
          <w:sz w:val="24"/>
          <w:szCs w:val="24"/>
        </w:rPr>
        <w:t xml:space="preserve"> meant by ‘consecrated’ and how extensively clergymen </w:t>
      </w:r>
      <w:r w:rsidR="00062AFC">
        <w:rPr>
          <w:sz w:val="24"/>
          <w:szCs w:val="24"/>
        </w:rPr>
        <w:t>participated</w:t>
      </w:r>
      <w:r w:rsidRPr="00AC4AC9">
        <w:rPr>
          <w:sz w:val="24"/>
          <w:szCs w:val="24"/>
        </w:rPr>
        <w:t>.</w:t>
      </w:r>
      <w:r w:rsidRPr="00AC4AC9">
        <w:rPr>
          <w:rStyle w:val="FootnoteReference"/>
          <w:sz w:val="24"/>
          <w:szCs w:val="24"/>
        </w:rPr>
        <w:footnoteReference w:id="103"/>
      </w:r>
      <w:r w:rsidRPr="00AC4AC9">
        <w:rPr>
          <w:sz w:val="24"/>
          <w:szCs w:val="24"/>
        </w:rPr>
        <w:t xml:space="preserve"> However, </w:t>
      </w:r>
      <w:r>
        <w:rPr>
          <w:sz w:val="24"/>
          <w:szCs w:val="24"/>
        </w:rPr>
        <w:t>this</w:t>
      </w:r>
      <w:r w:rsidRPr="00AC4AC9">
        <w:rPr>
          <w:sz w:val="24"/>
          <w:szCs w:val="24"/>
        </w:rPr>
        <w:t xml:space="preserve"> was secondary to </w:t>
      </w:r>
      <w:r w:rsidR="00164C6D">
        <w:rPr>
          <w:sz w:val="24"/>
          <w:szCs w:val="24"/>
        </w:rPr>
        <w:t xml:space="preserve">that of </w:t>
      </w:r>
      <w:r w:rsidRPr="00AC4AC9">
        <w:rPr>
          <w:sz w:val="24"/>
          <w:szCs w:val="24"/>
        </w:rPr>
        <w:t>the earls</w:t>
      </w:r>
      <w:r w:rsidR="00CE282E">
        <w:rPr>
          <w:sz w:val="24"/>
          <w:szCs w:val="24"/>
        </w:rPr>
        <w:t xml:space="preserve"> and </w:t>
      </w:r>
      <w:r w:rsidRPr="00AC4AC9">
        <w:rPr>
          <w:sz w:val="24"/>
          <w:szCs w:val="24"/>
        </w:rPr>
        <w:t xml:space="preserve">the religious elements of the ritual </w:t>
      </w:r>
      <w:r w:rsidR="00062AFC">
        <w:rPr>
          <w:sz w:val="24"/>
          <w:szCs w:val="24"/>
        </w:rPr>
        <w:t>were</w:t>
      </w:r>
      <w:r w:rsidRPr="00AC4AC9">
        <w:rPr>
          <w:sz w:val="24"/>
          <w:szCs w:val="24"/>
        </w:rPr>
        <w:t xml:space="preserve"> limited.</w:t>
      </w:r>
      <w:r w:rsidRPr="00AC4AC9">
        <w:rPr>
          <w:rStyle w:val="FootnoteReference"/>
          <w:sz w:val="24"/>
          <w:szCs w:val="24"/>
        </w:rPr>
        <w:footnoteReference w:id="104"/>
      </w:r>
      <w:r w:rsidRPr="00AC4AC9">
        <w:rPr>
          <w:sz w:val="24"/>
          <w:szCs w:val="24"/>
        </w:rPr>
        <w:t xml:space="preserve"> </w:t>
      </w:r>
      <w:r w:rsidR="008E0C87">
        <w:rPr>
          <w:sz w:val="24"/>
          <w:szCs w:val="24"/>
        </w:rPr>
        <w:t>T</w:t>
      </w:r>
      <w:r w:rsidRPr="00AC4AC9">
        <w:rPr>
          <w:sz w:val="24"/>
          <w:szCs w:val="24"/>
        </w:rPr>
        <w:t xml:space="preserve">he celebration of mass </w:t>
      </w:r>
      <w:r w:rsidR="008E0C87">
        <w:rPr>
          <w:sz w:val="24"/>
          <w:szCs w:val="24"/>
        </w:rPr>
        <w:t xml:space="preserve">also </w:t>
      </w:r>
      <w:r w:rsidRPr="00AC4AC9">
        <w:rPr>
          <w:sz w:val="24"/>
          <w:szCs w:val="24"/>
        </w:rPr>
        <w:t xml:space="preserve">remained </w:t>
      </w:r>
      <w:r w:rsidRPr="00AC4AC9">
        <w:rPr>
          <w:sz w:val="24"/>
          <w:szCs w:val="24"/>
        </w:rPr>
        <w:lastRenderedPageBreak/>
        <w:t>on a separate day.</w:t>
      </w:r>
      <w:r w:rsidRPr="00AC4AC9">
        <w:rPr>
          <w:rStyle w:val="FootnoteReference"/>
          <w:sz w:val="24"/>
          <w:szCs w:val="24"/>
        </w:rPr>
        <w:footnoteReference w:id="105"/>
      </w:r>
      <w:r w:rsidRPr="00AC4AC9">
        <w:rPr>
          <w:sz w:val="24"/>
          <w:szCs w:val="24"/>
        </w:rPr>
        <w:t xml:space="preserve"> Until the grant of the papal bull in 1329, therefore, ecclesiastical involvement w</w:t>
      </w:r>
      <w:r w:rsidR="00DB289D">
        <w:rPr>
          <w:sz w:val="24"/>
          <w:szCs w:val="24"/>
        </w:rPr>
        <w:t>as</w:t>
      </w:r>
      <w:r w:rsidRPr="00AC4AC9">
        <w:rPr>
          <w:sz w:val="24"/>
          <w:szCs w:val="24"/>
        </w:rPr>
        <w:t xml:space="preserve"> </w:t>
      </w:r>
      <w:proofErr w:type="gramStart"/>
      <w:r w:rsidRPr="00AC4AC9">
        <w:rPr>
          <w:sz w:val="24"/>
          <w:szCs w:val="24"/>
        </w:rPr>
        <w:t>limited</w:t>
      </w:r>
      <w:proofErr w:type="gramEnd"/>
      <w:r w:rsidRPr="00AC4AC9">
        <w:rPr>
          <w:sz w:val="24"/>
          <w:szCs w:val="24"/>
        </w:rPr>
        <w:t xml:space="preserve"> and liturgical practices were kept separate.</w:t>
      </w:r>
    </w:p>
    <w:p w14:paraId="0379A498" w14:textId="28BE961F" w:rsidR="00BA658B" w:rsidRPr="00AC4AC9" w:rsidRDefault="00BA658B" w:rsidP="006B56A8">
      <w:pPr>
        <w:spacing w:line="360" w:lineRule="auto"/>
        <w:ind w:firstLine="720"/>
        <w:jc w:val="both"/>
        <w:rPr>
          <w:sz w:val="24"/>
          <w:szCs w:val="24"/>
        </w:rPr>
      </w:pPr>
      <w:r w:rsidRPr="00AC4AC9">
        <w:rPr>
          <w:sz w:val="24"/>
          <w:szCs w:val="24"/>
        </w:rPr>
        <w:t xml:space="preserve">The 1329 papal bull removed these limitations and allowed ecclesiastics to assert greater control over the inauguration as the celebrant was changed from a magnate to a prelate, placing the ritual’s organisation under their control. Before this grant, according to </w:t>
      </w:r>
      <w:proofErr w:type="spellStart"/>
      <w:r w:rsidRPr="00AC4AC9">
        <w:rPr>
          <w:sz w:val="24"/>
          <w:szCs w:val="24"/>
        </w:rPr>
        <w:t>Dauvit</w:t>
      </w:r>
      <w:proofErr w:type="spellEnd"/>
      <w:r w:rsidRPr="00AC4AC9">
        <w:rPr>
          <w:sz w:val="24"/>
          <w:szCs w:val="24"/>
        </w:rPr>
        <w:t xml:space="preserve"> Broun’s analysis of Alexander III’s </w:t>
      </w:r>
      <w:r w:rsidR="008E0C87">
        <w:rPr>
          <w:sz w:val="24"/>
          <w:szCs w:val="24"/>
        </w:rPr>
        <w:t>inauguration</w:t>
      </w:r>
      <w:r w:rsidRPr="00AC4AC9">
        <w:rPr>
          <w:sz w:val="24"/>
          <w:szCs w:val="24"/>
        </w:rPr>
        <w:t>, the bishop of St Andrews was only permitted to move ‘centre stage’ after the earls enthroned the king.</w:t>
      </w:r>
      <w:r w:rsidRPr="00AC4AC9">
        <w:rPr>
          <w:rStyle w:val="FootnoteReference"/>
          <w:sz w:val="24"/>
          <w:szCs w:val="24"/>
        </w:rPr>
        <w:footnoteReference w:id="106"/>
      </w:r>
      <w:r w:rsidRPr="00AC4AC9">
        <w:rPr>
          <w:sz w:val="24"/>
          <w:szCs w:val="24"/>
        </w:rPr>
        <w:t xml:space="preserve"> In the new ritual, the bishop supplanted the earls. This is recognised by the Scottish chronicle accounts, wh</w:t>
      </w:r>
      <w:r w:rsidR="00CE282E">
        <w:rPr>
          <w:sz w:val="24"/>
          <w:szCs w:val="24"/>
        </w:rPr>
        <w:t>ich</w:t>
      </w:r>
      <w:r w:rsidRPr="00AC4AC9">
        <w:rPr>
          <w:sz w:val="24"/>
          <w:szCs w:val="24"/>
        </w:rPr>
        <w:t xml:space="preserve"> portray Bishop Ben as the only active agent: Wyntoun wrote ‘</w:t>
      </w:r>
      <w:proofErr w:type="spellStart"/>
      <w:r w:rsidRPr="00763E19">
        <w:rPr>
          <w:i/>
          <w:iCs/>
          <w:sz w:val="24"/>
          <w:szCs w:val="24"/>
        </w:rPr>
        <w:t>Þe</w:t>
      </w:r>
      <w:proofErr w:type="spellEnd"/>
      <w:r w:rsidRPr="00763E19">
        <w:rPr>
          <w:i/>
          <w:iCs/>
          <w:sz w:val="24"/>
          <w:szCs w:val="24"/>
        </w:rPr>
        <w:t xml:space="preserve"> </w:t>
      </w:r>
      <w:proofErr w:type="spellStart"/>
      <w:r w:rsidRPr="00763E19">
        <w:rPr>
          <w:i/>
          <w:iCs/>
          <w:sz w:val="24"/>
          <w:szCs w:val="24"/>
        </w:rPr>
        <w:t>bischope</w:t>
      </w:r>
      <w:proofErr w:type="spellEnd"/>
      <w:r w:rsidRPr="00763E19">
        <w:rPr>
          <w:i/>
          <w:iCs/>
          <w:sz w:val="24"/>
          <w:szCs w:val="24"/>
        </w:rPr>
        <w:t xml:space="preserve"> of Sancte </w:t>
      </w:r>
      <w:proofErr w:type="spellStart"/>
      <w:r w:rsidRPr="00763E19">
        <w:rPr>
          <w:i/>
          <w:iCs/>
          <w:sz w:val="24"/>
          <w:szCs w:val="24"/>
        </w:rPr>
        <w:t>Androwis</w:t>
      </w:r>
      <w:proofErr w:type="spellEnd"/>
      <w:r w:rsidRPr="00763E19">
        <w:rPr>
          <w:i/>
          <w:iCs/>
          <w:sz w:val="24"/>
          <w:szCs w:val="24"/>
        </w:rPr>
        <w:t xml:space="preserve">/... Iames Ben/ </w:t>
      </w:r>
      <w:proofErr w:type="spellStart"/>
      <w:r w:rsidRPr="00763E19">
        <w:rPr>
          <w:i/>
          <w:iCs/>
          <w:sz w:val="24"/>
          <w:szCs w:val="24"/>
        </w:rPr>
        <w:t>Þar</w:t>
      </w:r>
      <w:proofErr w:type="spellEnd"/>
      <w:r w:rsidRPr="00763E19">
        <w:rPr>
          <w:i/>
          <w:iCs/>
          <w:sz w:val="24"/>
          <w:szCs w:val="24"/>
        </w:rPr>
        <w:t xml:space="preserve"> made his </w:t>
      </w:r>
      <w:proofErr w:type="spellStart"/>
      <w:r w:rsidRPr="00763E19">
        <w:rPr>
          <w:i/>
          <w:iCs/>
          <w:sz w:val="24"/>
          <w:szCs w:val="24"/>
        </w:rPr>
        <w:t>coronacion</w:t>
      </w:r>
      <w:proofErr w:type="spellEnd"/>
      <w:r w:rsidRPr="00AC4AC9">
        <w:rPr>
          <w:sz w:val="24"/>
          <w:szCs w:val="24"/>
        </w:rPr>
        <w:t>’.</w:t>
      </w:r>
      <w:r w:rsidRPr="00AC4AC9">
        <w:rPr>
          <w:rStyle w:val="FootnoteReference"/>
          <w:sz w:val="24"/>
          <w:szCs w:val="24"/>
        </w:rPr>
        <w:footnoteReference w:id="107"/>
      </w:r>
      <w:r w:rsidRPr="00AC4AC9">
        <w:rPr>
          <w:sz w:val="24"/>
          <w:szCs w:val="24"/>
        </w:rPr>
        <w:t xml:space="preserve"> </w:t>
      </w:r>
      <w:r w:rsidR="00A84691">
        <w:rPr>
          <w:sz w:val="24"/>
          <w:szCs w:val="24"/>
        </w:rPr>
        <w:t>Bishop Ben’s prominence in the chronicle accounts is sharply contrasted by the notable absence of</w:t>
      </w:r>
      <w:r w:rsidR="00BB6B93">
        <w:rPr>
          <w:sz w:val="24"/>
          <w:szCs w:val="24"/>
        </w:rPr>
        <w:t xml:space="preserve"> any mention</w:t>
      </w:r>
      <w:r w:rsidR="00A84691">
        <w:rPr>
          <w:sz w:val="24"/>
          <w:szCs w:val="24"/>
        </w:rPr>
        <w:t xml:space="preserve"> </w:t>
      </w:r>
      <w:r w:rsidR="001D3307">
        <w:rPr>
          <w:sz w:val="24"/>
          <w:szCs w:val="24"/>
        </w:rPr>
        <w:t xml:space="preserve">of </w:t>
      </w:r>
      <w:r w:rsidR="00A84691">
        <w:rPr>
          <w:sz w:val="24"/>
          <w:szCs w:val="24"/>
        </w:rPr>
        <w:t>the earls of Fife and Strathearn</w:t>
      </w:r>
      <w:r w:rsidR="00325BCE">
        <w:rPr>
          <w:sz w:val="24"/>
          <w:szCs w:val="24"/>
        </w:rPr>
        <w:t>.</w:t>
      </w:r>
      <w:r w:rsidR="00325BCE">
        <w:rPr>
          <w:rStyle w:val="FootnoteReference"/>
          <w:sz w:val="24"/>
          <w:szCs w:val="24"/>
        </w:rPr>
        <w:footnoteReference w:id="108"/>
      </w:r>
      <w:r w:rsidR="00325BCE">
        <w:rPr>
          <w:sz w:val="24"/>
          <w:szCs w:val="24"/>
        </w:rPr>
        <w:t xml:space="preserve"> </w:t>
      </w:r>
      <w:r w:rsidRPr="00AC4AC9">
        <w:rPr>
          <w:sz w:val="24"/>
          <w:szCs w:val="24"/>
        </w:rPr>
        <w:t>Thus, the bishop became the kingmaker and God’s vessel, through whom the divine blessing of anointing was bestowed.</w:t>
      </w:r>
      <w:r w:rsidRPr="00AC4AC9">
        <w:rPr>
          <w:rStyle w:val="FootnoteReference"/>
          <w:sz w:val="24"/>
          <w:szCs w:val="24"/>
        </w:rPr>
        <w:footnoteReference w:id="109"/>
      </w:r>
      <w:r w:rsidRPr="00AC4AC9">
        <w:rPr>
          <w:sz w:val="24"/>
          <w:szCs w:val="24"/>
        </w:rPr>
        <w:t xml:space="preserve"> As celebrant, he emulated Samuel’s role in the anointing of Saul</w:t>
      </w:r>
      <w:r w:rsidR="00062AFC">
        <w:rPr>
          <w:sz w:val="24"/>
          <w:szCs w:val="24"/>
        </w:rPr>
        <w:t>, and was responsible for the ritual’s structure.</w:t>
      </w:r>
    </w:p>
    <w:p w14:paraId="5C640767" w14:textId="65A7519B" w:rsidR="00AF0958" w:rsidRDefault="00BA658B" w:rsidP="006B56A8">
      <w:pPr>
        <w:spacing w:line="360" w:lineRule="auto"/>
        <w:ind w:firstLine="720"/>
        <w:jc w:val="both"/>
        <w:rPr>
          <w:sz w:val="24"/>
          <w:szCs w:val="24"/>
        </w:rPr>
      </w:pPr>
      <w:r w:rsidRPr="00AC4AC9">
        <w:rPr>
          <w:sz w:val="24"/>
          <w:szCs w:val="24"/>
        </w:rPr>
        <w:t xml:space="preserve">The bishop was politically powerful in this role because he became temporarily superior to the king and </w:t>
      </w:r>
      <w:r>
        <w:rPr>
          <w:sz w:val="24"/>
          <w:szCs w:val="24"/>
        </w:rPr>
        <w:t>congregation</w:t>
      </w:r>
      <w:r w:rsidRPr="00AC4AC9">
        <w:rPr>
          <w:sz w:val="24"/>
          <w:szCs w:val="24"/>
        </w:rPr>
        <w:t xml:space="preserve">. </w:t>
      </w:r>
      <w:r>
        <w:rPr>
          <w:sz w:val="24"/>
          <w:szCs w:val="24"/>
        </w:rPr>
        <w:t>By establishing</w:t>
      </w:r>
      <w:r w:rsidRPr="00AC4AC9">
        <w:rPr>
          <w:sz w:val="24"/>
          <w:szCs w:val="24"/>
        </w:rPr>
        <w:t xml:space="preserve"> the </w:t>
      </w:r>
      <w:r>
        <w:rPr>
          <w:sz w:val="24"/>
          <w:szCs w:val="24"/>
        </w:rPr>
        <w:t xml:space="preserve">Scottish </w:t>
      </w:r>
      <w:r w:rsidRPr="00AC4AC9">
        <w:rPr>
          <w:sz w:val="24"/>
          <w:szCs w:val="24"/>
        </w:rPr>
        <w:t xml:space="preserve">king </w:t>
      </w:r>
      <w:r>
        <w:rPr>
          <w:sz w:val="24"/>
          <w:szCs w:val="24"/>
        </w:rPr>
        <w:t>a</w:t>
      </w:r>
      <w:r w:rsidRPr="00AC4AC9">
        <w:rPr>
          <w:sz w:val="24"/>
          <w:szCs w:val="24"/>
        </w:rPr>
        <w:t xml:space="preserve">s the ‘Lord’s anointed’, </w:t>
      </w:r>
      <w:r>
        <w:rPr>
          <w:sz w:val="24"/>
          <w:szCs w:val="24"/>
        </w:rPr>
        <w:t>his</w:t>
      </w:r>
      <w:r w:rsidRPr="00AC4AC9">
        <w:rPr>
          <w:sz w:val="24"/>
          <w:szCs w:val="24"/>
        </w:rPr>
        <w:t xml:space="preserve"> status was raised because it suggested that the king’s divine grace was subject to </w:t>
      </w:r>
      <w:r>
        <w:rPr>
          <w:sz w:val="24"/>
          <w:szCs w:val="24"/>
        </w:rPr>
        <w:t>his</w:t>
      </w:r>
      <w:r w:rsidRPr="00AC4AC9">
        <w:rPr>
          <w:sz w:val="24"/>
          <w:szCs w:val="24"/>
        </w:rPr>
        <w:t xml:space="preserve"> authority. This moment of temporary superiority was so unacceptable to fourteenth-century Iberian kings that they increasingly conducted ‘self-coronations’ to ensure that participants did not mistake this act as a symbol of ecclesiastical superiority over the monarch.</w:t>
      </w:r>
      <w:r w:rsidRPr="00AC4AC9">
        <w:rPr>
          <w:rStyle w:val="FootnoteReference"/>
          <w:sz w:val="24"/>
          <w:szCs w:val="24"/>
        </w:rPr>
        <w:footnoteReference w:id="110"/>
      </w:r>
      <w:r>
        <w:rPr>
          <w:sz w:val="24"/>
          <w:szCs w:val="24"/>
        </w:rPr>
        <w:t xml:space="preserve"> It also</w:t>
      </w:r>
      <w:r w:rsidRPr="00AC4AC9">
        <w:rPr>
          <w:sz w:val="24"/>
          <w:szCs w:val="24"/>
        </w:rPr>
        <w:t xml:space="preserve"> led to competition between bishops in other kingdoms </w:t>
      </w:r>
      <w:r>
        <w:rPr>
          <w:sz w:val="24"/>
          <w:szCs w:val="24"/>
        </w:rPr>
        <w:t>for</w:t>
      </w:r>
      <w:r w:rsidRPr="00AC4AC9">
        <w:rPr>
          <w:sz w:val="24"/>
          <w:szCs w:val="24"/>
        </w:rPr>
        <w:t xml:space="preserve"> the</w:t>
      </w:r>
      <w:r>
        <w:rPr>
          <w:sz w:val="24"/>
          <w:szCs w:val="24"/>
        </w:rPr>
        <w:t xml:space="preserve"> role of</w:t>
      </w:r>
      <w:r w:rsidRPr="00AC4AC9">
        <w:rPr>
          <w:sz w:val="24"/>
          <w:szCs w:val="24"/>
        </w:rPr>
        <w:t xml:space="preserve"> celebrant. </w:t>
      </w:r>
      <w:r>
        <w:rPr>
          <w:sz w:val="24"/>
          <w:szCs w:val="24"/>
        </w:rPr>
        <w:t>The archbishops of Reims were not able to assert their right to anoint the French king until the late 1200s</w:t>
      </w:r>
      <w:r w:rsidR="00CE282E">
        <w:rPr>
          <w:sz w:val="24"/>
          <w:szCs w:val="24"/>
        </w:rPr>
        <w:t>,</w:t>
      </w:r>
      <w:r>
        <w:rPr>
          <w:sz w:val="24"/>
          <w:szCs w:val="24"/>
        </w:rPr>
        <w:t xml:space="preserve"> </w:t>
      </w:r>
      <w:r w:rsidRPr="00AC4AC9">
        <w:rPr>
          <w:sz w:val="24"/>
          <w:szCs w:val="24"/>
        </w:rPr>
        <w:t xml:space="preserve">five hundred years after the </w:t>
      </w:r>
      <w:r>
        <w:rPr>
          <w:sz w:val="24"/>
          <w:szCs w:val="24"/>
        </w:rPr>
        <w:t xml:space="preserve">first </w:t>
      </w:r>
      <w:r w:rsidRPr="00AC4AC9">
        <w:rPr>
          <w:sz w:val="24"/>
          <w:szCs w:val="24"/>
        </w:rPr>
        <w:t xml:space="preserve">anointing of </w:t>
      </w:r>
      <w:r>
        <w:rPr>
          <w:sz w:val="24"/>
          <w:szCs w:val="24"/>
        </w:rPr>
        <w:t>a</w:t>
      </w:r>
      <w:r w:rsidRPr="00AC4AC9">
        <w:rPr>
          <w:sz w:val="24"/>
          <w:szCs w:val="24"/>
        </w:rPr>
        <w:t xml:space="preserve"> Frankish king.</w:t>
      </w:r>
      <w:r w:rsidRPr="00AC4AC9">
        <w:rPr>
          <w:rStyle w:val="FootnoteReference"/>
          <w:sz w:val="24"/>
          <w:szCs w:val="24"/>
        </w:rPr>
        <w:footnoteReference w:id="111"/>
      </w:r>
      <w:r w:rsidRPr="00AC4AC9">
        <w:rPr>
          <w:sz w:val="24"/>
          <w:szCs w:val="24"/>
        </w:rPr>
        <w:t xml:space="preserve"> </w:t>
      </w:r>
      <w:r>
        <w:rPr>
          <w:sz w:val="24"/>
          <w:szCs w:val="24"/>
        </w:rPr>
        <w:t xml:space="preserve">Meanwhile, the archbishops of Canterbury and archbishops of Cologne </w:t>
      </w:r>
      <w:r w:rsidR="008E0C87">
        <w:rPr>
          <w:sz w:val="24"/>
          <w:szCs w:val="24"/>
        </w:rPr>
        <w:t>did</w:t>
      </w:r>
      <w:r>
        <w:rPr>
          <w:sz w:val="24"/>
          <w:szCs w:val="24"/>
        </w:rPr>
        <w:t xml:space="preserve"> not assert their rights in England and the Holy Roman Empire until </w:t>
      </w:r>
      <w:r>
        <w:rPr>
          <w:sz w:val="24"/>
          <w:szCs w:val="24"/>
        </w:rPr>
        <w:lastRenderedPageBreak/>
        <w:t>the early fourteenth century</w:t>
      </w:r>
      <w:r w:rsidRPr="00AC4AC9">
        <w:rPr>
          <w:sz w:val="24"/>
          <w:szCs w:val="24"/>
        </w:rPr>
        <w:t>.</w:t>
      </w:r>
      <w:r w:rsidRPr="00AC4AC9">
        <w:rPr>
          <w:rStyle w:val="FootnoteReference"/>
          <w:sz w:val="24"/>
          <w:szCs w:val="24"/>
        </w:rPr>
        <w:footnoteReference w:id="112"/>
      </w:r>
      <w:r w:rsidRPr="00AC4AC9">
        <w:rPr>
          <w:sz w:val="24"/>
          <w:szCs w:val="24"/>
        </w:rPr>
        <w:t xml:space="preserve"> No </w:t>
      </w:r>
      <w:r>
        <w:rPr>
          <w:sz w:val="24"/>
          <w:szCs w:val="24"/>
        </w:rPr>
        <w:t xml:space="preserve">comparable </w:t>
      </w:r>
      <w:r w:rsidRPr="00AC4AC9">
        <w:rPr>
          <w:sz w:val="24"/>
          <w:szCs w:val="24"/>
        </w:rPr>
        <w:t>competition t</w:t>
      </w:r>
      <w:r>
        <w:rPr>
          <w:sz w:val="24"/>
          <w:szCs w:val="24"/>
        </w:rPr>
        <w:t>ook</w:t>
      </w:r>
      <w:r w:rsidRPr="00AC4AC9">
        <w:rPr>
          <w:sz w:val="24"/>
          <w:szCs w:val="24"/>
        </w:rPr>
        <w:t xml:space="preserve"> place in Scotland. The choice of the bishop of St Andrews was requested by the Scottish Crown</w:t>
      </w:r>
      <w:r>
        <w:rPr>
          <w:sz w:val="24"/>
          <w:szCs w:val="24"/>
        </w:rPr>
        <w:t xml:space="preserve">: </w:t>
      </w:r>
      <w:r w:rsidRPr="00AC4AC9">
        <w:rPr>
          <w:sz w:val="24"/>
          <w:szCs w:val="24"/>
        </w:rPr>
        <w:t xml:space="preserve">he was named in the original petition quoted </w:t>
      </w:r>
      <w:r>
        <w:rPr>
          <w:sz w:val="24"/>
          <w:szCs w:val="24"/>
        </w:rPr>
        <w:t>by</w:t>
      </w:r>
      <w:r w:rsidRPr="00AC4AC9">
        <w:rPr>
          <w:sz w:val="24"/>
          <w:szCs w:val="24"/>
        </w:rPr>
        <w:t xml:space="preserve"> the papal bull.</w:t>
      </w:r>
      <w:r w:rsidRPr="00AC4AC9">
        <w:rPr>
          <w:rStyle w:val="FootnoteReference"/>
          <w:sz w:val="24"/>
          <w:szCs w:val="24"/>
        </w:rPr>
        <w:footnoteReference w:id="113"/>
      </w:r>
      <w:r w:rsidRPr="00AC4AC9">
        <w:rPr>
          <w:sz w:val="24"/>
          <w:szCs w:val="24"/>
        </w:rPr>
        <w:t xml:space="preserve"> </w:t>
      </w:r>
      <w:r>
        <w:rPr>
          <w:sz w:val="24"/>
          <w:szCs w:val="24"/>
        </w:rPr>
        <w:t xml:space="preserve">Bishop Ben </w:t>
      </w:r>
      <w:r w:rsidRPr="00AC4AC9">
        <w:rPr>
          <w:sz w:val="24"/>
          <w:szCs w:val="24"/>
        </w:rPr>
        <w:t xml:space="preserve">was </w:t>
      </w:r>
      <w:r>
        <w:rPr>
          <w:sz w:val="24"/>
          <w:szCs w:val="24"/>
        </w:rPr>
        <w:t>the</w:t>
      </w:r>
      <w:r w:rsidRPr="00AC4AC9">
        <w:rPr>
          <w:sz w:val="24"/>
          <w:szCs w:val="24"/>
        </w:rPr>
        <w:t xml:space="preserve"> natural choice because</w:t>
      </w:r>
      <w:r w:rsidR="00880CDC">
        <w:rPr>
          <w:sz w:val="24"/>
          <w:szCs w:val="24"/>
        </w:rPr>
        <w:t>,</w:t>
      </w:r>
      <w:r w:rsidRPr="00AC4AC9">
        <w:rPr>
          <w:sz w:val="24"/>
          <w:szCs w:val="24"/>
        </w:rPr>
        <w:t xml:space="preserve"> </w:t>
      </w:r>
      <w:r w:rsidR="00880CDC">
        <w:rPr>
          <w:sz w:val="24"/>
          <w:szCs w:val="24"/>
        </w:rPr>
        <w:t>b</w:t>
      </w:r>
      <w:r w:rsidR="00225270">
        <w:rPr>
          <w:sz w:val="24"/>
          <w:szCs w:val="24"/>
        </w:rPr>
        <w:t xml:space="preserve">efore his election, </w:t>
      </w:r>
      <w:r w:rsidR="00880CDC">
        <w:rPr>
          <w:sz w:val="24"/>
          <w:szCs w:val="24"/>
        </w:rPr>
        <w:t>he</w:t>
      </w:r>
      <w:r w:rsidR="00225270">
        <w:rPr>
          <w:sz w:val="24"/>
          <w:szCs w:val="24"/>
        </w:rPr>
        <w:t xml:space="preserve"> had been an archdeacon at St Andrews, under the patronage of </w:t>
      </w:r>
      <w:r w:rsidR="00880CDC">
        <w:rPr>
          <w:sz w:val="24"/>
          <w:szCs w:val="24"/>
        </w:rPr>
        <w:t xml:space="preserve">Robert’s great ally, </w:t>
      </w:r>
      <w:r w:rsidR="00225270">
        <w:rPr>
          <w:sz w:val="24"/>
          <w:szCs w:val="24"/>
        </w:rPr>
        <w:t xml:space="preserve">Bishop William Lamberton, </w:t>
      </w:r>
      <w:r w:rsidR="00FE4107">
        <w:rPr>
          <w:sz w:val="24"/>
          <w:szCs w:val="24"/>
        </w:rPr>
        <w:t xml:space="preserve">had worked as an envoy in 1325 and 1326 in France alongside Adam de Moray (David’s chancellor by 1331), and </w:t>
      </w:r>
      <w:r w:rsidR="00225270">
        <w:rPr>
          <w:sz w:val="24"/>
          <w:szCs w:val="24"/>
        </w:rPr>
        <w:t xml:space="preserve">perhaps had connections to </w:t>
      </w:r>
      <w:r w:rsidR="00FE4107">
        <w:rPr>
          <w:sz w:val="24"/>
          <w:szCs w:val="24"/>
        </w:rPr>
        <w:t>Randolph’s earldom of Moray, where he may have been a canon.</w:t>
      </w:r>
      <w:r w:rsidR="00FE4107">
        <w:rPr>
          <w:rStyle w:val="FootnoteReference"/>
          <w:sz w:val="24"/>
          <w:szCs w:val="24"/>
        </w:rPr>
        <w:footnoteReference w:id="114"/>
      </w:r>
      <w:r w:rsidR="00225270">
        <w:rPr>
          <w:sz w:val="24"/>
          <w:szCs w:val="24"/>
        </w:rPr>
        <w:t xml:space="preserve"> </w:t>
      </w:r>
      <w:r w:rsidR="00880CDC">
        <w:rPr>
          <w:sz w:val="24"/>
          <w:szCs w:val="24"/>
        </w:rPr>
        <w:t xml:space="preserve">More significantly, he was well known at the papal curia, where he had been Robert I’s resident envoy between </w:t>
      </w:r>
      <w:r w:rsidR="00880CDC">
        <w:rPr>
          <w:i/>
          <w:iCs/>
          <w:sz w:val="24"/>
          <w:szCs w:val="24"/>
        </w:rPr>
        <w:t xml:space="preserve">ca. </w:t>
      </w:r>
      <w:r w:rsidR="00880CDC">
        <w:rPr>
          <w:sz w:val="24"/>
          <w:szCs w:val="24"/>
        </w:rPr>
        <w:t>1326 and 1328, a papal chaplain, and had negotiated the lifting of Robert’s excommunication.</w:t>
      </w:r>
      <w:r w:rsidR="00880CDC">
        <w:rPr>
          <w:rStyle w:val="FootnoteReference"/>
          <w:sz w:val="24"/>
          <w:szCs w:val="24"/>
        </w:rPr>
        <w:footnoteReference w:id="115"/>
      </w:r>
      <w:r w:rsidR="00880CDC" w:rsidRPr="00880CDC">
        <w:rPr>
          <w:sz w:val="24"/>
          <w:szCs w:val="24"/>
        </w:rPr>
        <w:t xml:space="preserve"> </w:t>
      </w:r>
      <w:r w:rsidR="00880CDC">
        <w:rPr>
          <w:sz w:val="24"/>
          <w:szCs w:val="24"/>
        </w:rPr>
        <w:t xml:space="preserve">Ben’s </w:t>
      </w:r>
      <w:r w:rsidR="00880CDC" w:rsidRPr="00AC4AC9">
        <w:rPr>
          <w:sz w:val="24"/>
          <w:szCs w:val="24"/>
        </w:rPr>
        <w:t xml:space="preserve">predecessors had </w:t>
      </w:r>
      <w:r w:rsidR="00880CDC">
        <w:rPr>
          <w:sz w:val="24"/>
          <w:szCs w:val="24"/>
        </w:rPr>
        <w:t xml:space="preserve">also </w:t>
      </w:r>
      <w:r w:rsidR="00880CDC" w:rsidRPr="00AC4AC9">
        <w:rPr>
          <w:sz w:val="24"/>
          <w:szCs w:val="24"/>
        </w:rPr>
        <w:t>long claimed pre-eminence over the Scottish Church using the unofficial title of ‘bishop of Scotland’.</w:t>
      </w:r>
      <w:r w:rsidR="00880CDC" w:rsidRPr="00AC4AC9">
        <w:rPr>
          <w:rStyle w:val="FootnoteReference"/>
          <w:sz w:val="24"/>
          <w:szCs w:val="24"/>
        </w:rPr>
        <w:footnoteReference w:id="116"/>
      </w:r>
      <w:r w:rsidR="00880CDC" w:rsidRPr="00AC4AC9">
        <w:rPr>
          <w:sz w:val="24"/>
          <w:szCs w:val="24"/>
        </w:rPr>
        <w:t xml:space="preserve"> </w:t>
      </w:r>
      <w:r w:rsidRPr="00AC4AC9">
        <w:rPr>
          <w:sz w:val="24"/>
          <w:szCs w:val="24"/>
        </w:rPr>
        <w:t>The role of kingmaker added weight to this claim</w:t>
      </w:r>
      <w:r>
        <w:rPr>
          <w:sz w:val="24"/>
          <w:szCs w:val="24"/>
        </w:rPr>
        <w:t xml:space="preserve">, enhancing the </w:t>
      </w:r>
      <w:r w:rsidRPr="00AC4AC9">
        <w:rPr>
          <w:sz w:val="24"/>
          <w:szCs w:val="24"/>
        </w:rPr>
        <w:t xml:space="preserve">bishop’s status </w:t>
      </w:r>
      <w:r>
        <w:rPr>
          <w:sz w:val="24"/>
          <w:szCs w:val="24"/>
        </w:rPr>
        <w:t xml:space="preserve">as the premier prelate, </w:t>
      </w:r>
      <w:r w:rsidRPr="00AC4AC9">
        <w:rPr>
          <w:sz w:val="24"/>
          <w:szCs w:val="24"/>
        </w:rPr>
        <w:t xml:space="preserve">because David, the ritual and its participants were subject to </w:t>
      </w:r>
      <w:r>
        <w:rPr>
          <w:sz w:val="24"/>
          <w:szCs w:val="24"/>
        </w:rPr>
        <w:t>his</w:t>
      </w:r>
      <w:r w:rsidRPr="00AC4AC9">
        <w:rPr>
          <w:sz w:val="24"/>
          <w:szCs w:val="24"/>
        </w:rPr>
        <w:t xml:space="preserve"> authority during </w:t>
      </w:r>
      <w:r>
        <w:rPr>
          <w:sz w:val="24"/>
          <w:szCs w:val="24"/>
        </w:rPr>
        <w:t>the</w:t>
      </w:r>
      <w:r w:rsidRPr="00AC4AC9">
        <w:rPr>
          <w:sz w:val="24"/>
          <w:szCs w:val="24"/>
        </w:rPr>
        <w:t xml:space="preserve"> inauguration. The significance of</w:t>
      </w:r>
      <w:r>
        <w:rPr>
          <w:sz w:val="24"/>
          <w:szCs w:val="24"/>
        </w:rPr>
        <w:t xml:space="preserve"> the bishop</w:t>
      </w:r>
      <w:r w:rsidRPr="00AC4AC9">
        <w:rPr>
          <w:sz w:val="24"/>
          <w:szCs w:val="24"/>
        </w:rPr>
        <w:t xml:space="preserve"> is underlined by the bull’s terms if he was unavailable or unwilling to perform the anointing</w:t>
      </w:r>
      <w:r>
        <w:rPr>
          <w:sz w:val="24"/>
          <w:szCs w:val="24"/>
        </w:rPr>
        <w:t>: t</w:t>
      </w:r>
      <w:r w:rsidRPr="00AC4AC9">
        <w:rPr>
          <w:sz w:val="24"/>
          <w:szCs w:val="24"/>
        </w:rPr>
        <w:t xml:space="preserve">he Scots’ petition </w:t>
      </w:r>
      <w:r w:rsidR="008E0C87">
        <w:rPr>
          <w:sz w:val="24"/>
          <w:szCs w:val="24"/>
        </w:rPr>
        <w:t xml:space="preserve">attempted to leave </w:t>
      </w:r>
      <w:r w:rsidRPr="00AC4AC9">
        <w:rPr>
          <w:sz w:val="24"/>
          <w:szCs w:val="24"/>
        </w:rPr>
        <w:t>this role open for any other prelate to perform.</w:t>
      </w:r>
      <w:r w:rsidRPr="00AC4AC9">
        <w:rPr>
          <w:rStyle w:val="FootnoteReference"/>
          <w:sz w:val="24"/>
          <w:szCs w:val="24"/>
        </w:rPr>
        <w:footnoteReference w:id="117"/>
      </w:r>
      <w:r w:rsidRPr="00AC4AC9">
        <w:rPr>
          <w:sz w:val="24"/>
          <w:szCs w:val="24"/>
        </w:rPr>
        <w:t xml:space="preserve"> However, the pope specified that </w:t>
      </w:r>
      <w:r w:rsidR="008E0C87">
        <w:rPr>
          <w:sz w:val="24"/>
          <w:szCs w:val="24"/>
        </w:rPr>
        <w:t xml:space="preserve">only </w:t>
      </w:r>
      <w:r w:rsidRPr="00AC4AC9">
        <w:rPr>
          <w:sz w:val="24"/>
          <w:szCs w:val="24"/>
        </w:rPr>
        <w:t xml:space="preserve">the bishop of Glasgow </w:t>
      </w:r>
      <w:r w:rsidR="00062AFC">
        <w:rPr>
          <w:sz w:val="24"/>
          <w:szCs w:val="24"/>
        </w:rPr>
        <w:t>c</w:t>
      </w:r>
      <w:r w:rsidRPr="00AC4AC9">
        <w:rPr>
          <w:sz w:val="24"/>
          <w:szCs w:val="24"/>
        </w:rPr>
        <w:t xml:space="preserve">ould </w:t>
      </w:r>
      <w:r w:rsidR="008E0C87">
        <w:rPr>
          <w:sz w:val="24"/>
          <w:szCs w:val="24"/>
        </w:rPr>
        <w:t>replace him</w:t>
      </w:r>
      <w:r w:rsidRPr="00AC4AC9">
        <w:rPr>
          <w:sz w:val="24"/>
          <w:szCs w:val="24"/>
        </w:rPr>
        <w:t>, but, even in this case, he would require assistance ‘</w:t>
      </w:r>
      <w:proofErr w:type="spellStart"/>
      <w:r w:rsidRPr="00763E19">
        <w:rPr>
          <w:i/>
          <w:iCs/>
          <w:sz w:val="24"/>
          <w:szCs w:val="24"/>
        </w:rPr>
        <w:t>decenti</w:t>
      </w:r>
      <w:proofErr w:type="spellEnd"/>
      <w:r w:rsidRPr="00763E19">
        <w:rPr>
          <w:i/>
          <w:iCs/>
          <w:sz w:val="24"/>
          <w:szCs w:val="24"/>
        </w:rPr>
        <w:t xml:space="preserve"> </w:t>
      </w:r>
      <w:proofErr w:type="spellStart"/>
      <w:r w:rsidRPr="00763E19">
        <w:rPr>
          <w:i/>
          <w:iCs/>
          <w:sz w:val="24"/>
          <w:szCs w:val="24"/>
        </w:rPr>
        <w:t>episcoporum</w:t>
      </w:r>
      <w:proofErr w:type="spellEnd"/>
      <w:r w:rsidRPr="00763E19">
        <w:rPr>
          <w:i/>
          <w:iCs/>
          <w:sz w:val="24"/>
          <w:szCs w:val="24"/>
        </w:rPr>
        <w:t xml:space="preserve"> </w:t>
      </w:r>
      <w:proofErr w:type="spellStart"/>
      <w:r w:rsidRPr="00763E19">
        <w:rPr>
          <w:i/>
          <w:iCs/>
          <w:sz w:val="24"/>
          <w:szCs w:val="24"/>
        </w:rPr>
        <w:t>numero</w:t>
      </w:r>
      <w:proofErr w:type="spellEnd"/>
      <w:r w:rsidRPr="00AC4AC9">
        <w:rPr>
          <w:sz w:val="24"/>
          <w:szCs w:val="24"/>
        </w:rPr>
        <w:t>’</w:t>
      </w:r>
      <w:r w:rsidRPr="00AC4AC9">
        <w:rPr>
          <w:i/>
          <w:iCs/>
          <w:sz w:val="24"/>
          <w:szCs w:val="24"/>
        </w:rPr>
        <w:t xml:space="preserve"> </w:t>
      </w:r>
      <w:r w:rsidRPr="00AC4AC9">
        <w:rPr>
          <w:sz w:val="24"/>
          <w:szCs w:val="24"/>
        </w:rPr>
        <w:t>to compensate for the bishop of St Andrews’ absence.</w:t>
      </w:r>
      <w:r w:rsidR="003C5364">
        <w:rPr>
          <w:rStyle w:val="FootnoteReference"/>
          <w:sz w:val="24"/>
          <w:szCs w:val="24"/>
        </w:rPr>
        <w:footnoteReference w:id="118"/>
      </w:r>
      <w:r w:rsidRPr="00AC4AC9">
        <w:rPr>
          <w:sz w:val="24"/>
          <w:szCs w:val="24"/>
        </w:rPr>
        <w:t xml:space="preserve"> This provision was probably included to ensure that the rite was not abused by </w:t>
      </w:r>
      <w:r w:rsidR="008E0C87">
        <w:rPr>
          <w:sz w:val="24"/>
          <w:szCs w:val="24"/>
        </w:rPr>
        <w:t xml:space="preserve">those seeking </w:t>
      </w:r>
      <w:r w:rsidRPr="00AC4AC9">
        <w:rPr>
          <w:sz w:val="24"/>
          <w:szCs w:val="24"/>
        </w:rPr>
        <w:t xml:space="preserve">the throne without episcopal consent. </w:t>
      </w:r>
      <w:r w:rsidR="008E0C87">
        <w:rPr>
          <w:sz w:val="24"/>
          <w:szCs w:val="24"/>
        </w:rPr>
        <w:t xml:space="preserve">Indeed, it </w:t>
      </w:r>
      <w:r w:rsidRPr="00AC4AC9">
        <w:rPr>
          <w:sz w:val="24"/>
          <w:szCs w:val="24"/>
        </w:rPr>
        <w:t>underline</w:t>
      </w:r>
      <w:r>
        <w:rPr>
          <w:sz w:val="24"/>
          <w:szCs w:val="24"/>
        </w:rPr>
        <w:t>s</w:t>
      </w:r>
      <w:r w:rsidRPr="00AC4AC9">
        <w:rPr>
          <w:sz w:val="24"/>
          <w:szCs w:val="24"/>
        </w:rPr>
        <w:t xml:space="preserve"> the significance of Bishop Ben</w:t>
      </w:r>
      <w:r>
        <w:rPr>
          <w:sz w:val="24"/>
          <w:szCs w:val="24"/>
        </w:rPr>
        <w:t xml:space="preserve">’s </w:t>
      </w:r>
      <w:r w:rsidR="008E0C87">
        <w:rPr>
          <w:sz w:val="24"/>
          <w:szCs w:val="24"/>
        </w:rPr>
        <w:t xml:space="preserve">role and his </w:t>
      </w:r>
      <w:r>
        <w:rPr>
          <w:sz w:val="24"/>
          <w:szCs w:val="24"/>
        </w:rPr>
        <w:t>ab</w:t>
      </w:r>
      <w:r w:rsidRPr="00AC4AC9">
        <w:rPr>
          <w:sz w:val="24"/>
          <w:szCs w:val="24"/>
        </w:rPr>
        <w:t xml:space="preserve">sence </w:t>
      </w:r>
      <w:r w:rsidR="00062AFC">
        <w:rPr>
          <w:sz w:val="24"/>
          <w:szCs w:val="24"/>
        </w:rPr>
        <w:t>at the inauguration of Edward Balliol (David’s rival who sought to usurp the throne) less than a year later.</w:t>
      </w:r>
      <w:r w:rsidR="008E0C87">
        <w:rPr>
          <w:rStyle w:val="FootnoteReference"/>
          <w:sz w:val="24"/>
          <w:szCs w:val="24"/>
        </w:rPr>
        <w:footnoteReference w:id="119"/>
      </w:r>
      <w:r w:rsidRPr="00AC4AC9">
        <w:rPr>
          <w:sz w:val="24"/>
          <w:szCs w:val="24"/>
        </w:rPr>
        <w:t xml:space="preserve"> </w:t>
      </w:r>
    </w:p>
    <w:p w14:paraId="0E0E7B09" w14:textId="460C61BC" w:rsidR="000E39A6" w:rsidRDefault="002D76EB" w:rsidP="006B56A8">
      <w:pPr>
        <w:spacing w:line="360" w:lineRule="auto"/>
        <w:jc w:val="both"/>
        <w:rPr>
          <w:sz w:val="24"/>
          <w:szCs w:val="24"/>
        </w:rPr>
      </w:pPr>
      <w:r w:rsidRPr="00AC4AC9">
        <w:rPr>
          <w:sz w:val="24"/>
          <w:szCs w:val="24"/>
        </w:rPr>
        <w:tab/>
      </w:r>
      <w:r w:rsidR="002D3E0E">
        <w:rPr>
          <w:sz w:val="24"/>
          <w:szCs w:val="24"/>
        </w:rPr>
        <w:t>As several scholars have discussed, rituals’ locations were bearers of meaning.</w:t>
      </w:r>
      <w:r w:rsidR="002D3E0E">
        <w:rPr>
          <w:rStyle w:val="FootnoteReference"/>
          <w:sz w:val="24"/>
          <w:szCs w:val="24"/>
        </w:rPr>
        <w:footnoteReference w:id="120"/>
      </w:r>
      <w:r w:rsidR="000E39A6">
        <w:rPr>
          <w:sz w:val="24"/>
          <w:szCs w:val="24"/>
        </w:rPr>
        <w:t xml:space="preserve"> </w:t>
      </w:r>
      <w:r w:rsidRPr="00AC4AC9">
        <w:rPr>
          <w:sz w:val="24"/>
          <w:szCs w:val="24"/>
        </w:rPr>
        <w:t xml:space="preserve">The location of the inauguration in the 1200s was </w:t>
      </w:r>
      <w:r w:rsidR="000E39A6">
        <w:rPr>
          <w:sz w:val="24"/>
          <w:szCs w:val="24"/>
        </w:rPr>
        <w:t xml:space="preserve">atop the Moot Hill at Scone; the traditional site </w:t>
      </w:r>
      <w:r w:rsidR="000E39A6">
        <w:rPr>
          <w:sz w:val="24"/>
          <w:szCs w:val="24"/>
        </w:rPr>
        <w:lastRenderedPageBreak/>
        <w:t xml:space="preserve">of Scottish inaugurations and the ‘legal </w:t>
      </w:r>
      <w:r w:rsidR="000E39A6">
        <w:rPr>
          <w:i/>
          <w:iCs/>
          <w:sz w:val="24"/>
          <w:szCs w:val="24"/>
        </w:rPr>
        <w:t>caput</w:t>
      </w:r>
      <w:r w:rsidR="000E39A6">
        <w:rPr>
          <w:sz w:val="24"/>
          <w:szCs w:val="24"/>
        </w:rPr>
        <w:t>’ of the kingdom</w:t>
      </w:r>
      <w:r w:rsidRPr="00AC4AC9">
        <w:rPr>
          <w:sz w:val="24"/>
          <w:szCs w:val="24"/>
        </w:rPr>
        <w:t>.</w:t>
      </w:r>
      <w:r w:rsidR="000E39A6">
        <w:rPr>
          <w:rStyle w:val="FootnoteReference"/>
          <w:sz w:val="24"/>
          <w:szCs w:val="24"/>
        </w:rPr>
        <w:footnoteReference w:id="121"/>
      </w:r>
      <w:r w:rsidRPr="00AC4AC9">
        <w:rPr>
          <w:sz w:val="24"/>
          <w:szCs w:val="24"/>
        </w:rPr>
        <w:t xml:space="preserve"> Duncan pointed to the </w:t>
      </w:r>
      <w:r w:rsidR="00DB289D">
        <w:rPr>
          <w:sz w:val="24"/>
          <w:szCs w:val="24"/>
        </w:rPr>
        <w:t xml:space="preserve">Abbey’s </w:t>
      </w:r>
      <w:r w:rsidRPr="00AC4AC9">
        <w:rPr>
          <w:sz w:val="24"/>
          <w:szCs w:val="24"/>
        </w:rPr>
        <w:t>seals as evidence of this, arguing that the dappled background surrounding the king’s figure indicated a location outside.</w:t>
      </w:r>
      <w:r w:rsidRPr="00AC4AC9">
        <w:rPr>
          <w:rStyle w:val="FootnoteReference"/>
          <w:sz w:val="24"/>
          <w:szCs w:val="24"/>
        </w:rPr>
        <w:footnoteReference w:id="122"/>
      </w:r>
      <w:r w:rsidRPr="00AC4AC9">
        <w:rPr>
          <w:sz w:val="24"/>
          <w:szCs w:val="24"/>
        </w:rPr>
        <w:t xml:space="preserve"> </w:t>
      </w:r>
      <w:r w:rsidR="00FC248D">
        <w:rPr>
          <w:sz w:val="24"/>
          <w:szCs w:val="24"/>
        </w:rPr>
        <w:t>Later, t</w:t>
      </w:r>
      <w:r>
        <w:rPr>
          <w:sz w:val="24"/>
          <w:szCs w:val="24"/>
        </w:rPr>
        <w:t xml:space="preserve">he inauguration’s venue changed from the nearby Moot Hill to Scone Abbey’s churchyard </w:t>
      </w:r>
      <w:r w:rsidRPr="00AC4AC9">
        <w:rPr>
          <w:sz w:val="24"/>
          <w:szCs w:val="24"/>
        </w:rPr>
        <w:t>in 1249 and then to the church itself in 1292 for John Balliol’s elevation.</w:t>
      </w:r>
      <w:r w:rsidRPr="00AC4AC9">
        <w:rPr>
          <w:rStyle w:val="FootnoteReference"/>
          <w:sz w:val="24"/>
          <w:szCs w:val="24"/>
        </w:rPr>
        <w:footnoteReference w:id="123"/>
      </w:r>
      <w:r w:rsidR="00FF0EEC">
        <w:rPr>
          <w:sz w:val="24"/>
          <w:szCs w:val="24"/>
        </w:rPr>
        <w:t xml:space="preserve"> </w:t>
      </w:r>
      <w:r w:rsidRPr="00AC4AC9">
        <w:rPr>
          <w:sz w:val="24"/>
          <w:szCs w:val="24"/>
        </w:rPr>
        <w:t>In 1331, the Scottish chronicles offer no precise location, simply stating that the ritual took place ‘at Scone’, or that David went ‘</w:t>
      </w:r>
      <w:r w:rsidRPr="00763E19">
        <w:rPr>
          <w:i/>
          <w:iCs/>
          <w:sz w:val="24"/>
          <w:szCs w:val="24"/>
        </w:rPr>
        <w:t xml:space="preserve">with a </w:t>
      </w:r>
      <w:proofErr w:type="spellStart"/>
      <w:r w:rsidRPr="00763E19">
        <w:rPr>
          <w:i/>
          <w:iCs/>
          <w:sz w:val="24"/>
          <w:szCs w:val="24"/>
        </w:rPr>
        <w:t>ryall</w:t>
      </w:r>
      <w:proofErr w:type="spellEnd"/>
      <w:r w:rsidRPr="00763E19">
        <w:rPr>
          <w:i/>
          <w:iCs/>
          <w:sz w:val="24"/>
          <w:szCs w:val="24"/>
        </w:rPr>
        <w:t xml:space="preserve"> court to Scone</w:t>
      </w:r>
      <w:r w:rsidRPr="00AC4AC9">
        <w:rPr>
          <w:sz w:val="24"/>
          <w:szCs w:val="24"/>
        </w:rPr>
        <w:t>’.</w:t>
      </w:r>
      <w:r w:rsidRPr="00AC4AC9">
        <w:rPr>
          <w:rStyle w:val="FootnoteReference"/>
          <w:sz w:val="24"/>
          <w:szCs w:val="24"/>
        </w:rPr>
        <w:footnoteReference w:id="124"/>
      </w:r>
      <w:r w:rsidRPr="00AC4AC9">
        <w:rPr>
          <w:sz w:val="24"/>
          <w:szCs w:val="24"/>
        </w:rPr>
        <w:t xml:space="preserve"> Only the English chronicle of Meaux Abbey specifies that David ‘</w:t>
      </w:r>
      <w:proofErr w:type="spellStart"/>
      <w:r w:rsidRPr="00763E19">
        <w:rPr>
          <w:i/>
          <w:iCs/>
          <w:sz w:val="24"/>
          <w:szCs w:val="24"/>
        </w:rPr>
        <w:t>iacentem</w:t>
      </w:r>
      <w:proofErr w:type="spellEnd"/>
      <w:r w:rsidRPr="00763E19">
        <w:rPr>
          <w:i/>
          <w:iCs/>
          <w:sz w:val="24"/>
          <w:szCs w:val="24"/>
        </w:rPr>
        <w:t xml:space="preserve"> </w:t>
      </w:r>
      <w:proofErr w:type="spellStart"/>
      <w:r w:rsidRPr="00763E19">
        <w:rPr>
          <w:i/>
          <w:iCs/>
          <w:sz w:val="24"/>
          <w:szCs w:val="24"/>
        </w:rPr>
        <w:t>iuxta</w:t>
      </w:r>
      <w:proofErr w:type="spellEnd"/>
      <w:r w:rsidRPr="00763E19">
        <w:rPr>
          <w:i/>
          <w:iCs/>
          <w:sz w:val="24"/>
          <w:szCs w:val="24"/>
        </w:rPr>
        <w:t xml:space="preserve"> magnum </w:t>
      </w:r>
      <w:proofErr w:type="spellStart"/>
      <w:r w:rsidRPr="00763E19">
        <w:rPr>
          <w:i/>
          <w:iCs/>
          <w:sz w:val="24"/>
          <w:szCs w:val="24"/>
        </w:rPr>
        <w:t>altare</w:t>
      </w:r>
      <w:proofErr w:type="spellEnd"/>
      <w:r w:rsidRPr="00763E19">
        <w:rPr>
          <w:i/>
          <w:iCs/>
          <w:sz w:val="24"/>
          <w:szCs w:val="24"/>
        </w:rPr>
        <w:t xml:space="preserve"> in ecclesia </w:t>
      </w:r>
      <w:proofErr w:type="spellStart"/>
      <w:r w:rsidRPr="00763E19">
        <w:rPr>
          <w:i/>
          <w:iCs/>
          <w:sz w:val="24"/>
          <w:szCs w:val="24"/>
        </w:rPr>
        <w:t>monarchorum</w:t>
      </w:r>
      <w:proofErr w:type="spellEnd"/>
      <w:r w:rsidRPr="00763E19">
        <w:rPr>
          <w:i/>
          <w:iCs/>
          <w:sz w:val="24"/>
          <w:szCs w:val="24"/>
        </w:rPr>
        <w:t xml:space="preserve"> apud </w:t>
      </w:r>
      <w:proofErr w:type="spellStart"/>
      <w:r w:rsidRPr="00763E19">
        <w:rPr>
          <w:i/>
          <w:iCs/>
          <w:sz w:val="24"/>
          <w:szCs w:val="24"/>
        </w:rPr>
        <w:t>Sconam</w:t>
      </w:r>
      <w:proofErr w:type="spellEnd"/>
      <w:r w:rsidRPr="00AC4AC9">
        <w:rPr>
          <w:sz w:val="24"/>
          <w:szCs w:val="24"/>
        </w:rPr>
        <w:t>’.</w:t>
      </w:r>
      <w:r w:rsidRPr="00AC4AC9">
        <w:rPr>
          <w:rStyle w:val="FootnoteReference"/>
          <w:sz w:val="24"/>
          <w:szCs w:val="24"/>
        </w:rPr>
        <w:footnoteReference w:id="125"/>
      </w:r>
      <w:r w:rsidRPr="00AC4AC9">
        <w:rPr>
          <w:sz w:val="24"/>
          <w:szCs w:val="24"/>
        </w:rPr>
        <w:t xml:space="preserve"> The chronicler may, however, have added this detail to set up his punchline of the king’s ‘despoilation’ of the sacred space. </w:t>
      </w:r>
      <w:r w:rsidR="000E39A6">
        <w:rPr>
          <w:sz w:val="24"/>
          <w:szCs w:val="24"/>
        </w:rPr>
        <w:t>I</w:t>
      </w:r>
      <w:r w:rsidRPr="00AC4AC9">
        <w:rPr>
          <w:sz w:val="24"/>
          <w:szCs w:val="24"/>
        </w:rPr>
        <w:t xml:space="preserve">t seems probable that the anointing rite </w:t>
      </w:r>
      <w:r w:rsidR="00FF0EEC">
        <w:rPr>
          <w:sz w:val="24"/>
          <w:szCs w:val="24"/>
        </w:rPr>
        <w:t xml:space="preserve">made the indoor location of the abbey church necessary because </w:t>
      </w:r>
      <w:r w:rsidRPr="00AC4AC9">
        <w:rPr>
          <w:sz w:val="24"/>
          <w:szCs w:val="24"/>
        </w:rPr>
        <w:t xml:space="preserve">the initiand had to be hidden from view when </w:t>
      </w:r>
      <w:r>
        <w:rPr>
          <w:sz w:val="24"/>
          <w:szCs w:val="24"/>
        </w:rPr>
        <w:t>oil</w:t>
      </w:r>
      <w:r w:rsidRPr="00AC4AC9">
        <w:rPr>
          <w:sz w:val="24"/>
          <w:szCs w:val="24"/>
        </w:rPr>
        <w:t xml:space="preserve"> was applied.</w:t>
      </w:r>
      <w:r w:rsidRPr="00AC4AC9">
        <w:rPr>
          <w:rStyle w:val="FootnoteReference"/>
          <w:sz w:val="24"/>
          <w:szCs w:val="24"/>
        </w:rPr>
        <w:footnoteReference w:id="126"/>
      </w:r>
      <w:r w:rsidRPr="00AC4AC9">
        <w:rPr>
          <w:sz w:val="24"/>
          <w:szCs w:val="24"/>
        </w:rPr>
        <w:t xml:space="preserve"> In 1377, Richard II was hidden from public view by golden cloth and undressed from the waist up before being anointed.</w:t>
      </w:r>
      <w:r w:rsidRPr="00AC4AC9">
        <w:rPr>
          <w:rStyle w:val="FootnoteReference"/>
          <w:sz w:val="24"/>
          <w:szCs w:val="24"/>
        </w:rPr>
        <w:footnoteReference w:id="127"/>
      </w:r>
      <w:r w:rsidRPr="00AC4AC9">
        <w:rPr>
          <w:sz w:val="24"/>
          <w:szCs w:val="24"/>
        </w:rPr>
        <w:t xml:space="preserve"> </w:t>
      </w:r>
      <w:r w:rsidR="00E53D41">
        <w:rPr>
          <w:sz w:val="24"/>
          <w:szCs w:val="24"/>
        </w:rPr>
        <w:t xml:space="preserve">Since unction required the king to undress, </w:t>
      </w:r>
      <w:r w:rsidR="000E39A6">
        <w:rPr>
          <w:sz w:val="24"/>
          <w:szCs w:val="24"/>
        </w:rPr>
        <w:t>i</w:t>
      </w:r>
      <w:r w:rsidRPr="00AC4AC9">
        <w:rPr>
          <w:sz w:val="24"/>
          <w:szCs w:val="24"/>
        </w:rPr>
        <w:t>t would have been impractical to perform this outside</w:t>
      </w:r>
      <w:r w:rsidR="00E53D41">
        <w:rPr>
          <w:sz w:val="24"/>
          <w:szCs w:val="24"/>
        </w:rPr>
        <w:t xml:space="preserve"> in a setting exposed to the elements</w:t>
      </w:r>
      <w:r w:rsidRPr="00AC4AC9">
        <w:rPr>
          <w:sz w:val="24"/>
          <w:szCs w:val="24"/>
        </w:rPr>
        <w:t>, while such a holy act required the spiritual location of the church</w:t>
      </w:r>
      <w:r w:rsidR="000E39A6">
        <w:rPr>
          <w:sz w:val="24"/>
          <w:szCs w:val="24"/>
        </w:rPr>
        <w:t>, since anointing was a sacrament</w:t>
      </w:r>
      <w:r w:rsidR="00D20C65">
        <w:rPr>
          <w:sz w:val="24"/>
          <w:szCs w:val="24"/>
        </w:rPr>
        <w:t xml:space="preserve">. This was </w:t>
      </w:r>
      <w:r w:rsidR="000E39A6">
        <w:rPr>
          <w:sz w:val="24"/>
          <w:szCs w:val="24"/>
        </w:rPr>
        <w:t xml:space="preserve">probably performed in the chancel before the altar: the most sacred space within the church. </w:t>
      </w:r>
      <w:r w:rsidRPr="00AC4AC9">
        <w:rPr>
          <w:sz w:val="24"/>
          <w:szCs w:val="24"/>
        </w:rPr>
        <w:t>In this location, as Broun argues, the whole ritual and not just the figure of the king was associated with God.</w:t>
      </w:r>
      <w:r w:rsidRPr="00AC4AC9">
        <w:rPr>
          <w:rStyle w:val="FootnoteReference"/>
          <w:sz w:val="24"/>
          <w:szCs w:val="24"/>
        </w:rPr>
        <w:footnoteReference w:id="128"/>
      </w:r>
      <w:r w:rsidRPr="00AC4AC9">
        <w:rPr>
          <w:sz w:val="24"/>
          <w:szCs w:val="24"/>
        </w:rPr>
        <w:t xml:space="preserve"> </w:t>
      </w:r>
      <w:r w:rsidR="000E39A6" w:rsidRPr="00AC4AC9">
        <w:rPr>
          <w:sz w:val="24"/>
          <w:szCs w:val="24"/>
        </w:rPr>
        <w:t xml:space="preserve">The church also emphasised the </w:t>
      </w:r>
      <w:r w:rsidR="000E39A6">
        <w:rPr>
          <w:sz w:val="24"/>
          <w:szCs w:val="24"/>
        </w:rPr>
        <w:t xml:space="preserve">ritual’s </w:t>
      </w:r>
      <w:r w:rsidR="000E39A6" w:rsidRPr="00AC4AC9">
        <w:rPr>
          <w:sz w:val="24"/>
          <w:szCs w:val="24"/>
        </w:rPr>
        <w:t>transformative quality</w:t>
      </w:r>
      <w:r w:rsidR="000E39A6">
        <w:rPr>
          <w:sz w:val="24"/>
          <w:szCs w:val="24"/>
        </w:rPr>
        <w:t>:</w:t>
      </w:r>
      <w:r w:rsidR="000E39A6" w:rsidRPr="00AC4AC9">
        <w:rPr>
          <w:sz w:val="24"/>
          <w:szCs w:val="24"/>
        </w:rPr>
        <w:t xml:space="preserve"> anthropologists have noted how the movement through church doors into the liminal space of the performance, and later exit through them, emphasises the ‘betwixt and between’ status of the candidate.</w:t>
      </w:r>
      <w:r w:rsidR="000E39A6" w:rsidRPr="00AC4AC9">
        <w:rPr>
          <w:rStyle w:val="FootnoteReference"/>
          <w:sz w:val="24"/>
          <w:szCs w:val="24"/>
        </w:rPr>
        <w:footnoteReference w:id="129"/>
      </w:r>
      <w:r w:rsidR="000E39A6" w:rsidRPr="00AC4AC9">
        <w:rPr>
          <w:sz w:val="24"/>
          <w:szCs w:val="24"/>
        </w:rPr>
        <w:t xml:space="preserve"> </w:t>
      </w:r>
      <w:r w:rsidR="007175DF">
        <w:rPr>
          <w:sz w:val="24"/>
          <w:szCs w:val="24"/>
        </w:rPr>
        <w:t>Meanwhile, Frances Andrews suggests that medieval audiences internalised the ‘specialness’ of the church setting by modifying their behaviour while within the church.</w:t>
      </w:r>
      <w:r w:rsidR="007175DF">
        <w:rPr>
          <w:rStyle w:val="FootnoteReference"/>
          <w:sz w:val="24"/>
          <w:szCs w:val="24"/>
        </w:rPr>
        <w:footnoteReference w:id="130"/>
      </w:r>
      <w:r w:rsidR="007175DF">
        <w:rPr>
          <w:sz w:val="24"/>
          <w:szCs w:val="24"/>
        </w:rPr>
        <w:t xml:space="preserve"> </w:t>
      </w:r>
      <w:r w:rsidR="000E39A6" w:rsidRPr="00AC4AC9">
        <w:rPr>
          <w:sz w:val="24"/>
          <w:szCs w:val="24"/>
        </w:rPr>
        <w:t>Th</w:t>
      </w:r>
      <w:r w:rsidR="007175DF">
        <w:rPr>
          <w:sz w:val="24"/>
          <w:szCs w:val="24"/>
        </w:rPr>
        <w:t>us, th</w:t>
      </w:r>
      <w:r w:rsidR="000E39A6" w:rsidRPr="00AC4AC9">
        <w:rPr>
          <w:sz w:val="24"/>
          <w:szCs w:val="24"/>
        </w:rPr>
        <w:t>e venue underlined the inauguration’s ritual power for the participants and the initiand</w:t>
      </w:r>
      <w:r w:rsidR="007175DF">
        <w:rPr>
          <w:sz w:val="24"/>
          <w:szCs w:val="24"/>
        </w:rPr>
        <w:t>; f</w:t>
      </w:r>
      <w:r w:rsidR="000E39A6" w:rsidRPr="00AC4AC9">
        <w:rPr>
          <w:sz w:val="24"/>
          <w:szCs w:val="24"/>
        </w:rPr>
        <w:t xml:space="preserve">or the latter, it emphasised his </w:t>
      </w:r>
      <w:r w:rsidR="000E39A6" w:rsidRPr="00AC4AC9">
        <w:rPr>
          <w:sz w:val="24"/>
          <w:szCs w:val="24"/>
        </w:rPr>
        <w:lastRenderedPageBreak/>
        <w:t>transformation, while the performance</w:t>
      </w:r>
      <w:r w:rsidR="000E39A6">
        <w:rPr>
          <w:sz w:val="24"/>
          <w:szCs w:val="24"/>
        </w:rPr>
        <w:t>’s</w:t>
      </w:r>
      <w:r w:rsidR="000E39A6" w:rsidRPr="00AC4AC9">
        <w:rPr>
          <w:sz w:val="24"/>
          <w:szCs w:val="24"/>
        </w:rPr>
        <w:t xml:space="preserve"> exclusivity added to the participants’ sense of a shared experience.</w:t>
      </w:r>
    </w:p>
    <w:p w14:paraId="5B251B53" w14:textId="21654852" w:rsidR="002D76EB" w:rsidRPr="00AC4AC9" w:rsidRDefault="002D76EB" w:rsidP="00D63A4E">
      <w:pPr>
        <w:spacing w:line="360" w:lineRule="auto"/>
        <w:ind w:firstLine="720"/>
        <w:jc w:val="both"/>
        <w:rPr>
          <w:sz w:val="24"/>
          <w:szCs w:val="24"/>
        </w:rPr>
      </w:pPr>
      <w:r w:rsidRPr="00AC4AC9">
        <w:rPr>
          <w:sz w:val="24"/>
          <w:szCs w:val="24"/>
        </w:rPr>
        <w:t>The venue</w:t>
      </w:r>
      <w:r w:rsidR="00FF0EEC">
        <w:rPr>
          <w:sz w:val="24"/>
          <w:szCs w:val="24"/>
        </w:rPr>
        <w:t xml:space="preserve"> also influenced the ritual’s attendees: </w:t>
      </w:r>
      <w:r w:rsidRPr="00AC4AC9">
        <w:rPr>
          <w:sz w:val="24"/>
          <w:szCs w:val="24"/>
        </w:rPr>
        <w:t xml:space="preserve">although Scone’s church was sizeable, the number of participants was limited by the confines of the </w:t>
      </w:r>
      <w:r w:rsidR="00FF0EEC">
        <w:rPr>
          <w:sz w:val="24"/>
          <w:szCs w:val="24"/>
        </w:rPr>
        <w:t>space</w:t>
      </w:r>
      <w:r w:rsidR="00F725F5">
        <w:rPr>
          <w:sz w:val="24"/>
          <w:szCs w:val="24"/>
        </w:rPr>
        <w:t xml:space="preserve"> perhaps </w:t>
      </w:r>
      <w:r>
        <w:rPr>
          <w:sz w:val="24"/>
          <w:szCs w:val="24"/>
        </w:rPr>
        <w:t xml:space="preserve">creating </w:t>
      </w:r>
      <w:r w:rsidRPr="00AC4AC9">
        <w:rPr>
          <w:sz w:val="24"/>
          <w:szCs w:val="24"/>
        </w:rPr>
        <w:t xml:space="preserve">a sense of exclusivity for the participants. </w:t>
      </w:r>
      <w:r w:rsidR="00F725F5">
        <w:rPr>
          <w:sz w:val="24"/>
          <w:szCs w:val="24"/>
        </w:rPr>
        <w:t>Not much is known about the attendance of the inauguration. In her appendix of attendees of ‘coronations’, Dean notes the presence of the queen, the king’s three sisters, Christiana Bruce (his aunt), the earls of Moray and Angus, Randolph’s son, and ‘the sheriffs asked to give homage’.</w:t>
      </w:r>
      <w:r w:rsidR="00F725F5">
        <w:rPr>
          <w:rStyle w:val="FootnoteReference"/>
          <w:sz w:val="24"/>
          <w:szCs w:val="24"/>
        </w:rPr>
        <w:footnoteReference w:id="131"/>
      </w:r>
      <w:r w:rsidR="00F725F5">
        <w:rPr>
          <w:sz w:val="24"/>
          <w:szCs w:val="24"/>
        </w:rPr>
        <w:t xml:space="preserve"> This group perhaps included the sheriffs of Forfar and Perth, who supplied wheat, oatmeal, malt and barley for the feast.</w:t>
      </w:r>
      <w:r w:rsidR="00F725F5">
        <w:rPr>
          <w:rStyle w:val="FootnoteReference"/>
          <w:sz w:val="24"/>
          <w:szCs w:val="24"/>
        </w:rPr>
        <w:footnoteReference w:id="132"/>
      </w:r>
      <w:r w:rsidR="00F725F5">
        <w:rPr>
          <w:sz w:val="24"/>
          <w:szCs w:val="24"/>
        </w:rPr>
        <w:t xml:space="preserve"> The exchequer records also note that cloth of gold was purchased for ‘the knights’ that attended, and it seems likely that the burgesses of Perth, who gifted the king a swine, a boar and several lampreys, were present.</w:t>
      </w:r>
      <w:r w:rsidR="00F725F5">
        <w:rPr>
          <w:rStyle w:val="FootnoteReference"/>
          <w:sz w:val="24"/>
          <w:szCs w:val="24"/>
        </w:rPr>
        <w:footnoteReference w:id="133"/>
      </w:r>
      <w:r w:rsidR="00F725F5">
        <w:rPr>
          <w:sz w:val="24"/>
          <w:szCs w:val="24"/>
        </w:rPr>
        <w:t xml:space="preserve"> The calling of a parliament to coincide with the ritual was undoubtedly planned to boost attendance, perhaps to combat the hinderance of Scone’s rural location.</w:t>
      </w:r>
      <w:r w:rsidR="00F725F5" w:rsidRPr="00AC4AC9">
        <w:rPr>
          <w:rStyle w:val="FootnoteReference"/>
          <w:sz w:val="24"/>
          <w:szCs w:val="24"/>
        </w:rPr>
        <w:footnoteReference w:id="134"/>
      </w:r>
      <w:r w:rsidR="00F725F5">
        <w:rPr>
          <w:sz w:val="24"/>
          <w:szCs w:val="24"/>
        </w:rPr>
        <w:t xml:space="preserve"> Such efforts were a</w:t>
      </w:r>
      <w:r w:rsidR="00F725F5" w:rsidRPr="00AC4AC9">
        <w:rPr>
          <w:sz w:val="24"/>
          <w:szCs w:val="24"/>
        </w:rPr>
        <w:t xml:space="preserve"> means of ensuring high attendance and </w:t>
      </w:r>
      <w:r w:rsidR="00F725F5">
        <w:rPr>
          <w:sz w:val="24"/>
          <w:szCs w:val="24"/>
        </w:rPr>
        <w:t>greater</w:t>
      </w:r>
      <w:r w:rsidR="00F725F5" w:rsidRPr="00AC4AC9">
        <w:rPr>
          <w:sz w:val="24"/>
          <w:szCs w:val="24"/>
        </w:rPr>
        <w:t xml:space="preserve"> recognition of </w:t>
      </w:r>
      <w:r w:rsidR="00D20C65">
        <w:rPr>
          <w:sz w:val="24"/>
          <w:szCs w:val="24"/>
        </w:rPr>
        <w:t>David’s</w:t>
      </w:r>
      <w:r w:rsidR="00F725F5" w:rsidRPr="00AC4AC9">
        <w:rPr>
          <w:sz w:val="24"/>
          <w:szCs w:val="24"/>
        </w:rPr>
        <w:t xml:space="preserve"> status as king</w:t>
      </w:r>
      <w:r w:rsidR="00F725F5">
        <w:rPr>
          <w:sz w:val="24"/>
          <w:szCs w:val="24"/>
        </w:rPr>
        <w:t xml:space="preserve">, although sadly </w:t>
      </w:r>
      <w:r w:rsidR="00C7169B">
        <w:rPr>
          <w:sz w:val="24"/>
          <w:szCs w:val="24"/>
        </w:rPr>
        <w:t xml:space="preserve">the parliamentary records also do not survive so we do not know who attended this </w:t>
      </w:r>
      <w:r w:rsidR="00D63A4E">
        <w:rPr>
          <w:sz w:val="24"/>
          <w:szCs w:val="24"/>
        </w:rPr>
        <w:t xml:space="preserve">parliament </w:t>
      </w:r>
      <w:r w:rsidR="00C7169B">
        <w:rPr>
          <w:sz w:val="24"/>
          <w:szCs w:val="24"/>
        </w:rPr>
        <w:t>either</w:t>
      </w:r>
      <w:r w:rsidR="00F725F5" w:rsidRPr="00AC4AC9">
        <w:rPr>
          <w:sz w:val="24"/>
          <w:szCs w:val="24"/>
        </w:rPr>
        <w:t>.</w:t>
      </w:r>
    </w:p>
    <w:p w14:paraId="2367C7C9" w14:textId="10978FB3" w:rsidR="002D76EB" w:rsidRDefault="00FF0EEC" w:rsidP="006B56A8">
      <w:pPr>
        <w:spacing w:line="360" w:lineRule="auto"/>
        <w:ind w:firstLine="720"/>
        <w:jc w:val="both"/>
        <w:rPr>
          <w:sz w:val="24"/>
          <w:szCs w:val="24"/>
        </w:rPr>
      </w:pPr>
      <w:r w:rsidRPr="00AC4AC9">
        <w:rPr>
          <w:sz w:val="24"/>
          <w:szCs w:val="24"/>
        </w:rPr>
        <w:t xml:space="preserve">Inaugurations were made up of multiple ritual acts, but the order they were performed </w:t>
      </w:r>
      <w:r>
        <w:rPr>
          <w:sz w:val="24"/>
          <w:szCs w:val="24"/>
        </w:rPr>
        <w:t xml:space="preserve">in </w:t>
      </w:r>
      <w:r w:rsidRPr="00AC4AC9">
        <w:rPr>
          <w:sz w:val="24"/>
          <w:szCs w:val="24"/>
        </w:rPr>
        <w:t>depended on each kingdom’s traditions. These acts might include a procession, the celebration of mass, the administering of an oath, the anointing rite, a coronation</w:t>
      </w:r>
      <w:r w:rsidR="00D20C65">
        <w:rPr>
          <w:sz w:val="24"/>
          <w:szCs w:val="24"/>
        </w:rPr>
        <w:t xml:space="preserve"> (the placing of a crown upon the initiand’s head)</w:t>
      </w:r>
      <w:r w:rsidRPr="00AC4AC9">
        <w:rPr>
          <w:sz w:val="24"/>
          <w:szCs w:val="24"/>
        </w:rPr>
        <w:t xml:space="preserve">, the investment of royal regalia and a knighting. No single act made a </w:t>
      </w:r>
      <w:proofErr w:type="gramStart"/>
      <w:r w:rsidRPr="00AC4AC9">
        <w:rPr>
          <w:sz w:val="24"/>
          <w:szCs w:val="24"/>
        </w:rPr>
        <w:t>king,</w:t>
      </w:r>
      <w:proofErr w:type="gramEnd"/>
      <w:r w:rsidRPr="00AC4AC9">
        <w:rPr>
          <w:sz w:val="24"/>
          <w:szCs w:val="24"/>
        </w:rPr>
        <w:t xml:space="preserve"> it was only the combination of </w:t>
      </w:r>
      <w:r>
        <w:rPr>
          <w:sz w:val="24"/>
          <w:szCs w:val="24"/>
        </w:rPr>
        <w:t xml:space="preserve">all </w:t>
      </w:r>
      <w:r w:rsidRPr="00AC4AC9">
        <w:rPr>
          <w:sz w:val="24"/>
          <w:szCs w:val="24"/>
        </w:rPr>
        <w:t xml:space="preserve">these constituent </w:t>
      </w:r>
      <w:r>
        <w:rPr>
          <w:sz w:val="24"/>
          <w:szCs w:val="24"/>
        </w:rPr>
        <w:t>parts that amounted to a consecration</w:t>
      </w:r>
      <w:r w:rsidRPr="00AC4AC9">
        <w:rPr>
          <w:sz w:val="24"/>
          <w:szCs w:val="24"/>
        </w:rPr>
        <w:t>.</w:t>
      </w:r>
      <w:r w:rsidRPr="00AC4AC9">
        <w:rPr>
          <w:rStyle w:val="FootnoteReference"/>
          <w:sz w:val="24"/>
          <w:szCs w:val="24"/>
        </w:rPr>
        <w:footnoteReference w:id="135"/>
      </w:r>
      <w:r w:rsidRPr="00AC4AC9">
        <w:rPr>
          <w:sz w:val="24"/>
          <w:szCs w:val="24"/>
        </w:rPr>
        <w:t xml:space="preserve"> The remainder of this article will examine each of the ritual acts performed during David’s inauguration. The anonymous poem reported that an anointing, a coronation, and the knighting of a king were performed. An oath, the investment of a royal mantle and an enthronement were also performed, but the evidence for these acts comes from other documentation. Each of the acts will now be discussed in the order that they were likely performed to analyse the ritual’s meaning.</w:t>
      </w:r>
    </w:p>
    <w:p w14:paraId="3A6849FB" w14:textId="1855FC1B" w:rsidR="002D76EB" w:rsidRDefault="004E54D7" w:rsidP="006B56A8">
      <w:pPr>
        <w:spacing w:line="360" w:lineRule="auto"/>
        <w:ind w:firstLine="720"/>
        <w:jc w:val="both"/>
        <w:rPr>
          <w:sz w:val="24"/>
          <w:szCs w:val="24"/>
        </w:rPr>
      </w:pPr>
      <w:r w:rsidRPr="00AC4AC9">
        <w:rPr>
          <w:sz w:val="24"/>
          <w:szCs w:val="24"/>
        </w:rPr>
        <w:lastRenderedPageBreak/>
        <w:t xml:space="preserve">The first ritual act in the king-making process was the candidate’s knighting on St Clement’s Day, the day before the inauguration. The anonymous poem indicated that this was a knighting ritual, rather than the investment of the initiand with a sword, by stating that David ‘was girded... with the sword of a knight’. </w:t>
      </w:r>
      <w:r w:rsidR="00314FFA">
        <w:rPr>
          <w:sz w:val="24"/>
          <w:szCs w:val="24"/>
        </w:rPr>
        <w:t>This is indicated by the fact that</w:t>
      </w:r>
      <w:r w:rsidR="00314FFA" w:rsidRPr="00AC4AC9">
        <w:rPr>
          <w:sz w:val="24"/>
          <w:szCs w:val="24"/>
        </w:rPr>
        <w:t xml:space="preserve"> </w:t>
      </w:r>
      <w:r w:rsidRPr="00AC4AC9">
        <w:rPr>
          <w:sz w:val="24"/>
          <w:szCs w:val="24"/>
        </w:rPr>
        <w:t>the rite was held on a separate day and described using similar language to other accounts of knighting rituals.</w:t>
      </w:r>
      <w:r w:rsidRPr="00AC4AC9">
        <w:rPr>
          <w:rStyle w:val="FootnoteReference"/>
          <w:sz w:val="24"/>
          <w:szCs w:val="24"/>
        </w:rPr>
        <w:footnoteReference w:id="136"/>
      </w:r>
      <w:r w:rsidRPr="00AC4AC9">
        <w:rPr>
          <w:sz w:val="24"/>
          <w:szCs w:val="24"/>
        </w:rPr>
        <w:t xml:space="preserve"> Although this rite was separate from the inauguration, it prepared a boy king for his adult duties before being crowned. Usually, adult monarchs would have been knighted at around fourteen or fifteen, long before their accession, because the ritual was associated with reaching maturity.</w:t>
      </w:r>
      <w:r w:rsidRPr="00AC4AC9">
        <w:rPr>
          <w:rStyle w:val="FootnoteReference"/>
          <w:sz w:val="24"/>
          <w:szCs w:val="24"/>
        </w:rPr>
        <w:footnoteReference w:id="137"/>
      </w:r>
      <w:r w:rsidRPr="00AC4AC9">
        <w:rPr>
          <w:sz w:val="24"/>
          <w:szCs w:val="24"/>
        </w:rPr>
        <w:t xml:space="preserve"> But, as Emily Ward notes, the accession of a child king posed problems for this arrangement as it became important for </w:t>
      </w:r>
      <w:r>
        <w:rPr>
          <w:sz w:val="24"/>
          <w:szCs w:val="24"/>
        </w:rPr>
        <w:t>minority</w:t>
      </w:r>
      <w:r w:rsidRPr="00AC4AC9">
        <w:rPr>
          <w:sz w:val="24"/>
          <w:szCs w:val="24"/>
        </w:rPr>
        <w:t xml:space="preserve"> governments to state unequivocally that child rulers were no different to other kings and experienced the royal rituals of a king’s life in the same order as their adult counterparts</w:t>
      </w:r>
      <w:r>
        <w:rPr>
          <w:sz w:val="24"/>
          <w:szCs w:val="24"/>
        </w:rPr>
        <w:t>.</w:t>
      </w:r>
      <w:r w:rsidRPr="00AC4AC9">
        <w:rPr>
          <w:rStyle w:val="FootnoteReference"/>
          <w:sz w:val="24"/>
          <w:szCs w:val="24"/>
        </w:rPr>
        <w:footnoteReference w:id="138"/>
      </w:r>
      <w:r w:rsidRPr="00AC4AC9">
        <w:rPr>
          <w:sz w:val="24"/>
          <w:szCs w:val="24"/>
        </w:rPr>
        <w:t xml:space="preserve"> Previously, Scottish custom did not fit this wider trend. Mael Coluim IV was not knighted until he turned eighteen in 1159, while Alexander III was knighted aged ten in 1251, just before his marriage to Margaret of England.</w:t>
      </w:r>
      <w:r w:rsidRPr="00AC4AC9">
        <w:rPr>
          <w:rStyle w:val="FootnoteReference"/>
          <w:sz w:val="24"/>
          <w:szCs w:val="24"/>
        </w:rPr>
        <w:footnoteReference w:id="139"/>
      </w:r>
      <w:r w:rsidRPr="00AC4AC9">
        <w:rPr>
          <w:sz w:val="24"/>
          <w:szCs w:val="24"/>
        </w:rPr>
        <w:t xml:space="preserve"> David’s knighting </w:t>
      </w:r>
      <w:r>
        <w:rPr>
          <w:sz w:val="24"/>
          <w:szCs w:val="24"/>
        </w:rPr>
        <w:t>indicates</w:t>
      </w:r>
      <w:r w:rsidRPr="00AC4AC9">
        <w:rPr>
          <w:sz w:val="24"/>
          <w:szCs w:val="24"/>
        </w:rPr>
        <w:t xml:space="preserve"> that the Scots</w:t>
      </w:r>
      <w:r>
        <w:rPr>
          <w:sz w:val="24"/>
          <w:szCs w:val="24"/>
        </w:rPr>
        <w:t xml:space="preserve"> began to follow the trend Ward identified</w:t>
      </w:r>
      <w:r w:rsidRPr="00AC4AC9">
        <w:rPr>
          <w:sz w:val="24"/>
          <w:szCs w:val="24"/>
        </w:rPr>
        <w:t xml:space="preserve">. Thus, David became the first Scottish minority king to be knighted before his </w:t>
      </w:r>
      <w:proofErr w:type="gramStart"/>
      <w:r w:rsidRPr="00AC4AC9">
        <w:rPr>
          <w:sz w:val="24"/>
          <w:szCs w:val="24"/>
        </w:rPr>
        <w:t>inauguration</w:t>
      </w:r>
      <w:proofErr w:type="gramEnd"/>
      <w:r w:rsidRPr="00AC4AC9">
        <w:rPr>
          <w:sz w:val="24"/>
          <w:szCs w:val="24"/>
        </w:rPr>
        <w:t xml:space="preserve"> and the inclusion of this ritual demonstrates the first of the inauguration’s many innovations.</w:t>
      </w:r>
    </w:p>
    <w:p w14:paraId="472A2E03" w14:textId="5323ED00" w:rsidR="002D76EB" w:rsidRDefault="004E54D7" w:rsidP="006B56A8">
      <w:pPr>
        <w:spacing w:line="360" w:lineRule="auto"/>
        <w:ind w:firstLine="720"/>
        <w:jc w:val="both"/>
        <w:rPr>
          <w:sz w:val="24"/>
          <w:szCs w:val="24"/>
        </w:rPr>
      </w:pPr>
      <w:r>
        <w:rPr>
          <w:sz w:val="24"/>
          <w:szCs w:val="24"/>
        </w:rPr>
        <w:t>Furthermore, t</w:t>
      </w:r>
      <w:r w:rsidRPr="00AC4AC9">
        <w:rPr>
          <w:sz w:val="24"/>
          <w:szCs w:val="24"/>
        </w:rPr>
        <w:t xml:space="preserve">he performance of the knighting ritual projected a distinct image of Scottish sovereignty. As the poem recounted, David was girded by Thomas Randolph. </w:t>
      </w:r>
      <w:r>
        <w:rPr>
          <w:sz w:val="24"/>
          <w:szCs w:val="24"/>
        </w:rPr>
        <w:t xml:space="preserve">This meant that David was the first minority king to be knighted </w:t>
      </w:r>
      <w:r w:rsidRPr="00AC4AC9">
        <w:rPr>
          <w:sz w:val="24"/>
          <w:szCs w:val="24"/>
        </w:rPr>
        <w:t xml:space="preserve">by someone other than the English </w:t>
      </w:r>
      <w:r w:rsidR="00062AFC">
        <w:rPr>
          <w:sz w:val="24"/>
          <w:szCs w:val="24"/>
        </w:rPr>
        <w:t>monarch</w:t>
      </w:r>
      <w:r w:rsidRPr="00AC4AC9">
        <w:rPr>
          <w:sz w:val="24"/>
          <w:szCs w:val="24"/>
        </w:rPr>
        <w:t>. Mael Coluim IV was knighted by Henry II, while Alexander III was knighted by Henry III.</w:t>
      </w:r>
      <w:r w:rsidRPr="00AC4AC9">
        <w:rPr>
          <w:rStyle w:val="FootnoteReference"/>
          <w:sz w:val="24"/>
          <w:szCs w:val="24"/>
        </w:rPr>
        <w:footnoteReference w:id="140"/>
      </w:r>
      <w:r w:rsidRPr="00AC4AC9">
        <w:rPr>
          <w:sz w:val="24"/>
          <w:szCs w:val="24"/>
        </w:rPr>
        <w:t xml:space="preserve"> Randolph </w:t>
      </w:r>
      <w:r w:rsidR="00C01592">
        <w:rPr>
          <w:sz w:val="24"/>
          <w:szCs w:val="24"/>
        </w:rPr>
        <w:t xml:space="preserve">probably </w:t>
      </w:r>
      <w:r w:rsidRPr="00AC4AC9">
        <w:rPr>
          <w:sz w:val="24"/>
          <w:szCs w:val="24"/>
        </w:rPr>
        <w:t xml:space="preserve">avoided asking </w:t>
      </w:r>
      <w:r>
        <w:rPr>
          <w:sz w:val="24"/>
          <w:szCs w:val="24"/>
        </w:rPr>
        <w:t>Edward III</w:t>
      </w:r>
      <w:r w:rsidRPr="00AC4AC9">
        <w:rPr>
          <w:sz w:val="24"/>
          <w:szCs w:val="24"/>
        </w:rPr>
        <w:t xml:space="preserve"> to perform this r</w:t>
      </w:r>
      <w:r>
        <w:rPr>
          <w:sz w:val="24"/>
          <w:szCs w:val="24"/>
        </w:rPr>
        <w:t>ite</w:t>
      </w:r>
      <w:r w:rsidRPr="00AC4AC9">
        <w:rPr>
          <w:sz w:val="24"/>
          <w:szCs w:val="24"/>
        </w:rPr>
        <w:t xml:space="preserve"> because it might be interpreted as a statement of overlordship over Scotland. Maurice Keen argued that there was a ‘close association’ between the man armed and the one who armed him, which linked the former with the latter’s dignity.</w:t>
      </w:r>
      <w:r w:rsidRPr="00AC4AC9">
        <w:rPr>
          <w:rStyle w:val="FootnoteReference"/>
          <w:sz w:val="24"/>
          <w:szCs w:val="24"/>
        </w:rPr>
        <w:footnoteReference w:id="141"/>
      </w:r>
      <w:r w:rsidRPr="00AC4AC9">
        <w:rPr>
          <w:sz w:val="24"/>
          <w:szCs w:val="24"/>
        </w:rPr>
        <w:t xml:space="preserve"> This association prevented Alexander III from being </w:t>
      </w:r>
      <w:r w:rsidRPr="00AC4AC9">
        <w:rPr>
          <w:sz w:val="24"/>
          <w:szCs w:val="24"/>
        </w:rPr>
        <w:lastRenderedPageBreak/>
        <w:t xml:space="preserve">knighted before his inauguration in 1249. According to Donald Watt, Alan Durward (the Scottish justiciar and Alexander’s brother-in-law) proposed knighting Alexander to emulate William Marshal’s knighting of Henry III in 1216 because </w:t>
      </w:r>
      <w:r w:rsidR="00314FFA">
        <w:rPr>
          <w:sz w:val="24"/>
          <w:szCs w:val="24"/>
        </w:rPr>
        <w:t>Durward</w:t>
      </w:r>
      <w:r w:rsidR="00314FFA" w:rsidRPr="00AC4AC9">
        <w:rPr>
          <w:sz w:val="24"/>
          <w:szCs w:val="24"/>
        </w:rPr>
        <w:t xml:space="preserve"> </w:t>
      </w:r>
      <w:r w:rsidRPr="00AC4AC9">
        <w:rPr>
          <w:sz w:val="24"/>
          <w:szCs w:val="24"/>
        </w:rPr>
        <w:t xml:space="preserve">claimed to be </w:t>
      </w:r>
      <w:r>
        <w:rPr>
          <w:sz w:val="24"/>
          <w:szCs w:val="24"/>
        </w:rPr>
        <w:t>the late king</w:t>
      </w:r>
      <w:r w:rsidRPr="00AC4AC9">
        <w:rPr>
          <w:sz w:val="24"/>
          <w:szCs w:val="24"/>
        </w:rPr>
        <w:t xml:space="preserve">’s preferred regent for </w:t>
      </w:r>
      <w:r w:rsidR="00FC248D">
        <w:rPr>
          <w:sz w:val="24"/>
          <w:szCs w:val="24"/>
        </w:rPr>
        <w:t>his son</w:t>
      </w:r>
      <w:r w:rsidRPr="00AC4AC9">
        <w:rPr>
          <w:sz w:val="24"/>
          <w:szCs w:val="24"/>
        </w:rPr>
        <w:t>.</w:t>
      </w:r>
      <w:r w:rsidRPr="00AC4AC9">
        <w:rPr>
          <w:rStyle w:val="FootnoteReference"/>
          <w:sz w:val="24"/>
          <w:szCs w:val="24"/>
        </w:rPr>
        <w:footnoteReference w:id="142"/>
      </w:r>
      <w:r w:rsidRPr="00AC4AC9">
        <w:rPr>
          <w:sz w:val="24"/>
          <w:szCs w:val="24"/>
        </w:rPr>
        <w:t xml:space="preserve"> Several magnates objected to this, seeing Durward’s claim as a threat to their </w:t>
      </w:r>
      <w:proofErr w:type="gramStart"/>
      <w:r w:rsidRPr="00AC4AC9">
        <w:rPr>
          <w:sz w:val="24"/>
          <w:szCs w:val="24"/>
        </w:rPr>
        <w:t>authority</w:t>
      </w:r>
      <w:proofErr w:type="gramEnd"/>
      <w:r>
        <w:rPr>
          <w:sz w:val="24"/>
          <w:szCs w:val="24"/>
        </w:rPr>
        <w:t xml:space="preserve"> and </w:t>
      </w:r>
      <w:r w:rsidR="00872206">
        <w:rPr>
          <w:sz w:val="24"/>
          <w:szCs w:val="24"/>
        </w:rPr>
        <w:t xml:space="preserve">they </w:t>
      </w:r>
      <w:r>
        <w:rPr>
          <w:sz w:val="24"/>
          <w:szCs w:val="24"/>
        </w:rPr>
        <w:t>prevented</w:t>
      </w:r>
      <w:r w:rsidRPr="00AC4AC9">
        <w:rPr>
          <w:sz w:val="24"/>
          <w:szCs w:val="24"/>
        </w:rPr>
        <w:t xml:space="preserve"> Alexander</w:t>
      </w:r>
      <w:r>
        <w:rPr>
          <w:sz w:val="24"/>
          <w:szCs w:val="24"/>
        </w:rPr>
        <w:t>’s knighting</w:t>
      </w:r>
      <w:r w:rsidRPr="00AC4AC9">
        <w:rPr>
          <w:sz w:val="24"/>
          <w:szCs w:val="24"/>
        </w:rPr>
        <w:t>. Randolph did not encounter the same problem</w:t>
      </w:r>
      <w:r w:rsidR="00C01592">
        <w:rPr>
          <w:sz w:val="24"/>
          <w:szCs w:val="24"/>
        </w:rPr>
        <w:t xml:space="preserve"> </w:t>
      </w:r>
      <w:r w:rsidRPr="00AC4AC9">
        <w:rPr>
          <w:sz w:val="24"/>
          <w:szCs w:val="24"/>
        </w:rPr>
        <w:t xml:space="preserve">because he had been </w:t>
      </w:r>
      <w:r w:rsidR="00C01592">
        <w:rPr>
          <w:sz w:val="24"/>
          <w:szCs w:val="24"/>
        </w:rPr>
        <w:t>established</w:t>
      </w:r>
      <w:r w:rsidR="00C01592" w:rsidRPr="00AC4AC9">
        <w:rPr>
          <w:sz w:val="24"/>
          <w:szCs w:val="24"/>
        </w:rPr>
        <w:t xml:space="preserve"> </w:t>
      </w:r>
      <w:r w:rsidRPr="00AC4AC9">
        <w:rPr>
          <w:sz w:val="24"/>
          <w:szCs w:val="24"/>
        </w:rPr>
        <w:t xml:space="preserve">as David’s guardian </w:t>
      </w:r>
      <w:r>
        <w:rPr>
          <w:sz w:val="24"/>
          <w:szCs w:val="24"/>
        </w:rPr>
        <w:t xml:space="preserve">before parliament </w:t>
      </w:r>
      <w:r w:rsidR="00C01592">
        <w:rPr>
          <w:sz w:val="24"/>
          <w:szCs w:val="24"/>
        </w:rPr>
        <w:t xml:space="preserve">numerous times </w:t>
      </w:r>
      <w:r>
        <w:rPr>
          <w:sz w:val="24"/>
          <w:szCs w:val="24"/>
        </w:rPr>
        <w:t>during Robert’s reign</w:t>
      </w:r>
      <w:r w:rsidRPr="00AC4AC9">
        <w:rPr>
          <w:sz w:val="24"/>
          <w:szCs w:val="24"/>
        </w:rPr>
        <w:t xml:space="preserve"> and, by 1331, had rul</w:t>
      </w:r>
      <w:r>
        <w:rPr>
          <w:sz w:val="24"/>
          <w:szCs w:val="24"/>
        </w:rPr>
        <w:t>ed</w:t>
      </w:r>
      <w:r w:rsidRPr="00AC4AC9">
        <w:rPr>
          <w:sz w:val="24"/>
          <w:szCs w:val="24"/>
        </w:rPr>
        <w:t xml:space="preserve"> on David’s behalf for two years.</w:t>
      </w:r>
      <w:r w:rsidR="001A2CAB">
        <w:rPr>
          <w:rStyle w:val="FootnoteReference"/>
          <w:sz w:val="24"/>
          <w:szCs w:val="24"/>
        </w:rPr>
        <w:footnoteReference w:id="143"/>
      </w:r>
      <w:r w:rsidRPr="00AC4AC9">
        <w:rPr>
          <w:sz w:val="24"/>
          <w:szCs w:val="24"/>
        </w:rPr>
        <w:t xml:space="preserve"> Randolph used the ritual to his advantage by associating his authority with David’s</w:t>
      </w:r>
      <w:r w:rsidR="00FC248D">
        <w:rPr>
          <w:sz w:val="24"/>
          <w:szCs w:val="24"/>
        </w:rPr>
        <w:t>, tying the king</w:t>
      </w:r>
      <w:r w:rsidRPr="00AC4AC9">
        <w:rPr>
          <w:sz w:val="24"/>
          <w:szCs w:val="24"/>
        </w:rPr>
        <w:t xml:space="preserve"> to his son: Bower noted that after receiving the sword, David ‘girded with the belt of knighthood John Stewart earl of Angus, [and] Thomas Randolph the son and heir of Sir Thomas the earl of Moray’ on the same day.</w:t>
      </w:r>
      <w:r w:rsidRPr="00AC4AC9">
        <w:rPr>
          <w:rStyle w:val="FootnoteReference"/>
          <w:sz w:val="24"/>
          <w:szCs w:val="24"/>
        </w:rPr>
        <w:footnoteReference w:id="144"/>
      </w:r>
      <w:r w:rsidRPr="00AC4AC9">
        <w:rPr>
          <w:sz w:val="24"/>
          <w:szCs w:val="24"/>
        </w:rPr>
        <w:t xml:space="preserve"> Group </w:t>
      </w:r>
      <w:proofErr w:type="spellStart"/>
      <w:r w:rsidRPr="00AC4AC9">
        <w:rPr>
          <w:sz w:val="24"/>
          <w:szCs w:val="24"/>
        </w:rPr>
        <w:t>knightings</w:t>
      </w:r>
      <w:proofErr w:type="spellEnd"/>
      <w:r w:rsidRPr="00AC4AC9">
        <w:rPr>
          <w:sz w:val="24"/>
          <w:szCs w:val="24"/>
        </w:rPr>
        <w:t xml:space="preserve"> of this kind formed a bond between those armed at the same time, forging a shared experience.</w:t>
      </w:r>
      <w:r w:rsidRPr="00AC4AC9">
        <w:rPr>
          <w:rStyle w:val="FootnoteReference"/>
          <w:sz w:val="24"/>
          <w:szCs w:val="24"/>
        </w:rPr>
        <w:footnoteReference w:id="145"/>
      </w:r>
      <w:r w:rsidRPr="00AC4AC9">
        <w:rPr>
          <w:sz w:val="24"/>
          <w:szCs w:val="24"/>
        </w:rPr>
        <w:t xml:space="preserve"> The knighting of John Stewart and Thomas Randolph the younger on the same day as David </w:t>
      </w:r>
      <w:r>
        <w:rPr>
          <w:sz w:val="24"/>
          <w:szCs w:val="24"/>
        </w:rPr>
        <w:t>perhaps</w:t>
      </w:r>
      <w:r w:rsidRPr="00AC4AC9">
        <w:rPr>
          <w:sz w:val="24"/>
          <w:szCs w:val="24"/>
        </w:rPr>
        <w:t xml:space="preserve"> sought to </w:t>
      </w:r>
      <w:r>
        <w:rPr>
          <w:sz w:val="24"/>
          <w:szCs w:val="24"/>
        </w:rPr>
        <w:t>create a bond between</w:t>
      </w:r>
      <w:r w:rsidRPr="00AC4AC9">
        <w:rPr>
          <w:sz w:val="24"/>
          <w:szCs w:val="24"/>
        </w:rPr>
        <w:t xml:space="preserve"> these young men. </w:t>
      </w:r>
      <w:r>
        <w:rPr>
          <w:sz w:val="24"/>
          <w:szCs w:val="24"/>
        </w:rPr>
        <w:t>Likewise, t</w:t>
      </w:r>
      <w:r w:rsidRPr="00AC4AC9">
        <w:rPr>
          <w:sz w:val="24"/>
          <w:szCs w:val="24"/>
        </w:rPr>
        <w:t>heir knighting offered David an opportunity to demonstrate his leadership on the eve of his inauguration, which</w:t>
      </w:r>
      <w:r w:rsidRPr="004E54D7">
        <w:rPr>
          <w:sz w:val="24"/>
          <w:szCs w:val="24"/>
        </w:rPr>
        <w:t xml:space="preserve"> Björn</w:t>
      </w:r>
      <w:r>
        <w:rPr>
          <w:sz w:val="24"/>
          <w:szCs w:val="24"/>
        </w:rPr>
        <w:t xml:space="preserve"> </w:t>
      </w:r>
      <w:r w:rsidRPr="00AC4AC9">
        <w:rPr>
          <w:sz w:val="24"/>
          <w:szCs w:val="24"/>
        </w:rPr>
        <w:t>Weiler suggests was an important phase in the process.</w:t>
      </w:r>
      <w:r w:rsidRPr="00AC4AC9">
        <w:rPr>
          <w:rStyle w:val="FootnoteReference"/>
          <w:sz w:val="24"/>
          <w:szCs w:val="24"/>
        </w:rPr>
        <w:footnoteReference w:id="146"/>
      </w:r>
      <w:r w:rsidRPr="00AC4AC9">
        <w:rPr>
          <w:sz w:val="24"/>
          <w:szCs w:val="24"/>
        </w:rPr>
        <w:t xml:space="preserve"> What was crucial, however, was that any concession in favour of Randolph ensured that the Scots avoided </w:t>
      </w:r>
      <w:r>
        <w:rPr>
          <w:sz w:val="24"/>
          <w:szCs w:val="24"/>
        </w:rPr>
        <w:t>English</w:t>
      </w:r>
      <w:r w:rsidRPr="00AC4AC9">
        <w:rPr>
          <w:sz w:val="24"/>
          <w:szCs w:val="24"/>
        </w:rPr>
        <w:t xml:space="preserve"> involvement and presented David as a ruler capable of defending his realm from </w:t>
      </w:r>
      <w:r>
        <w:rPr>
          <w:sz w:val="24"/>
          <w:szCs w:val="24"/>
        </w:rPr>
        <w:t>their</w:t>
      </w:r>
      <w:r w:rsidRPr="00AC4AC9">
        <w:rPr>
          <w:sz w:val="24"/>
          <w:szCs w:val="24"/>
        </w:rPr>
        <w:t xml:space="preserve"> incursions.</w:t>
      </w:r>
    </w:p>
    <w:p w14:paraId="3E6CB59E" w14:textId="36D5CB52" w:rsidR="002D76EB" w:rsidRDefault="00AC3FC8" w:rsidP="006B56A8">
      <w:pPr>
        <w:spacing w:line="360" w:lineRule="auto"/>
        <w:ind w:firstLine="720"/>
        <w:jc w:val="both"/>
        <w:rPr>
          <w:sz w:val="24"/>
          <w:szCs w:val="24"/>
        </w:rPr>
      </w:pPr>
      <w:r w:rsidRPr="00AC4AC9">
        <w:rPr>
          <w:sz w:val="24"/>
          <w:szCs w:val="24"/>
        </w:rPr>
        <w:t>Before David stepped into the abbey church on 24 November, the beginning of the ritual was perhaps marked by a procession into the church</w:t>
      </w:r>
      <w:r w:rsidR="00530395">
        <w:rPr>
          <w:sz w:val="24"/>
          <w:szCs w:val="24"/>
        </w:rPr>
        <w:t>, where large crowds of assemble people may have witnessed the king</w:t>
      </w:r>
      <w:r w:rsidRPr="00AC4AC9">
        <w:rPr>
          <w:sz w:val="24"/>
          <w:szCs w:val="24"/>
        </w:rPr>
        <w:t xml:space="preserve">. While there is no evidence that a procession was performed, the limits placed on the ritual’s congregation by the confined space of the abbey’s church may have necessitated the use of processions to </w:t>
      </w:r>
      <w:r w:rsidR="00872206" w:rsidRPr="00AC4AC9">
        <w:rPr>
          <w:sz w:val="24"/>
          <w:szCs w:val="24"/>
        </w:rPr>
        <w:t xml:space="preserve">present </w:t>
      </w:r>
      <w:r w:rsidRPr="00AC4AC9">
        <w:rPr>
          <w:sz w:val="24"/>
          <w:szCs w:val="24"/>
        </w:rPr>
        <w:t xml:space="preserve">publicly the future </w:t>
      </w:r>
      <w:r>
        <w:rPr>
          <w:sz w:val="24"/>
          <w:szCs w:val="24"/>
        </w:rPr>
        <w:t>king</w:t>
      </w:r>
      <w:r w:rsidRPr="00AC4AC9">
        <w:rPr>
          <w:sz w:val="24"/>
          <w:szCs w:val="24"/>
        </w:rPr>
        <w:t xml:space="preserve"> to the wider population, who </w:t>
      </w:r>
      <w:r>
        <w:rPr>
          <w:sz w:val="24"/>
          <w:szCs w:val="24"/>
        </w:rPr>
        <w:t>remained outside</w:t>
      </w:r>
      <w:r w:rsidRPr="00AC4AC9">
        <w:rPr>
          <w:sz w:val="24"/>
          <w:szCs w:val="24"/>
        </w:rPr>
        <w:t xml:space="preserve"> the church. For other rites of passage, public display was an essential confirmation of the initiand’s transformation. Ramon Llull stressed that at a knighting, ‘the more people who know about his knighthood the greater restraint the new knight will have from committing any misdeeds against his Order.’</w:t>
      </w:r>
      <w:r w:rsidRPr="00AC4AC9">
        <w:rPr>
          <w:rStyle w:val="FootnoteReference"/>
          <w:sz w:val="24"/>
          <w:szCs w:val="24"/>
        </w:rPr>
        <w:footnoteReference w:id="147"/>
      </w:r>
      <w:r w:rsidRPr="00AC4AC9">
        <w:rPr>
          <w:color w:val="000000"/>
          <w:kern w:val="0"/>
          <w:sz w:val="24"/>
          <w:szCs w:val="24"/>
        </w:rPr>
        <w:t xml:space="preserve"> </w:t>
      </w:r>
      <w:r>
        <w:rPr>
          <w:color w:val="000000"/>
          <w:kern w:val="0"/>
          <w:sz w:val="24"/>
          <w:szCs w:val="24"/>
        </w:rPr>
        <w:t xml:space="preserve">Therefore, there was an implicit connection between the number of witnesses to a ritual and its legitimacy. </w:t>
      </w:r>
      <w:r w:rsidRPr="00AC4AC9">
        <w:rPr>
          <w:sz w:val="24"/>
          <w:szCs w:val="24"/>
        </w:rPr>
        <w:t>Processions offered t</w:t>
      </w:r>
      <w:r>
        <w:rPr>
          <w:sz w:val="24"/>
          <w:szCs w:val="24"/>
        </w:rPr>
        <w:t>he</w:t>
      </w:r>
      <w:r w:rsidRPr="00AC4AC9">
        <w:rPr>
          <w:sz w:val="24"/>
          <w:szCs w:val="24"/>
        </w:rPr>
        <w:t xml:space="preserve"> opportunity to present the new king to the community and were common features of English </w:t>
      </w:r>
      <w:r w:rsidRPr="00AC4AC9">
        <w:rPr>
          <w:sz w:val="24"/>
          <w:szCs w:val="24"/>
        </w:rPr>
        <w:lastRenderedPageBreak/>
        <w:t>and French inaugurations.</w:t>
      </w:r>
      <w:r w:rsidRPr="00AC4AC9">
        <w:rPr>
          <w:rStyle w:val="FootnoteReference"/>
          <w:sz w:val="24"/>
          <w:szCs w:val="24"/>
        </w:rPr>
        <w:footnoteReference w:id="148"/>
      </w:r>
      <w:r w:rsidRPr="00AC4AC9">
        <w:rPr>
          <w:sz w:val="24"/>
          <w:szCs w:val="24"/>
        </w:rPr>
        <w:t xml:space="preserve"> The 1223 inauguration of Louis VIII of France and Blanche of Castil</w:t>
      </w:r>
      <w:r w:rsidR="00FC248D">
        <w:rPr>
          <w:sz w:val="24"/>
          <w:szCs w:val="24"/>
        </w:rPr>
        <w:t>l</w:t>
      </w:r>
      <w:r w:rsidRPr="00AC4AC9">
        <w:rPr>
          <w:sz w:val="24"/>
          <w:szCs w:val="24"/>
        </w:rPr>
        <w:t>e featured four processions, including a procession of the holy oil from the Abbey of Saint-Remi, where the oil was stored, to Reims Cathedral.</w:t>
      </w:r>
      <w:r w:rsidRPr="00AC4AC9">
        <w:rPr>
          <w:rStyle w:val="FootnoteReference"/>
          <w:sz w:val="24"/>
          <w:szCs w:val="24"/>
        </w:rPr>
        <w:footnoteReference w:id="149"/>
      </w:r>
      <w:r w:rsidRPr="00AC4AC9">
        <w:rPr>
          <w:sz w:val="24"/>
          <w:szCs w:val="24"/>
        </w:rPr>
        <w:t xml:space="preserve"> </w:t>
      </w:r>
      <w:r w:rsidR="00530395">
        <w:rPr>
          <w:sz w:val="24"/>
          <w:szCs w:val="24"/>
        </w:rPr>
        <w:t xml:space="preserve">Likewise, Haakon IV of Norway processed into the church at Bergen accompanied by bishops, abbots and clergy to the </w:t>
      </w:r>
      <w:r w:rsidR="00530395">
        <w:rPr>
          <w:i/>
          <w:iCs/>
          <w:sz w:val="24"/>
          <w:szCs w:val="24"/>
        </w:rPr>
        <w:t xml:space="preserve">Ecce </w:t>
      </w:r>
      <w:proofErr w:type="spellStart"/>
      <w:r w:rsidR="00530395">
        <w:rPr>
          <w:i/>
          <w:iCs/>
          <w:sz w:val="24"/>
          <w:szCs w:val="24"/>
        </w:rPr>
        <w:t>mitto</w:t>
      </w:r>
      <w:proofErr w:type="spellEnd"/>
      <w:r w:rsidR="00530395">
        <w:rPr>
          <w:i/>
          <w:iCs/>
          <w:sz w:val="24"/>
          <w:szCs w:val="24"/>
        </w:rPr>
        <w:t xml:space="preserve"> </w:t>
      </w:r>
      <w:proofErr w:type="spellStart"/>
      <w:r w:rsidR="00530395">
        <w:rPr>
          <w:i/>
          <w:iCs/>
          <w:sz w:val="24"/>
          <w:szCs w:val="24"/>
        </w:rPr>
        <w:t>angelum</w:t>
      </w:r>
      <w:proofErr w:type="spellEnd"/>
      <w:r w:rsidR="00530395">
        <w:rPr>
          <w:sz w:val="24"/>
          <w:szCs w:val="24"/>
        </w:rPr>
        <w:t xml:space="preserve"> chant at his inauguration in July 1247.</w:t>
      </w:r>
      <w:r w:rsidR="00530395">
        <w:rPr>
          <w:rStyle w:val="FootnoteReference"/>
          <w:sz w:val="24"/>
          <w:szCs w:val="24"/>
        </w:rPr>
        <w:footnoteReference w:id="150"/>
      </w:r>
      <w:r w:rsidR="003A646C">
        <w:rPr>
          <w:sz w:val="24"/>
          <w:szCs w:val="24"/>
        </w:rPr>
        <w:t xml:space="preserve"> </w:t>
      </w:r>
      <w:r w:rsidRPr="00AC4AC9">
        <w:rPr>
          <w:sz w:val="24"/>
          <w:szCs w:val="24"/>
        </w:rPr>
        <w:t>Medieval ecclesiastics may have taken their inspiration from the Books of Kings: at Saul’s anointing, he was told to meet ‘a company of prophets coming down from the high place, with a psaltery and a timbrel, and a harp before them, and they shall be prophesying.’</w:t>
      </w:r>
      <w:r w:rsidRPr="00AC4AC9">
        <w:rPr>
          <w:rStyle w:val="FootnoteReference"/>
          <w:sz w:val="24"/>
          <w:szCs w:val="24"/>
        </w:rPr>
        <w:footnoteReference w:id="151"/>
      </w:r>
      <w:r w:rsidRPr="00AC4AC9">
        <w:rPr>
          <w:sz w:val="24"/>
          <w:szCs w:val="24"/>
        </w:rPr>
        <w:t xml:space="preserve"> </w:t>
      </w:r>
      <w:r w:rsidR="00232B92">
        <w:rPr>
          <w:sz w:val="24"/>
          <w:szCs w:val="24"/>
        </w:rPr>
        <w:t>I</w:t>
      </w:r>
      <w:r w:rsidRPr="00AC4AC9">
        <w:rPr>
          <w:sz w:val="24"/>
          <w:szCs w:val="24"/>
        </w:rPr>
        <w:t xml:space="preserve">t seems probable that a similar display took place to confirm the king’s transformation, considering the significance of the inauguration ritual. </w:t>
      </w:r>
      <w:r w:rsidR="003A646C">
        <w:rPr>
          <w:sz w:val="24"/>
          <w:szCs w:val="24"/>
        </w:rPr>
        <w:t xml:space="preserve">We know from John McGavin’s work on the charivari that perhaps occurred at Robert </w:t>
      </w:r>
      <w:r w:rsidR="00F300DC">
        <w:rPr>
          <w:sz w:val="24"/>
          <w:szCs w:val="24"/>
        </w:rPr>
        <w:t>I</w:t>
      </w:r>
      <w:r w:rsidR="003A646C">
        <w:rPr>
          <w:sz w:val="24"/>
          <w:szCs w:val="24"/>
        </w:rPr>
        <w:t>II’s inauguration that such gatherings of ordinary people occurred in the late fourteenth century, whether to endorse or critique the king.</w:t>
      </w:r>
      <w:r w:rsidR="003A646C">
        <w:rPr>
          <w:rStyle w:val="FootnoteReference"/>
          <w:sz w:val="24"/>
          <w:szCs w:val="24"/>
        </w:rPr>
        <w:footnoteReference w:id="152"/>
      </w:r>
      <w:r w:rsidR="00D20C65">
        <w:rPr>
          <w:sz w:val="24"/>
          <w:szCs w:val="24"/>
        </w:rPr>
        <w:t xml:space="preserve"> </w:t>
      </w:r>
      <w:r w:rsidR="00D04861">
        <w:rPr>
          <w:sz w:val="24"/>
          <w:szCs w:val="24"/>
        </w:rPr>
        <w:t xml:space="preserve">These assembled people could all act as conduits via whom news of the ritual could then be spread throughout the kingdom. </w:t>
      </w:r>
    </w:p>
    <w:p w14:paraId="5D3AE695" w14:textId="1B193C43" w:rsidR="00AC3FC8" w:rsidRDefault="00AC3FC8" w:rsidP="00F300DC">
      <w:pPr>
        <w:spacing w:line="360" w:lineRule="auto"/>
        <w:ind w:firstLine="720"/>
        <w:jc w:val="both"/>
        <w:rPr>
          <w:sz w:val="24"/>
          <w:szCs w:val="24"/>
        </w:rPr>
      </w:pPr>
      <w:r w:rsidRPr="00AC4AC9">
        <w:rPr>
          <w:sz w:val="24"/>
          <w:szCs w:val="24"/>
        </w:rPr>
        <w:t xml:space="preserve">The precise order of the ritual is unclear, but members of the Scottish political community may have heard accounts of </w:t>
      </w:r>
      <w:r w:rsidR="00D04861">
        <w:rPr>
          <w:sz w:val="24"/>
          <w:szCs w:val="24"/>
        </w:rPr>
        <w:t>other inaugurations in other kingdoms. Bishop Ben, who anointed David, spent long periods in France at the papal curia in Avignon, acting as the Scots’ resident envoy, and at the French court negotiating the Franco-Scottish alliance during the late 1320s.</w:t>
      </w:r>
      <w:r w:rsidR="00D04861">
        <w:rPr>
          <w:rStyle w:val="FootnoteReference"/>
          <w:sz w:val="24"/>
          <w:szCs w:val="24"/>
        </w:rPr>
        <w:footnoteReference w:id="153"/>
      </w:r>
      <w:r w:rsidR="00D04861">
        <w:rPr>
          <w:sz w:val="24"/>
          <w:szCs w:val="24"/>
        </w:rPr>
        <w:t xml:space="preserve"> It is quite possible that he attended Philip VI’s inauguration in May 1328. Similarly, he </w:t>
      </w:r>
      <w:r w:rsidR="00D04861" w:rsidRPr="00AC4AC9">
        <w:rPr>
          <w:sz w:val="24"/>
          <w:szCs w:val="24"/>
        </w:rPr>
        <w:t xml:space="preserve">was an ambassador to England between 1327 and 1329, where he perhaps </w:t>
      </w:r>
      <w:r w:rsidR="00D04861">
        <w:rPr>
          <w:sz w:val="24"/>
          <w:szCs w:val="24"/>
        </w:rPr>
        <w:t>heard</w:t>
      </w:r>
      <w:r w:rsidR="00D04861" w:rsidRPr="00AC4AC9">
        <w:rPr>
          <w:sz w:val="24"/>
          <w:szCs w:val="24"/>
        </w:rPr>
        <w:t xml:space="preserve"> </w:t>
      </w:r>
      <w:r w:rsidR="00D04861">
        <w:rPr>
          <w:sz w:val="24"/>
          <w:szCs w:val="24"/>
        </w:rPr>
        <w:t>accounts from those who witnessed Edward III’s inauguration in February 1327.</w:t>
      </w:r>
      <w:r w:rsidRPr="00AC4AC9">
        <w:rPr>
          <w:rStyle w:val="FootnoteReference"/>
          <w:sz w:val="24"/>
          <w:szCs w:val="24"/>
        </w:rPr>
        <w:footnoteReference w:id="154"/>
      </w:r>
      <w:r w:rsidRPr="00AC4AC9">
        <w:rPr>
          <w:sz w:val="24"/>
          <w:szCs w:val="24"/>
        </w:rPr>
        <w:t xml:space="preserve"> In Engl</w:t>
      </w:r>
      <w:r>
        <w:rPr>
          <w:sz w:val="24"/>
          <w:szCs w:val="24"/>
        </w:rPr>
        <w:t>and</w:t>
      </w:r>
      <w:r w:rsidRPr="00AC4AC9">
        <w:rPr>
          <w:sz w:val="24"/>
          <w:szCs w:val="24"/>
        </w:rPr>
        <w:t xml:space="preserve">, the inauguration began with a celebration of the mass, this was followed by the initiand swearing an inaugural oath and the celebrant asking the community if </w:t>
      </w:r>
      <w:r w:rsidR="00872206">
        <w:rPr>
          <w:sz w:val="24"/>
          <w:szCs w:val="24"/>
        </w:rPr>
        <w:t>it</w:t>
      </w:r>
      <w:r w:rsidR="00872206" w:rsidRPr="00AC4AC9">
        <w:rPr>
          <w:sz w:val="24"/>
          <w:szCs w:val="24"/>
        </w:rPr>
        <w:t xml:space="preserve"> </w:t>
      </w:r>
      <w:r w:rsidRPr="00AC4AC9">
        <w:rPr>
          <w:sz w:val="24"/>
          <w:szCs w:val="24"/>
        </w:rPr>
        <w:t xml:space="preserve">consented to the candidate becoming </w:t>
      </w:r>
      <w:r w:rsidR="00872206">
        <w:rPr>
          <w:sz w:val="24"/>
          <w:szCs w:val="24"/>
        </w:rPr>
        <w:t>its</w:t>
      </w:r>
      <w:r w:rsidR="00872206" w:rsidRPr="00AC4AC9">
        <w:rPr>
          <w:sz w:val="24"/>
          <w:szCs w:val="24"/>
        </w:rPr>
        <w:t xml:space="preserve"> </w:t>
      </w:r>
      <w:r w:rsidRPr="00AC4AC9">
        <w:rPr>
          <w:sz w:val="24"/>
          <w:szCs w:val="24"/>
        </w:rPr>
        <w:t>king and the congregation assenting to his promotion.</w:t>
      </w:r>
      <w:r w:rsidRPr="00AC4AC9">
        <w:rPr>
          <w:rStyle w:val="FootnoteReference"/>
          <w:sz w:val="24"/>
          <w:szCs w:val="24"/>
        </w:rPr>
        <w:footnoteReference w:id="155"/>
      </w:r>
      <w:r w:rsidRPr="00AC4AC9">
        <w:rPr>
          <w:sz w:val="24"/>
          <w:szCs w:val="24"/>
        </w:rPr>
        <w:t xml:space="preserve"> Since the elevation of Scottish king</w:t>
      </w:r>
      <w:r>
        <w:rPr>
          <w:sz w:val="24"/>
          <w:szCs w:val="24"/>
        </w:rPr>
        <w:t>s</w:t>
      </w:r>
      <w:r w:rsidRPr="00AC4AC9">
        <w:rPr>
          <w:sz w:val="24"/>
          <w:szCs w:val="24"/>
        </w:rPr>
        <w:t xml:space="preserve"> had, at least until 1291, been described as the ‘election’ of a </w:t>
      </w:r>
      <w:r>
        <w:rPr>
          <w:sz w:val="24"/>
          <w:szCs w:val="24"/>
        </w:rPr>
        <w:t>ruler</w:t>
      </w:r>
      <w:r w:rsidRPr="00AC4AC9">
        <w:rPr>
          <w:sz w:val="24"/>
          <w:szCs w:val="24"/>
        </w:rPr>
        <w:t xml:space="preserve">, </w:t>
      </w:r>
      <w:r>
        <w:rPr>
          <w:sz w:val="24"/>
          <w:szCs w:val="24"/>
        </w:rPr>
        <w:t xml:space="preserve">David’s inauguration </w:t>
      </w:r>
      <w:r w:rsidRPr="00AC4AC9">
        <w:rPr>
          <w:sz w:val="24"/>
          <w:szCs w:val="24"/>
        </w:rPr>
        <w:t xml:space="preserve">probably included a similar moment in which </w:t>
      </w:r>
      <w:r>
        <w:rPr>
          <w:sz w:val="24"/>
          <w:szCs w:val="24"/>
        </w:rPr>
        <w:t>Bishop Ben a</w:t>
      </w:r>
      <w:r w:rsidRPr="00AC4AC9">
        <w:rPr>
          <w:sz w:val="24"/>
          <w:szCs w:val="24"/>
        </w:rPr>
        <w:t>sked for the congregation’s assent.</w:t>
      </w:r>
      <w:r>
        <w:rPr>
          <w:rStyle w:val="FootnoteReference"/>
          <w:sz w:val="24"/>
          <w:szCs w:val="24"/>
        </w:rPr>
        <w:footnoteReference w:id="156"/>
      </w:r>
      <w:r w:rsidRPr="00AC4AC9">
        <w:rPr>
          <w:sz w:val="24"/>
          <w:szCs w:val="24"/>
        </w:rPr>
        <w:t xml:space="preserve"> After this affirmation, the initiand made his oath. Although the </w:t>
      </w:r>
      <w:r w:rsidRPr="00AC4AC9">
        <w:rPr>
          <w:sz w:val="24"/>
          <w:szCs w:val="24"/>
        </w:rPr>
        <w:lastRenderedPageBreak/>
        <w:t>chronicle</w:t>
      </w:r>
      <w:r>
        <w:rPr>
          <w:sz w:val="24"/>
          <w:szCs w:val="24"/>
        </w:rPr>
        <w:t>rs</w:t>
      </w:r>
      <w:r w:rsidRPr="00AC4AC9">
        <w:rPr>
          <w:sz w:val="24"/>
          <w:szCs w:val="24"/>
        </w:rPr>
        <w:t xml:space="preserve"> do not record an inauguration oath, other evidence suggests one was provided. The 1329 papal bull specified that during the ritual the bishop of St Andrews should receive an oath, whereby initiands </w:t>
      </w:r>
      <w:r w:rsidRPr="001A3CB5">
        <w:rPr>
          <w:sz w:val="24"/>
          <w:szCs w:val="24"/>
        </w:rPr>
        <w:t>should swear that ‘</w:t>
      </w:r>
      <w:proofErr w:type="spellStart"/>
      <w:r w:rsidRPr="00AE3100">
        <w:rPr>
          <w:i/>
          <w:iCs/>
          <w:sz w:val="24"/>
          <w:szCs w:val="24"/>
        </w:rPr>
        <w:t>libertates</w:t>
      </w:r>
      <w:proofErr w:type="spellEnd"/>
      <w:r w:rsidRPr="00AE3100">
        <w:rPr>
          <w:i/>
          <w:iCs/>
          <w:sz w:val="24"/>
          <w:szCs w:val="24"/>
        </w:rPr>
        <w:t xml:space="preserve"> et </w:t>
      </w:r>
      <w:proofErr w:type="spellStart"/>
      <w:r w:rsidRPr="00AE3100">
        <w:rPr>
          <w:i/>
          <w:iCs/>
          <w:sz w:val="24"/>
          <w:szCs w:val="24"/>
        </w:rPr>
        <w:t>immunitates</w:t>
      </w:r>
      <w:proofErr w:type="spellEnd"/>
      <w:r w:rsidRPr="00AE3100">
        <w:rPr>
          <w:i/>
          <w:iCs/>
          <w:sz w:val="24"/>
          <w:szCs w:val="24"/>
        </w:rPr>
        <w:t xml:space="preserve"> </w:t>
      </w:r>
      <w:proofErr w:type="spellStart"/>
      <w:r w:rsidRPr="00AE3100">
        <w:rPr>
          <w:i/>
          <w:iCs/>
          <w:sz w:val="24"/>
          <w:szCs w:val="24"/>
        </w:rPr>
        <w:t>ecclesiasticas</w:t>
      </w:r>
      <w:proofErr w:type="spellEnd"/>
      <w:r w:rsidRPr="00AE3100">
        <w:rPr>
          <w:i/>
          <w:iCs/>
          <w:sz w:val="24"/>
          <w:szCs w:val="24"/>
        </w:rPr>
        <w:t xml:space="preserve"> </w:t>
      </w:r>
      <w:proofErr w:type="spellStart"/>
      <w:r w:rsidRPr="00AE3100">
        <w:rPr>
          <w:i/>
          <w:iCs/>
          <w:sz w:val="24"/>
          <w:szCs w:val="24"/>
        </w:rPr>
        <w:t>ledere</w:t>
      </w:r>
      <w:proofErr w:type="spellEnd"/>
      <w:r w:rsidRPr="00AE3100">
        <w:rPr>
          <w:i/>
          <w:iCs/>
          <w:sz w:val="24"/>
          <w:szCs w:val="24"/>
        </w:rPr>
        <w:t xml:space="preserve"> </w:t>
      </w:r>
      <w:proofErr w:type="spellStart"/>
      <w:r w:rsidRPr="00AE3100">
        <w:rPr>
          <w:i/>
          <w:iCs/>
          <w:sz w:val="24"/>
          <w:szCs w:val="24"/>
        </w:rPr>
        <w:t>vel</w:t>
      </w:r>
      <w:proofErr w:type="spellEnd"/>
      <w:r w:rsidRPr="00AE3100">
        <w:rPr>
          <w:i/>
          <w:iCs/>
          <w:sz w:val="24"/>
          <w:szCs w:val="24"/>
        </w:rPr>
        <w:t xml:space="preserve"> </w:t>
      </w:r>
      <w:proofErr w:type="spellStart"/>
      <w:r w:rsidRPr="00AE3100">
        <w:rPr>
          <w:i/>
          <w:iCs/>
          <w:sz w:val="24"/>
          <w:szCs w:val="24"/>
        </w:rPr>
        <w:t>minuere</w:t>
      </w:r>
      <w:proofErr w:type="spellEnd"/>
      <w:r w:rsidRPr="00AE3100">
        <w:rPr>
          <w:i/>
          <w:iCs/>
          <w:sz w:val="24"/>
          <w:szCs w:val="24"/>
        </w:rPr>
        <w:t xml:space="preserve"> per se </w:t>
      </w:r>
      <w:proofErr w:type="spellStart"/>
      <w:r w:rsidRPr="00AE3100">
        <w:rPr>
          <w:i/>
          <w:iCs/>
          <w:sz w:val="24"/>
          <w:szCs w:val="24"/>
        </w:rPr>
        <w:t>vel</w:t>
      </w:r>
      <w:proofErr w:type="spellEnd"/>
      <w:r w:rsidRPr="00AE3100">
        <w:rPr>
          <w:i/>
          <w:iCs/>
          <w:sz w:val="24"/>
          <w:szCs w:val="24"/>
        </w:rPr>
        <w:t xml:space="preserve"> alios non </w:t>
      </w:r>
      <w:proofErr w:type="spellStart"/>
      <w:r w:rsidRPr="00AE3100">
        <w:rPr>
          <w:i/>
          <w:iCs/>
          <w:sz w:val="24"/>
          <w:szCs w:val="24"/>
        </w:rPr>
        <w:t>presument</w:t>
      </w:r>
      <w:proofErr w:type="spellEnd"/>
      <w:r w:rsidRPr="00AE3100">
        <w:rPr>
          <w:i/>
          <w:iCs/>
          <w:sz w:val="24"/>
          <w:szCs w:val="24"/>
        </w:rPr>
        <w:t xml:space="preserve">, </w:t>
      </w:r>
      <w:proofErr w:type="spellStart"/>
      <w:r w:rsidRPr="00AE3100">
        <w:rPr>
          <w:i/>
          <w:iCs/>
          <w:sz w:val="24"/>
          <w:szCs w:val="24"/>
        </w:rPr>
        <w:t>quinimmo</w:t>
      </w:r>
      <w:proofErr w:type="spellEnd"/>
      <w:r w:rsidRPr="00AE3100">
        <w:rPr>
          <w:i/>
          <w:iCs/>
          <w:sz w:val="24"/>
          <w:szCs w:val="24"/>
        </w:rPr>
        <w:t xml:space="preserve"> </w:t>
      </w:r>
      <w:proofErr w:type="spellStart"/>
      <w:r w:rsidRPr="00AE3100">
        <w:rPr>
          <w:i/>
          <w:iCs/>
          <w:sz w:val="24"/>
          <w:szCs w:val="24"/>
        </w:rPr>
        <w:t>eas</w:t>
      </w:r>
      <w:proofErr w:type="spellEnd"/>
      <w:r w:rsidRPr="00AE3100">
        <w:rPr>
          <w:i/>
          <w:iCs/>
          <w:sz w:val="24"/>
          <w:szCs w:val="24"/>
        </w:rPr>
        <w:t xml:space="preserve"> </w:t>
      </w:r>
      <w:proofErr w:type="spellStart"/>
      <w:r w:rsidRPr="00AE3100">
        <w:rPr>
          <w:i/>
          <w:iCs/>
          <w:sz w:val="24"/>
          <w:szCs w:val="24"/>
        </w:rPr>
        <w:t>defendent</w:t>
      </w:r>
      <w:proofErr w:type="spellEnd"/>
      <w:r w:rsidRPr="00AE3100">
        <w:rPr>
          <w:i/>
          <w:iCs/>
          <w:sz w:val="24"/>
          <w:szCs w:val="24"/>
        </w:rPr>
        <w:t xml:space="preserve"> et </w:t>
      </w:r>
      <w:proofErr w:type="spellStart"/>
      <w:r w:rsidRPr="00AE3100">
        <w:rPr>
          <w:i/>
          <w:iCs/>
          <w:sz w:val="24"/>
          <w:szCs w:val="24"/>
        </w:rPr>
        <w:t>conservabunt</w:t>
      </w:r>
      <w:proofErr w:type="spellEnd"/>
      <w:r w:rsidRPr="00AE3100">
        <w:rPr>
          <w:i/>
          <w:iCs/>
          <w:sz w:val="24"/>
          <w:szCs w:val="24"/>
        </w:rPr>
        <w:t xml:space="preserve"> </w:t>
      </w:r>
      <w:proofErr w:type="spellStart"/>
      <w:r w:rsidRPr="00AE3100">
        <w:rPr>
          <w:i/>
          <w:iCs/>
          <w:sz w:val="24"/>
          <w:szCs w:val="24"/>
        </w:rPr>
        <w:t>illesas</w:t>
      </w:r>
      <w:proofErr w:type="spellEnd"/>
      <w:r w:rsidRPr="00AE3100">
        <w:rPr>
          <w:i/>
          <w:iCs/>
          <w:sz w:val="24"/>
          <w:szCs w:val="24"/>
        </w:rPr>
        <w:t xml:space="preserve">, </w:t>
      </w:r>
      <w:proofErr w:type="spellStart"/>
      <w:r w:rsidRPr="00AE3100">
        <w:rPr>
          <w:i/>
          <w:iCs/>
          <w:sz w:val="24"/>
          <w:szCs w:val="24"/>
        </w:rPr>
        <w:t>ipsasque</w:t>
      </w:r>
      <w:proofErr w:type="spellEnd"/>
      <w:r w:rsidRPr="00AE3100">
        <w:rPr>
          <w:i/>
          <w:iCs/>
          <w:sz w:val="24"/>
          <w:szCs w:val="24"/>
        </w:rPr>
        <w:t xml:space="preserve"> </w:t>
      </w:r>
      <w:proofErr w:type="spellStart"/>
      <w:r w:rsidRPr="00AE3100">
        <w:rPr>
          <w:i/>
          <w:iCs/>
          <w:sz w:val="24"/>
          <w:szCs w:val="24"/>
        </w:rPr>
        <w:t>facient</w:t>
      </w:r>
      <w:proofErr w:type="spellEnd"/>
      <w:r w:rsidRPr="00AE3100">
        <w:rPr>
          <w:i/>
          <w:iCs/>
          <w:sz w:val="24"/>
          <w:szCs w:val="24"/>
        </w:rPr>
        <w:t xml:space="preserve"> a suis </w:t>
      </w:r>
      <w:proofErr w:type="spellStart"/>
      <w:r w:rsidRPr="00AE3100">
        <w:rPr>
          <w:i/>
          <w:iCs/>
          <w:sz w:val="24"/>
          <w:szCs w:val="24"/>
        </w:rPr>
        <w:t>subditis</w:t>
      </w:r>
      <w:proofErr w:type="spellEnd"/>
      <w:r w:rsidRPr="00AE3100">
        <w:rPr>
          <w:i/>
          <w:iCs/>
          <w:sz w:val="24"/>
          <w:szCs w:val="24"/>
        </w:rPr>
        <w:t xml:space="preserve"> </w:t>
      </w:r>
      <w:proofErr w:type="spellStart"/>
      <w:r w:rsidRPr="00AE3100">
        <w:rPr>
          <w:i/>
          <w:iCs/>
          <w:sz w:val="24"/>
          <w:szCs w:val="24"/>
        </w:rPr>
        <w:t>inviolabiliter</w:t>
      </w:r>
      <w:proofErr w:type="spellEnd"/>
      <w:r w:rsidRPr="00AE3100">
        <w:rPr>
          <w:i/>
          <w:iCs/>
          <w:sz w:val="24"/>
          <w:szCs w:val="24"/>
        </w:rPr>
        <w:t xml:space="preserve"> </w:t>
      </w:r>
      <w:proofErr w:type="spellStart"/>
      <w:r w:rsidRPr="00AE3100">
        <w:rPr>
          <w:i/>
          <w:iCs/>
          <w:sz w:val="24"/>
          <w:szCs w:val="24"/>
        </w:rPr>
        <w:t>observari</w:t>
      </w:r>
      <w:proofErr w:type="spellEnd"/>
      <w:r w:rsidRPr="001A3CB5">
        <w:rPr>
          <w:sz w:val="24"/>
          <w:szCs w:val="24"/>
        </w:rPr>
        <w:t>’.</w:t>
      </w:r>
      <w:r w:rsidRPr="001A3CB5">
        <w:rPr>
          <w:rStyle w:val="FootnoteReference"/>
          <w:sz w:val="24"/>
          <w:szCs w:val="24"/>
        </w:rPr>
        <w:footnoteReference w:id="157"/>
      </w:r>
      <w:r w:rsidRPr="001A3CB5">
        <w:rPr>
          <w:sz w:val="24"/>
          <w:szCs w:val="24"/>
        </w:rPr>
        <w:t xml:space="preserve"> </w:t>
      </w:r>
      <w:r w:rsidR="0053504B">
        <w:rPr>
          <w:sz w:val="24"/>
          <w:szCs w:val="24"/>
        </w:rPr>
        <w:t>This may have formalised an older tradition whereby previous Scottish kings swore to ‘abide by the direction of the clergy of Scotland’.</w:t>
      </w:r>
      <w:r w:rsidR="0053504B">
        <w:rPr>
          <w:rStyle w:val="FootnoteReference"/>
          <w:sz w:val="24"/>
          <w:szCs w:val="24"/>
        </w:rPr>
        <w:footnoteReference w:id="158"/>
      </w:r>
      <w:r w:rsidR="00F300DC">
        <w:rPr>
          <w:sz w:val="24"/>
          <w:szCs w:val="24"/>
        </w:rPr>
        <w:t xml:space="preserve"> </w:t>
      </w:r>
      <w:r w:rsidRPr="001A3CB5">
        <w:rPr>
          <w:sz w:val="24"/>
          <w:szCs w:val="24"/>
        </w:rPr>
        <w:t>Therefore, the king was expected to promise to protect and defend the Church. David’s oath also included a non-alienation clause because in 1357, on his return to Scotland from captivity, he was asked to renew this promise: ‘</w:t>
      </w:r>
      <w:r w:rsidRPr="00AE3100">
        <w:rPr>
          <w:i/>
          <w:iCs/>
          <w:sz w:val="24"/>
          <w:szCs w:val="24"/>
        </w:rPr>
        <w:t xml:space="preserve">Et quod dominus rex </w:t>
      </w:r>
      <w:proofErr w:type="spellStart"/>
      <w:r w:rsidRPr="00AE3100">
        <w:rPr>
          <w:i/>
          <w:iCs/>
          <w:sz w:val="24"/>
          <w:szCs w:val="24"/>
        </w:rPr>
        <w:t>renovet</w:t>
      </w:r>
      <w:proofErr w:type="spellEnd"/>
      <w:r w:rsidRPr="00AE3100">
        <w:rPr>
          <w:i/>
          <w:iCs/>
          <w:sz w:val="24"/>
          <w:szCs w:val="24"/>
        </w:rPr>
        <w:t xml:space="preserve"> sacramentum per ipsum alias </w:t>
      </w:r>
      <w:proofErr w:type="spellStart"/>
      <w:r w:rsidRPr="00AE3100">
        <w:rPr>
          <w:i/>
          <w:iCs/>
          <w:sz w:val="24"/>
          <w:szCs w:val="24"/>
        </w:rPr>
        <w:t>prestitum</w:t>
      </w:r>
      <w:proofErr w:type="spellEnd"/>
      <w:r w:rsidRPr="00AE3100">
        <w:rPr>
          <w:i/>
          <w:iCs/>
          <w:sz w:val="24"/>
          <w:szCs w:val="24"/>
        </w:rPr>
        <w:t xml:space="preserve"> in </w:t>
      </w:r>
      <w:proofErr w:type="spellStart"/>
      <w:r w:rsidRPr="00AE3100">
        <w:rPr>
          <w:i/>
          <w:iCs/>
          <w:sz w:val="24"/>
          <w:szCs w:val="24"/>
        </w:rPr>
        <w:t>coronatione</w:t>
      </w:r>
      <w:proofErr w:type="spellEnd"/>
      <w:r w:rsidRPr="00AE3100">
        <w:rPr>
          <w:i/>
          <w:iCs/>
          <w:sz w:val="24"/>
          <w:szCs w:val="24"/>
        </w:rPr>
        <w:t xml:space="preserve"> </w:t>
      </w:r>
      <w:proofErr w:type="spellStart"/>
      <w:r w:rsidRPr="00AE3100">
        <w:rPr>
          <w:i/>
          <w:iCs/>
          <w:sz w:val="24"/>
          <w:szCs w:val="24"/>
        </w:rPr>
        <w:t>sua</w:t>
      </w:r>
      <w:proofErr w:type="spellEnd"/>
      <w:r w:rsidRPr="00AE3100">
        <w:rPr>
          <w:i/>
          <w:iCs/>
          <w:sz w:val="24"/>
          <w:szCs w:val="24"/>
        </w:rPr>
        <w:t xml:space="preserve">, </w:t>
      </w:r>
      <w:proofErr w:type="spellStart"/>
      <w:r w:rsidRPr="00AE3100">
        <w:rPr>
          <w:i/>
          <w:iCs/>
          <w:sz w:val="24"/>
          <w:szCs w:val="24"/>
        </w:rPr>
        <w:t>videlicet</w:t>
      </w:r>
      <w:proofErr w:type="spellEnd"/>
      <w:r w:rsidRPr="00AE3100">
        <w:rPr>
          <w:i/>
          <w:iCs/>
          <w:sz w:val="24"/>
          <w:szCs w:val="24"/>
        </w:rPr>
        <w:t xml:space="preserve"> quod non </w:t>
      </w:r>
      <w:proofErr w:type="spellStart"/>
      <w:r w:rsidRPr="00AE3100">
        <w:rPr>
          <w:i/>
          <w:iCs/>
          <w:sz w:val="24"/>
          <w:szCs w:val="24"/>
        </w:rPr>
        <w:t>alienabit</w:t>
      </w:r>
      <w:proofErr w:type="spellEnd"/>
      <w:r w:rsidRPr="00AE3100">
        <w:rPr>
          <w:i/>
          <w:iCs/>
          <w:sz w:val="24"/>
          <w:szCs w:val="24"/>
        </w:rPr>
        <w:t xml:space="preserve"> </w:t>
      </w:r>
      <w:proofErr w:type="spellStart"/>
      <w:r w:rsidRPr="00AE3100">
        <w:rPr>
          <w:i/>
          <w:iCs/>
          <w:sz w:val="24"/>
          <w:szCs w:val="24"/>
        </w:rPr>
        <w:t>terras</w:t>
      </w:r>
      <w:proofErr w:type="spellEnd"/>
      <w:r w:rsidRPr="00AE3100">
        <w:rPr>
          <w:i/>
          <w:iCs/>
          <w:sz w:val="24"/>
          <w:szCs w:val="24"/>
        </w:rPr>
        <w:t xml:space="preserve"> </w:t>
      </w:r>
      <w:proofErr w:type="spellStart"/>
      <w:r w:rsidRPr="00AE3100">
        <w:rPr>
          <w:i/>
          <w:iCs/>
          <w:sz w:val="24"/>
          <w:szCs w:val="24"/>
        </w:rPr>
        <w:t>suas</w:t>
      </w:r>
      <w:proofErr w:type="spellEnd"/>
      <w:r w:rsidRPr="00AE3100">
        <w:rPr>
          <w:i/>
          <w:iCs/>
          <w:sz w:val="24"/>
          <w:szCs w:val="24"/>
        </w:rPr>
        <w:t xml:space="preserve">, </w:t>
      </w:r>
      <w:proofErr w:type="spellStart"/>
      <w:r w:rsidRPr="00AE3100">
        <w:rPr>
          <w:i/>
          <w:iCs/>
          <w:sz w:val="24"/>
          <w:szCs w:val="24"/>
        </w:rPr>
        <w:t>dominica</w:t>
      </w:r>
      <w:proofErr w:type="spellEnd"/>
      <w:r w:rsidRPr="00AE3100">
        <w:rPr>
          <w:i/>
          <w:iCs/>
          <w:sz w:val="24"/>
          <w:szCs w:val="24"/>
        </w:rPr>
        <w:t xml:space="preserve">, </w:t>
      </w:r>
      <w:proofErr w:type="spellStart"/>
      <w:r w:rsidRPr="00AE3100">
        <w:rPr>
          <w:i/>
          <w:iCs/>
          <w:sz w:val="24"/>
          <w:szCs w:val="24"/>
        </w:rPr>
        <w:t>possessiones</w:t>
      </w:r>
      <w:proofErr w:type="spellEnd"/>
      <w:r w:rsidRPr="00AE3100">
        <w:rPr>
          <w:i/>
          <w:iCs/>
          <w:sz w:val="24"/>
          <w:szCs w:val="24"/>
        </w:rPr>
        <w:t xml:space="preserve">, </w:t>
      </w:r>
      <w:proofErr w:type="spellStart"/>
      <w:r w:rsidRPr="00AE3100">
        <w:rPr>
          <w:i/>
          <w:iCs/>
          <w:sz w:val="24"/>
          <w:szCs w:val="24"/>
        </w:rPr>
        <w:t>aut</w:t>
      </w:r>
      <w:proofErr w:type="spellEnd"/>
      <w:r w:rsidRPr="00AE3100">
        <w:rPr>
          <w:i/>
          <w:iCs/>
          <w:sz w:val="24"/>
          <w:szCs w:val="24"/>
        </w:rPr>
        <w:t xml:space="preserve"> </w:t>
      </w:r>
      <w:proofErr w:type="spellStart"/>
      <w:r w:rsidRPr="00AE3100">
        <w:rPr>
          <w:i/>
          <w:iCs/>
          <w:sz w:val="24"/>
          <w:szCs w:val="24"/>
        </w:rPr>
        <w:t>redditus</w:t>
      </w:r>
      <w:proofErr w:type="spellEnd"/>
      <w:r w:rsidRPr="00AE3100">
        <w:rPr>
          <w:i/>
          <w:iCs/>
          <w:sz w:val="24"/>
          <w:szCs w:val="24"/>
        </w:rPr>
        <w:t xml:space="preserve"> </w:t>
      </w:r>
      <w:proofErr w:type="spellStart"/>
      <w:r w:rsidRPr="00AE3100">
        <w:rPr>
          <w:i/>
          <w:iCs/>
          <w:sz w:val="24"/>
          <w:szCs w:val="24"/>
        </w:rPr>
        <w:t>quoscunque</w:t>
      </w:r>
      <w:proofErr w:type="spellEnd"/>
      <w:r w:rsidRPr="00AE3100">
        <w:rPr>
          <w:i/>
          <w:iCs/>
          <w:sz w:val="24"/>
          <w:szCs w:val="24"/>
        </w:rPr>
        <w:t xml:space="preserve"> </w:t>
      </w:r>
      <w:proofErr w:type="spellStart"/>
      <w:r w:rsidRPr="00AE3100">
        <w:rPr>
          <w:i/>
          <w:iCs/>
          <w:sz w:val="24"/>
          <w:szCs w:val="24"/>
        </w:rPr>
        <w:t>spectantes</w:t>
      </w:r>
      <w:proofErr w:type="spellEnd"/>
      <w:r w:rsidRPr="00AE3100">
        <w:rPr>
          <w:i/>
          <w:iCs/>
          <w:sz w:val="24"/>
          <w:szCs w:val="24"/>
        </w:rPr>
        <w:t xml:space="preserve"> </w:t>
      </w:r>
      <w:proofErr w:type="spellStart"/>
      <w:r w:rsidRPr="00AE3100">
        <w:rPr>
          <w:i/>
          <w:iCs/>
          <w:sz w:val="24"/>
          <w:szCs w:val="24"/>
        </w:rPr>
        <w:t>ad</w:t>
      </w:r>
      <w:proofErr w:type="spellEnd"/>
      <w:r w:rsidRPr="00AE3100">
        <w:rPr>
          <w:i/>
          <w:iCs/>
          <w:sz w:val="24"/>
          <w:szCs w:val="24"/>
        </w:rPr>
        <w:t xml:space="preserve"> </w:t>
      </w:r>
      <w:proofErr w:type="spellStart"/>
      <w:r w:rsidRPr="00AE3100">
        <w:rPr>
          <w:i/>
          <w:iCs/>
          <w:sz w:val="24"/>
          <w:szCs w:val="24"/>
        </w:rPr>
        <w:t>coronam</w:t>
      </w:r>
      <w:proofErr w:type="spellEnd"/>
      <w:r w:rsidRPr="001A3CB5">
        <w:rPr>
          <w:sz w:val="24"/>
          <w:szCs w:val="24"/>
        </w:rPr>
        <w:t>’</w:t>
      </w:r>
      <w:r w:rsidRPr="00AC4AC9">
        <w:rPr>
          <w:sz w:val="24"/>
          <w:szCs w:val="24"/>
        </w:rPr>
        <w:t>.</w:t>
      </w:r>
      <w:r w:rsidRPr="00AC4AC9">
        <w:rPr>
          <w:rStyle w:val="FootnoteReference"/>
          <w:sz w:val="24"/>
          <w:szCs w:val="24"/>
        </w:rPr>
        <w:footnoteReference w:id="159"/>
      </w:r>
      <w:r w:rsidRPr="00AC4AC9">
        <w:rPr>
          <w:sz w:val="24"/>
          <w:szCs w:val="24"/>
        </w:rPr>
        <w:t xml:space="preserve"> These two promises may have been accompanied by further obligations, such as a commitment to uphold the laws and customs of the kingdom, following the example of previous kings.</w:t>
      </w:r>
      <w:r w:rsidRPr="00AC4AC9">
        <w:rPr>
          <w:rStyle w:val="FootnoteReference"/>
          <w:sz w:val="24"/>
          <w:szCs w:val="24"/>
        </w:rPr>
        <w:footnoteReference w:id="160"/>
      </w:r>
      <w:r w:rsidRPr="00AC4AC9">
        <w:rPr>
          <w:sz w:val="24"/>
          <w:szCs w:val="24"/>
        </w:rPr>
        <w:t xml:space="preserve"> These promises reminded the initiand of the expectations the participants placed upon their leader and his duties in office. It is unclear whether David could fully comprehend these duties at such a young age but, according to Gratian, he met the minimum age requirement for giving consent.</w:t>
      </w:r>
      <w:r w:rsidRPr="00AC4AC9">
        <w:rPr>
          <w:rStyle w:val="FootnoteReference"/>
          <w:sz w:val="24"/>
          <w:szCs w:val="24"/>
        </w:rPr>
        <w:footnoteReference w:id="161"/>
      </w:r>
      <w:r w:rsidRPr="00AC4AC9">
        <w:rPr>
          <w:sz w:val="24"/>
          <w:szCs w:val="24"/>
        </w:rPr>
        <w:t xml:space="preserve"> Indeed, the fact that he renew</w:t>
      </w:r>
      <w:r>
        <w:rPr>
          <w:sz w:val="24"/>
          <w:szCs w:val="24"/>
        </w:rPr>
        <w:t>ed</w:t>
      </w:r>
      <w:r w:rsidRPr="00AC4AC9">
        <w:rPr>
          <w:sz w:val="24"/>
          <w:szCs w:val="24"/>
        </w:rPr>
        <w:t xml:space="preserve"> the non-alienation clause in 1357 suggests that the political community were happy to remind him of his obligations should his memory fail.</w:t>
      </w:r>
    </w:p>
    <w:p w14:paraId="32779210" w14:textId="34A86D5E" w:rsidR="00F21493" w:rsidRPr="00AC4AC9" w:rsidRDefault="00AC3FC8" w:rsidP="006B56A8">
      <w:pPr>
        <w:spacing w:line="360" w:lineRule="auto"/>
        <w:ind w:firstLine="720"/>
        <w:jc w:val="both"/>
        <w:rPr>
          <w:sz w:val="24"/>
          <w:szCs w:val="24"/>
        </w:rPr>
      </w:pPr>
      <w:r w:rsidRPr="00AC4AC9">
        <w:rPr>
          <w:sz w:val="24"/>
          <w:szCs w:val="24"/>
        </w:rPr>
        <w:t>The oaths were followed by the king’s anointment.</w:t>
      </w:r>
      <w:r>
        <w:rPr>
          <w:sz w:val="24"/>
          <w:szCs w:val="24"/>
        </w:rPr>
        <w:t xml:space="preserve"> </w:t>
      </w:r>
      <w:r w:rsidR="00F21493" w:rsidRPr="00AC4AC9">
        <w:rPr>
          <w:sz w:val="24"/>
          <w:szCs w:val="24"/>
        </w:rPr>
        <w:t xml:space="preserve">Unfortunately, the 1329 papal grant contained limited advice about how the celebrant </w:t>
      </w:r>
      <w:r>
        <w:rPr>
          <w:sz w:val="24"/>
          <w:szCs w:val="24"/>
        </w:rPr>
        <w:t xml:space="preserve">was expected </w:t>
      </w:r>
      <w:r w:rsidR="00F21493" w:rsidRPr="00AC4AC9">
        <w:rPr>
          <w:sz w:val="24"/>
          <w:szCs w:val="24"/>
        </w:rPr>
        <w:t xml:space="preserve">to perform this rite. It simply stated that the bishop of St Andrews should anoint and crown the king with a </w:t>
      </w:r>
      <w:r w:rsidR="00825443" w:rsidRPr="00AC4AC9">
        <w:rPr>
          <w:sz w:val="24"/>
          <w:szCs w:val="24"/>
        </w:rPr>
        <w:t>‘</w:t>
      </w:r>
      <w:proofErr w:type="spellStart"/>
      <w:r w:rsidR="00F21493" w:rsidRPr="00AE3100">
        <w:rPr>
          <w:i/>
          <w:iCs/>
          <w:sz w:val="24"/>
          <w:szCs w:val="24"/>
        </w:rPr>
        <w:t>dyadema</w:t>
      </w:r>
      <w:proofErr w:type="spellEnd"/>
      <w:r w:rsidR="00825443" w:rsidRPr="00AC4AC9">
        <w:rPr>
          <w:sz w:val="24"/>
          <w:szCs w:val="24"/>
        </w:rPr>
        <w:t>’</w:t>
      </w:r>
      <w:r w:rsidR="00F21493" w:rsidRPr="00AC4AC9">
        <w:rPr>
          <w:sz w:val="24"/>
          <w:szCs w:val="24"/>
        </w:rPr>
        <w:t>, but it did not specify how to apply the oil.</w:t>
      </w:r>
      <w:r w:rsidR="00F21493" w:rsidRPr="00AC4AC9">
        <w:rPr>
          <w:rStyle w:val="FootnoteReference"/>
          <w:sz w:val="24"/>
          <w:szCs w:val="24"/>
        </w:rPr>
        <w:footnoteReference w:id="162"/>
      </w:r>
      <w:r w:rsidR="00F21493" w:rsidRPr="00AC4AC9">
        <w:rPr>
          <w:sz w:val="24"/>
          <w:szCs w:val="24"/>
        </w:rPr>
        <w:t xml:space="preserve"> We do not even know how the oil got to Scotland: it must have been blessed and transported </w:t>
      </w:r>
      <w:r w:rsidR="00232B92">
        <w:rPr>
          <w:sz w:val="24"/>
          <w:szCs w:val="24"/>
        </w:rPr>
        <w:t>there</w:t>
      </w:r>
      <w:r w:rsidR="00F21493" w:rsidRPr="00AC4AC9">
        <w:rPr>
          <w:sz w:val="24"/>
          <w:szCs w:val="24"/>
        </w:rPr>
        <w:t xml:space="preserve">, but there is no record of any envoys specifically </w:t>
      </w:r>
      <w:r w:rsidR="00F21493" w:rsidRPr="00AC4AC9">
        <w:rPr>
          <w:sz w:val="24"/>
          <w:szCs w:val="24"/>
        </w:rPr>
        <w:lastRenderedPageBreak/>
        <w:t>assigned to this task.</w:t>
      </w:r>
      <w:r w:rsidR="00F21493" w:rsidRPr="00AC4AC9">
        <w:rPr>
          <w:rStyle w:val="FootnoteReference"/>
          <w:sz w:val="24"/>
          <w:szCs w:val="24"/>
        </w:rPr>
        <w:footnoteReference w:id="163"/>
      </w:r>
      <w:r w:rsidR="00F21493" w:rsidRPr="00AC4AC9">
        <w:rPr>
          <w:sz w:val="24"/>
          <w:szCs w:val="24"/>
        </w:rPr>
        <w:t xml:space="preserve"> Elsewhere, a stock of holy </w:t>
      </w:r>
      <w:r w:rsidR="00BB31D3" w:rsidRPr="00AC4AC9">
        <w:rPr>
          <w:sz w:val="24"/>
          <w:szCs w:val="24"/>
        </w:rPr>
        <w:t>oil for use in inaugurations was kept ready, usually at a significant local cult site. As Scotland was receiving the oil for the first time, this location had probably not been established. Even after 1331, no saint or religious house is known to have been associated with the Scottish holy oil, so it is unclear where it was kept.</w:t>
      </w:r>
      <w:r w:rsidR="00BB31D3" w:rsidRPr="00AC4AC9">
        <w:rPr>
          <w:rStyle w:val="FootnoteReference"/>
          <w:sz w:val="24"/>
          <w:szCs w:val="24"/>
        </w:rPr>
        <w:footnoteReference w:id="164"/>
      </w:r>
      <w:r w:rsidR="006A6F71" w:rsidRPr="00AC4AC9">
        <w:rPr>
          <w:sz w:val="24"/>
          <w:szCs w:val="24"/>
        </w:rPr>
        <w:t xml:space="preserve"> </w:t>
      </w:r>
      <w:r w:rsidR="00062AFC">
        <w:rPr>
          <w:sz w:val="24"/>
          <w:szCs w:val="24"/>
        </w:rPr>
        <w:t>Yet,</w:t>
      </w:r>
      <w:r w:rsidR="006A6F71" w:rsidRPr="00AC4AC9">
        <w:rPr>
          <w:sz w:val="24"/>
          <w:szCs w:val="24"/>
        </w:rPr>
        <w:t xml:space="preserve"> in 1331, the presence of unction in the ritual would have been such a significant addition that the spiritual weight of a cult association</w:t>
      </w:r>
      <w:r w:rsidR="00825443" w:rsidRPr="00AC4AC9">
        <w:rPr>
          <w:sz w:val="24"/>
          <w:szCs w:val="24"/>
        </w:rPr>
        <w:t xml:space="preserve"> was not needed</w:t>
      </w:r>
      <w:r w:rsidR="006A6F71" w:rsidRPr="00AC4AC9">
        <w:rPr>
          <w:sz w:val="24"/>
          <w:szCs w:val="24"/>
        </w:rPr>
        <w:t xml:space="preserve">. </w:t>
      </w:r>
    </w:p>
    <w:p w14:paraId="451B81DA" w14:textId="7499E132" w:rsidR="00F53B97" w:rsidRDefault="00645EA4" w:rsidP="006B56A8">
      <w:pPr>
        <w:spacing w:line="360" w:lineRule="auto"/>
        <w:ind w:firstLine="720"/>
        <w:jc w:val="both"/>
        <w:rPr>
          <w:sz w:val="24"/>
          <w:szCs w:val="24"/>
        </w:rPr>
      </w:pPr>
      <w:r w:rsidRPr="00AC4AC9">
        <w:rPr>
          <w:sz w:val="24"/>
          <w:szCs w:val="24"/>
        </w:rPr>
        <w:t xml:space="preserve">As I discussed </w:t>
      </w:r>
      <w:r w:rsidR="00C31B27">
        <w:rPr>
          <w:sz w:val="24"/>
          <w:szCs w:val="24"/>
        </w:rPr>
        <w:t>previously</w:t>
      </w:r>
      <w:r w:rsidRPr="00AC4AC9">
        <w:rPr>
          <w:sz w:val="24"/>
          <w:szCs w:val="24"/>
        </w:rPr>
        <w:t>, David was likely hidden from view by a banner</w:t>
      </w:r>
      <w:r w:rsidR="00232B92">
        <w:rPr>
          <w:sz w:val="24"/>
          <w:szCs w:val="24"/>
        </w:rPr>
        <w:t xml:space="preserve"> while being anointed</w:t>
      </w:r>
      <w:r w:rsidRPr="00AC4AC9">
        <w:rPr>
          <w:sz w:val="24"/>
          <w:szCs w:val="24"/>
        </w:rPr>
        <w:t xml:space="preserve">, </w:t>
      </w:r>
      <w:r w:rsidR="00232B92">
        <w:rPr>
          <w:sz w:val="24"/>
          <w:szCs w:val="24"/>
        </w:rPr>
        <w:t>and</w:t>
      </w:r>
      <w:r w:rsidRPr="00AC4AC9">
        <w:rPr>
          <w:sz w:val="24"/>
          <w:szCs w:val="24"/>
        </w:rPr>
        <w:t xml:space="preserve"> his clothing from the waist up was removed. In the English tradition, the celebrant anointed the candidate’s upper body, arms, hands, and head.</w:t>
      </w:r>
      <w:r w:rsidRPr="00AC4AC9">
        <w:rPr>
          <w:rStyle w:val="FootnoteReference"/>
          <w:sz w:val="24"/>
          <w:szCs w:val="24"/>
        </w:rPr>
        <w:footnoteReference w:id="165"/>
      </w:r>
      <w:r w:rsidRPr="00AC4AC9">
        <w:rPr>
          <w:sz w:val="24"/>
          <w:szCs w:val="24"/>
        </w:rPr>
        <w:t xml:space="preserve"> The Scots probably followed this style and anointed David in the same way. In other inaugurations, this rite was preceded and </w:t>
      </w:r>
      <w:r w:rsidRPr="00CB559C">
        <w:rPr>
          <w:sz w:val="24"/>
          <w:szCs w:val="24"/>
        </w:rPr>
        <w:t>succeeded by prayers and allusions to the anointing of the Old Testament kings.</w:t>
      </w:r>
      <w:r w:rsidRPr="00CB559C">
        <w:rPr>
          <w:rStyle w:val="FootnoteReference"/>
          <w:sz w:val="24"/>
          <w:szCs w:val="24"/>
        </w:rPr>
        <w:footnoteReference w:id="166"/>
      </w:r>
      <w:r w:rsidRPr="00CB559C">
        <w:rPr>
          <w:sz w:val="24"/>
          <w:szCs w:val="24"/>
        </w:rPr>
        <w:t xml:space="preserve"> The 1329 bu</w:t>
      </w:r>
      <w:r w:rsidR="00916A97" w:rsidRPr="00CB559C">
        <w:rPr>
          <w:sz w:val="24"/>
          <w:szCs w:val="24"/>
        </w:rPr>
        <w:t xml:space="preserve">ll highlighted this link between the rite and the relevant scripture to include during its performance using the phrase, </w:t>
      </w:r>
      <w:r w:rsidR="00CB559C" w:rsidRPr="00CB559C">
        <w:rPr>
          <w:sz w:val="24"/>
          <w:szCs w:val="24"/>
        </w:rPr>
        <w:t>‘</w:t>
      </w:r>
      <w:proofErr w:type="spellStart"/>
      <w:r w:rsidR="00CB559C" w:rsidRPr="00AE3100">
        <w:rPr>
          <w:i/>
          <w:iCs/>
          <w:sz w:val="24"/>
          <w:szCs w:val="24"/>
        </w:rPr>
        <w:t>nam</w:t>
      </w:r>
      <w:proofErr w:type="spellEnd"/>
      <w:r w:rsidR="00CB559C" w:rsidRPr="00AE3100">
        <w:rPr>
          <w:i/>
          <w:iCs/>
          <w:sz w:val="24"/>
          <w:szCs w:val="24"/>
        </w:rPr>
        <w:t xml:space="preserve"> </w:t>
      </w:r>
      <w:proofErr w:type="spellStart"/>
      <w:r w:rsidR="00CB559C" w:rsidRPr="00AE3100">
        <w:rPr>
          <w:i/>
          <w:iCs/>
          <w:sz w:val="24"/>
          <w:szCs w:val="24"/>
        </w:rPr>
        <w:t>inuncto</w:t>
      </w:r>
      <w:proofErr w:type="spellEnd"/>
      <w:r w:rsidR="00CB559C" w:rsidRPr="00AE3100">
        <w:rPr>
          <w:i/>
          <w:iCs/>
          <w:sz w:val="24"/>
          <w:szCs w:val="24"/>
        </w:rPr>
        <w:t xml:space="preserve"> Saule </w:t>
      </w:r>
      <w:proofErr w:type="spellStart"/>
      <w:r w:rsidR="00CB559C" w:rsidRPr="00AE3100">
        <w:rPr>
          <w:i/>
          <w:iCs/>
          <w:sz w:val="24"/>
          <w:szCs w:val="24"/>
        </w:rPr>
        <w:t>insiliit</w:t>
      </w:r>
      <w:proofErr w:type="spellEnd"/>
      <w:r w:rsidR="00CB559C" w:rsidRPr="00AE3100">
        <w:rPr>
          <w:i/>
          <w:iCs/>
          <w:sz w:val="24"/>
          <w:szCs w:val="24"/>
        </w:rPr>
        <w:t xml:space="preserve"> spiritus domini super </w:t>
      </w:r>
      <w:proofErr w:type="spellStart"/>
      <w:r w:rsidR="00CB559C" w:rsidRPr="00AE3100">
        <w:rPr>
          <w:i/>
          <w:iCs/>
          <w:sz w:val="24"/>
          <w:szCs w:val="24"/>
        </w:rPr>
        <w:t>eum</w:t>
      </w:r>
      <w:proofErr w:type="spellEnd"/>
      <w:r w:rsidR="00CB559C" w:rsidRPr="00AE3100">
        <w:rPr>
          <w:i/>
          <w:iCs/>
          <w:sz w:val="24"/>
          <w:szCs w:val="24"/>
        </w:rPr>
        <w:t xml:space="preserve">, et in </w:t>
      </w:r>
      <w:proofErr w:type="spellStart"/>
      <w:r w:rsidR="00CB559C" w:rsidRPr="00AE3100">
        <w:rPr>
          <w:i/>
          <w:iCs/>
          <w:sz w:val="24"/>
          <w:szCs w:val="24"/>
        </w:rPr>
        <w:t>virum</w:t>
      </w:r>
      <w:proofErr w:type="spellEnd"/>
      <w:r w:rsidR="00CB559C" w:rsidRPr="00AE3100">
        <w:rPr>
          <w:i/>
          <w:iCs/>
          <w:sz w:val="24"/>
          <w:szCs w:val="24"/>
        </w:rPr>
        <w:t xml:space="preserve"> </w:t>
      </w:r>
      <w:proofErr w:type="spellStart"/>
      <w:r w:rsidR="00CB559C" w:rsidRPr="00AE3100">
        <w:rPr>
          <w:i/>
          <w:iCs/>
          <w:sz w:val="24"/>
          <w:szCs w:val="24"/>
        </w:rPr>
        <w:t>alternum</w:t>
      </w:r>
      <w:proofErr w:type="spellEnd"/>
      <w:r w:rsidR="00CB559C" w:rsidRPr="00AE3100">
        <w:rPr>
          <w:i/>
          <w:iCs/>
          <w:sz w:val="24"/>
          <w:szCs w:val="24"/>
        </w:rPr>
        <w:t xml:space="preserve"> </w:t>
      </w:r>
      <w:proofErr w:type="spellStart"/>
      <w:r w:rsidR="00CB559C" w:rsidRPr="00AE3100">
        <w:rPr>
          <w:i/>
          <w:iCs/>
          <w:sz w:val="24"/>
          <w:szCs w:val="24"/>
        </w:rPr>
        <w:t>est</w:t>
      </w:r>
      <w:proofErr w:type="spellEnd"/>
      <w:r w:rsidR="00CB559C" w:rsidRPr="00AE3100">
        <w:rPr>
          <w:i/>
          <w:iCs/>
          <w:sz w:val="24"/>
          <w:szCs w:val="24"/>
        </w:rPr>
        <w:t xml:space="preserve"> </w:t>
      </w:r>
      <w:proofErr w:type="spellStart"/>
      <w:r w:rsidR="00CB559C" w:rsidRPr="00AE3100">
        <w:rPr>
          <w:i/>
          <w:iCs/>
          <w:sz w:val="24"/>
          <w:szCs w:val="24"/>
        </w:rPr>
        <w:t>mutatus</w:t>
      </w:r>
      <w:proofErr w:type="spellEnd"/>
      <w:r w:rsidR="00CB559C" w:rsidRPr="00CB559C">
        <w:rPr>
          <w:sz w:val="24"/>
          <w:szCs w:val="24"/>
        </w:rPr>
        <w:t>’</w:t>
      </w:r>
      <w:r w:rsidR="00916A97" w:rsidRPr="00AC4AC9">
        <w:rPr>
          <w:sz w:val="24"/>
          <w:szCs w:val="24"/>
        </w:rPr>
        <w:t>.</w:t>
      </w:r>
      <w:r w:rsidR="00916A97" w:rsidRPr="00AC4AC9">
        <w:rPr>
          <w:rStyle w:val="FootnoteReference"/>
          <w:sz w:val="24"/>
          <w:szCs w:val="24"/>
        </w:rPr>
        <w:footnoteReference w:id="167"/>
      </w:r>
      <w:r w:rsidR="006E5AEA" w:rsidRPr="00AC4AC9">
        <w:rPr>
          <w:sz w:val="24"/>
          <w:szCs w:val="24"/>
        </w:rPr>
        <w:t xml:space="preserve"> </w:t>
      </w:r>
      <w:r w:rsidR="00147B2B">
        <w:rPr>
          <w:sz w:val="24"/>
          <w:szCs w:val="24"/>
        </w:rPr>
        <w:t>It was common for medieval ecclesiastics to</w:t>
      </w:r>
      <w:r w:rsidR="00232B92">
        <w:rPr>
          <w:sz w:val="24"/>
          <w:szCs w:val="24"/>
        </w:rPr>
        <w:t xml:space="preserve"> use</w:t>
      </w:r>
      <w:r w:rsidR="00147B2B">
        <w:rPr>
          <w:sz w:val="24"/>
          <w:szCs w:val="24"/>
        </w:rPr>
        <w:t xml:space="preserve"> such biblical passages to inform their relationships with kings and natural for them to portray rulers like David II in these terms (as inheritors to Saul, David and Solomon’s legacy), to demonstrate that he was subject to the same expectations: he was</w:t>
      </w:r>
      <w:r w:rsidR="00147B2B" w:rsidRPr="00AC4AC9">
        <w:rPr>
          <w:sz w:val="24"/>
          <w:szCs w:val="24"/>
        </w:rPr>
        <w:t xml:space="preserve"> to a</w:t>
      </w:r>
      <w:r w:rsidR="00062AFC">
        <w:rPr>
          <w:sz w:val="24"/>
          <w:szCs w:val="24"/>
        </w:rPr>
        <w:t>b</w:t>
      </w:r>
      <w:r w:rsidR="00147B2B" w:rsidRPr="00AC4AC9">
        <w:rPr>
          <w:sz w:val="24"/>
          <w:szCs w:val="24"/>
        </w:rPr>
        <w:t>jure tyrannical rule and follow God’s commandments.</w:t>
      </w:r>
      <w:r w:rsidR="00147B2B" w:rsidRPr="00AC4AC9">
        <w:rPr>
          <w:rStyle w:val="FootnoteReference"/>
          <w:sz w:val="24"/>
          <w:szCs w:val="24"/>
        </w:rPr>
        <w:footnoteReference w:id="168"/>
      </w:r>
      <w:r w:rsidR="00147B2B">
        <w:rPr>
          <w:sz w:val="24"/>
          <w:szCs w:val="24"/>
        </w:rPr>
        <w:t xml:space="preserve"> Indeed, such references </w:t>
      </w:r>
      <w:r w:rsidR="006E5AEA" w:rsidRPr="00AC4AC9">
        <w:rPr>
          <w:sz w:val="24"/>
          <w:szCs w:val="24"/>
        </w:rPr>
        <w:t>were an important way of emphasising, along with the act of anointing, that David was God’s anointed.</w:t>
      </w:r>
    </w:p>
    <w:p w14:paraId="7680A7CD" w14:textId="01B48D2A" w:rsidR="00E73B65" w:rsidRDefault="006E5AEA" w:rsidP="006B56A8">
      <w:pPr>
        <w:spacing w:line="360" w:lineRule="auto"/>
        <w:jc w:val="both"/>
        <w:rPr>
          <w:sz w:val="24"/>
          <w:szCs w:val="24"/>
        </w:rPr>
      </w:pPr>
      <w:r w:rsidRPr="00AC4AC9">
        <w:rPr>
          <w:sz w:val="24"/>
          <w:szCs w:val="24"/>
        </w:rPr>
        <w:tab/>
        <w:t xml:space="preserve">After </w:t>
      </w:r>
      <w:r w:rsidR="00232B92">
        <w:rPr>
          <w:sz w:val="24"/>
          <w:szCs w:val="24"/>
        </w:rPr>
        <w:t>unction</w:t>
      </w:r>
      <w:r w:rsidRPr="00AC4AC9">
        <w:rPr>
          <w:sz w:val="24"/>
          <w:szCs w:val="24"/>
        </w:rPr>
        <w:t xml:space="preserve">, the initiand was re-dressed and invested with items of royal regalia. In 1296, Edward I had confiscated most of Scotland’s regalia, such as the Stone of Destiny and the </w:t>
      </w:r>
      <w:r w:rsidRPr="001A3CB5">
        <w:rPr>
          <w:sz w:val="24"/>
          <w:szCs w:val="24"/>
        </w:rPr>
        <w:t>virga Aaro</w:t>
      </w:r>
      <w:r w:rsidRPr="00AC4AC9">
        <w:rPr>
          <w:sz w:val="24"/>
          <w:szCs w:val="24"/>
        </w:rPr>
        <w:t xml:space="preserve">n, a small sceptre. Despite this, Robert’s 1306 inauguration featured a mantle </w:t>
      </w:r>
      <w:r w:rsidRPr="00AC4AC9">
        <w:rPr>
          <w:sz w:val="24"/>
          <w:szCs w:val="24"/>
        </w:rPr>
        <w:lastRenderedPageBreak/>
        <w:t>and a banner bearing the royal arms, which had been hidden from the English king.</w:t>
      </w:r>
      <w:r w:rsidRPr="00AC4AC9">
        <w:rPr>
          <w:rStyle w:val="FootnoteReference"/>
          <w:sz w:val="24"/>
          <w:szCs w:val="24"/>
        </w:rPr>
        <w:footnoteReference w:id="169"/>
      </w:r>
      <w:r w:rsidRPr="00AC4AC9">
        <w:rPr>
          <w:sz w:val="24"/>
          <w:szCs w:val="24"/>
        </w:rPr>
        <w:t xml:space="preserve"> </w:t>
      </w:r>
      <w:r w:rsidR="000B16DC" w:rsidRPr="00AC4AC9">
        <w:rPr>
          <w:sz w:val="24"/>
          <w:szCs w:val="24"/>
        </w:rPr>
        <w:t xml:space="preserve">These items </w:t>
      </w:r>
      <w:r w:rsidR="000B16DC">
        <w:rPr>
          <w:sz w:val="24"/>
          <w:szCs w:val="24"/>
        </w:rPr>
        <w:t>probably</w:t>
      </w:r>
      <w:r w:rsidR="000B16DC" w:rsidRPr="00AC4AC9">
        <w:rPr>
          <w:sz w:val="24"/>
          <w:szCs w:val="24"/>
        </w:rPr>
        <w:t xml:space="preserve"> featured in David’s elevation and tied him to his predecessors’ legacy. </w:t>
      </w:r>
      <w:r w:rsidR="000B16DC">
        <w:rPr>
          <w:sz w:val="24"/>
          <w:szCs w:val="24"/>
        </w:rPr>
        <w:t xml:space="preserve">Since </w:t>
      </w:r>
      <w:r w:rsidR="000B16DC" w:rsidRPr="00AC4AC9">
        <w:rPr>
          <w:sz w:val="24"/>
          <w:szCs w:val="24"/>
        </w:rPr>
        <w:t>Scone Abbey’s seal depicts a figure bestowing a mantle on the king</w:t>
      </w:r>
      <w:r w:rsidR="000B16DC">
        <w:rPr>
          <w:sz w:val="24"/>
          <w:szCs w:val="24"/>
        </w:rPr>
        <w:t>, it is likely that David was dressed in a royal mantle.</w:t>
      </w:r>
      <w:r w:rsidR="000B16DC" w:rsidRPr="00AC4AC9">
        <w:rPr>
          <w:rStyle w:val="FootnoteReference"/>
          <w:sz w:val="24"/>
          <w:szCs w:val="24"/>
        </w:rPr>
        <w:footnoteReference w:id="170"/>
      </w:r>
      <w:r w:rsidR="000B16DC" w:rsidRPr="00AC4AC9">
        <w:rPr>
          <w:sz w:val="24"/>
          <w:szCs w:val="24"/>
        </w:rPr>
        <w:t xml:space="preserve"> </w:t>
      </w:r>
      <w:r w:rsidR="00F300DC">
        <w:rPr>
          <w:sz w:val="24"/>
          <w:szCs w:val="24"/>
        </w:rPr>
        <w:t>A</w:t>
      </w:r>
      <w:r w:rsidR="000B16DC">
        <w:rPr>
          <w:sz w:val="24"/>
          <w:szCs w:val="24"/>
        </w:rPr>
        <w:t xml:space="preserve"> great deal of </w:t>
      </w:r>
      <w:r w:rsidR="00F300DC">
        <w:rPr>
          <w:sz w:val="24"/>
          <w:szCs w:val="24"/>
        </w:rPr>
        <w:t xml:space="preserve">other </w:t>
      </w:r>
      <w:r w:rsidR="000B16DC">
        <w:rPr>
          <w:sz w:val="24"/>
          <w:szCs w:val="24"/>
        </w:rPr>
        <w:t>material was purchased by the clerks of the wardrobe</w:t>
      </w:r>
      <w:r w:rsidR="00F300DC">
        <w:rPr>
          <w:sz w:val="24"/>
          <w:szCs w:val="24"/>
        </w:rPr>
        <w:t>, which</w:t>
      </w:r>
      <w:r w:rsidR="000B16DC">
        <w:rPr>
          <w:sz w:val="24"/>
          <w:szCs w:val="24"/>
        </w:rPr>
        <w:t xml:space="preserve"> required two trips to London, and included silks from Antioch and Paris, cloth of Antioch, red and white velvet, cloth of ‘</w:t>
      </w:r>
      <w:proofErr w:type="spellStart"/>
      <w:r w:rsidR="000B16DC">
        <w:rPr>
          <w:sz w:val="24"/>
          <w:szCs w:val="24"/>
        </w:rPr>
        <w:t>marmakis</w:t>
      </w:r>
      <w:proofErr w:type="spellEnd"/>
      <w:r w:rsidR="000B16DC">
        <w:rPr>
          <w:sz w:val="24"/>
          <w:szCs w:val="24"/>
        </w:rPr>
        <w:t>’, and a variety of furs.</w:t>
      </w:r>
      <w:r w:rsidR="000B16DC">
        <w:rPr>
          <w:rStyle w:val="FootnoteReference"/>
          <w:sz w:val="24"/>
          <w:szCs w:val="24"/>
        </w:rPr>
        <w:footnoteReference w:id="171"/>
      </w:r>
      <w:r w:rsidR="000B16DC">
        <w:rPr>
          <w:sz w:val="24"/>
          <w:szCs w:val="24"/>
        </w:rPr>
        <w:t xml:space="preserve"> </w:t>
      </w:r>
      <w:r w:rsidRPr="00AC4AC9">
        <w:rPr>
          <w:sz w:val="24"/>
          <w:szCs w:val="24"/>
        </w:rPr>
        <w:t xml:space="preserve">Robert </w:t>
      </w:r>
      <w:r w:rsidR="000B16DC">
        <w:rPr>
          <w:sz w:val="24"/>
          <w:szCs w:val="24"/>
        </w:rPr>
        <w:t xml:space="preserve">had </w:t>
      </w:r>
      <w:r w:rsidRPr="00AC4AC9">
        <w:rPr>
          <w:sz w:val="24"/>
          <w:szCs w:val="24"/>
        </w:rPr>
        <w:t>also bought several other items, such as a new crown, for David and Joan’s wedding in 1328.</w:t>
      </w:r>
      <w:r w:rsidRPr="00AC4AC9">
        <w:rPr>
          <w:rStyle w:val="FootnoteReference"/>
          <w:sz w:val="24"/>
          <w:szCs w:val="24"/>
        </w:rPr>
        <w:footnoteReference w:id="172"/>
      </w:r>
      <w:r w:rsidRPr="00AC4AC9">
        <w:rPr>
          <w:sz w:val="24"/>
          <w:szCs w:val="24"/>
        </w:rPr>
        <w:t xml:space="preserve"> Th</w:t>
      </w:r>
      <w:r w:rsidR="00872206">
        <w:rPr>
          <w:sz w:val="24"/>
          <w:szCs w:val="24"/>
        </w:rPr>
        <w:t>e</w:t>
      </w:r>
      <w:r w:rsidRPr="00AC4AC9">
        <w:rPr>
          <w:sz w:val="24"/>
          <w:szCs w:val="24"/>
        </w:rPr>
        <w:t>s</w:t>
      </w:r>
      <w:r w:rsidR="000B16DC">
        <w:rPr>
          <w:sz w:val="24"/>
          <w:szCs w:val="24"/>
        </w:rPr>
        <w:t>e</w:t>
      </w:r>
      <w:r w:rsidRPr="00AC4AC9">
        <w:rPr>
          <w:sz w:val="24"/>
          <w:szCs w:val="24"/>
        </w:rPr>
        <w:t xml:space="preserve"> could have included the sceptre David is depicted holding on his Great Seal</w:t>
      </w:r>
      <w:r w:rsidR="001A3CB5">
        <w:rPr>
          <w:sz w:val="24"/>
          <w:szCs w:val="24"/>
        </w:rPr>
        <w:t>, which Dean suggests may have been Robert’s sceptre</w:t>
      </w:r>
      <w:r w:rsidRPr="00AC4AC9">
        <w:rPr>
          <w:sz w:val="24"/>
          <w:szCs w:val="24"/>
        </w:rPr>
        <w:t>.</w:t>
      </w:r>
      <w:r w:rsidRPr="00AC4AC9">
        <w:rPr>
          <w:rStyle w:val="FootnoteReference"/>
          <w:sz w:val="24"/>
          <w:szCs w:val="24"/>
        </w:rPr>
        <w:footnoteReference w:id="173"/>
      </w:r>
      <w:r w:rsidRPr="00AC4AC9">
        <w:rPr>
          <w:sz w:val="24"/>
          <w:szCs w:val="24"/>
        </w:rPr>
        <w:t xml:space="preserve"> Another small sceptre was commissioned for the 1331 ritual by a goldsmith called </w:t>
      </w:r>
      <w:proofErr w:type="spellStart"/>
      <w:r w:rsidRPr="00AC4AC9">
        <w:rPr>
          <w:sz w:val="24"/>
          <w:szCs w:val="24"/>
        </w:rPr>
        <w:t>Copyn</w:t>
      </w:r>
      <w:proofErr w:type="spellEnd"/>
      <w:r w:rsidRPr="00AC4AC9">
        <w:rPr>
          <w:sz w:val="24"/>
          <w:szCs w:val="24"/>
        </w:rPr>
        <w:t xml:space="preserve">, but </w:t>
      </w:r>
      <w:r w:rsidR="00C01592">
        <w:rPr>
          <w:sz w:val="24"/>
          <w:szCs w:val="24"/>
        </w:rPr>
        <w:t>Dean suggest</w:t>
      </w:r>
      <w:r w:rsidR="00024B71">
        <w:rPr>
          <w:sz w:val="24"/>
          <w:szCs w:val="24"/>
        </w:rPr>
        <w:t>s</w:t>
      </w:r>
      <w:r w:rsidR="00C01592">
        <w:rPr>
          <w:sz w:val="24"/>
          <w:szCs w:val="24"/>
        </w:rPr>
        <w:t xml:space="preserve"> </w:t>
      </w:r>
      <w:r w:rsidRPr="00AC4AC9">
        <w:rPr>
          <w:sz w:val="24"/>
          <w:szCs w:val="24"/>
        </w:rPr>
        <w:t>this was possibly made for Joan rather than David.</w:t>
      </w:r>
      <w:r w:rsidRPr="00AC4AC9">
        <w:rPr>
          <w:rStyle w:val="FootnoteReference"/>
          <w:sz w:val="24"/>
          <w:szCs w:val="24"/>
        </w:rPr>
        <w:footnoteReference w:id="174"/>
      </w:r>
      <w:r w:rsidRPr="00AC4AC9">
        <w:rPr>
          <w:sz w:val="24"/>
          <w:szCs w:val="24"/>
        </w:rPr>
        <w:t xml:space="preserve"> </w:t>
      </w:r>
      <w:r w:rsidR="0013418E">
        <w:rPr>
          <w:sz w:val="24"/>
          <w:szCs w:val="24"/>
        </w:rPr>
        <w:t>If a rod was bestowed in 1331, it may have been offered by the king’s poet (</w:t>
      </w:r>
      <w:r w:rsidR="0013418E">
        <w:rPr>
          <w:i/>
          <w:iCs/>
          <w:sz w:val="24"/>
          <w:szCs w:val="24"/>
        </w:rPr>
        <w:t xml:space="preserve">ollamh </w:t>
      </w:r>
      <w:r w:rsidR="0013418E">
        <w:rPr>
          <w:sz w:val="24"/>
          <w:szCs w:val="24"/>
        </w:rPr>
        <w:t xml:space="preserve">or </w:t>
      </w:r>
      <w:proofErr w:type="spellStart"/>
      <w:r w:rsidR="0013418E">
        <w:rPr>
          <w:i/>
          <w:iCs/>
          <w:sz w:val="24"/>
          <w:szCs w:val="24"/>
        </w:rPr>
        <w:t>seanchaidh</w:t>
      </w:r>
      <w:proofErr w:type="spellEnd"/>
      <w:r w:rsidR="0013418E">
        <w:rPr>
          <w:sz w:val="24"/>
          <w:szCs w:val="24"/>
        </w:rPr>
        <w:t>), as was the case in Irish inaugurations and perhaps earlier Scottish traditions.</w:t>
      </w:r>
      <w:r w:rsidR="0013418E">
        <w:rPr>
          <w:rStyle w:val="FootnoteReference"/>
          <w:sz w:val="24"/>
          <w:szCs w:val="24"/>
        </w:rPr>
        <w:footnoteReference w:id="175"/>
      </w:r>
      <w:r w:rsidR="000B16DC">
        <w:rPr>
          <w:sz w:val="24"/>
          <w:szCs w:val="24"/>
        </w:rPr>
        <w:t xml:space="preserve"> </w:t>
      </w:r>
      <w:r w:rsidRPr="00AC4AC9">
        <w:rPr>
          <w:sz w:val="24"/>
          <w:szCs w:val="24"/>
        </w:rPr>
        <w:t xml:space="preserve">The sources refer to neither an orb nor a sword among the regalia and David’s seal portrays him with neither item, </w:t>
      </w:r>
      <w:r w:rsidR="00694786">
        <w:rPr>
          <w:sz w:val="24"/>
          <w:szCs w:val="24"/>
        </w:rPr>
        <w:t>but</w:t>
      </w:r>
      <w:r w:rsidRPr="00AC4AC9">
        <w:rPr>
          <w:sz w:val="24"/>
          <w:szCs w:val="24"/>
        </w:rPr>
        <w:t>, as mentioned above, it is unclear whether the seal</w:t>
      </w:r>
      <w:r w:rsidR="00147B2B">
        <w:rPr>
          <w:sz w:val="24"/>
          <w:szCs w:val="24"/>
        </w:rPr>
        <w:t>s</w:t>
      </w:r>
      <w:r w:rsidRPr="00AC4AC9">
        <w:rPr>
          <w:sz w:val="24"/>
          <w:szCs w:val="24"/>
        </w:rPr>
        <w:t xml:space="preserve"> </w:t>
      </w:r>
      <w:r w:rsidR="00147B2B">
        <w:rPr>
          <w:sz w:val="24"/>
          <w:szCs w:val="24"/>
        </w:rPr>
        <w:t xml:space="preserve">are </w:t>
      </w:r>
      <w:r w:rsidRPr="00AC4AC9">
        <w:rPr>
          <w:sz w:val="24"/>
          <w:szCs w:val="24"/>
        </w:rPr>
        <w:t xml:space="preserve">evidence </w:t>
      </w:r>
      <w:r w:rsidR="00147B2B">
        <w:rPr>
          <w:sz w:val="24"/>
          <w:szCs w:val="24"/>
        </w:rPr>
        <w:t>of ritual practice</w:t>
      </w:r>
      <w:r w:rsidRPr="00AC4AC9">
        <w:rPr>
          <w:sz w:val="24"/>
          <w:szCs w:val="24"/>
        </w:rPr>
        <w:t>. Therefore, the</w:t>
      </w:r>
      <w:r w:rsidR="00976609">
        <w:rPr>
          <w:sz w:val="24"/>
          <w:szCs w:val="24"/>
        </w:rPr>
        <w:t>ir</w:t>
      </w:r>
      <w:r w:rsidRPr="00AC4AC9">
        <w:rPr>
          <w:sz w:val="24"/>
          <w:szCs w:val="24"/>
        </w:rPr>
        <w:t xml:space="preserve"> absence on David’s seal does not necessarily indicate their absence in the inauguration. Even so, the conspicuous </w:t>
      </w:r>
      <w:r w:rsidR="002E106B">
        <w:rPr>
          <w:sz w:val="24"/>
          <w:szCs w:val="24"/>
        </w:rPr>
        <w:t>lack</w:t>
      </w:r>
      <w:r w:rsidRPr="00AC4AC9">
        <w:rPr>
          <w:sz w:val="24"/>
          <w:szCs w:val="24"/>
        </w:rPr>
        <w:t xml:space="preserve"> of an object in the king’s left hand on </w:t>
      </w:r>
      <w:r w:rsidR="002E106B">
        <w:rPr>
          <w:sz w:val="24"/>
          <w:szCs w:val="24"/>
        </w:rPr>
        <w:t>the</w:t>
      </w:r>
      <w:r w:rsidRPr="00AC4AC9">
        <w:rPr>
          <w:sz w:val="24"/>
          <w:szCs w:val="24"/>
        </w:rPr>
        <w:t xml:space="preserve"> seal suggests that the designer did not entirely reproduce the French </w:t>
      </w:r>
      <w:r w:rsidR="00E73B65" w:rsidRPr="00AC4AC9">
        <w:rPr>
          <w:sz w:val="24"/>
          <w:szCs w:val="24"/>
        </w:rPr>
        <w:t>design</w:t>
      </w:r>
      <w:r w:rsidR="002E106B">
        <w:rPr>
          <w:sz w:val="24"/>
          <w:szCs w:val="24"/>
        </w:rPr>
        <w:t xml:space="preserve"> that inspired it</w:t>
      </w:r>
      <w:r w:rsidR="00E73B65" w:rsidRPr="00AC4AC9">
        <w:rPr>
          <w:sz w:val="24"/>
          <w:szCs w:val="24"/>
        </w:rPr>
        <w:t>,</w:t>
      </w:r>
      <w:r w:rsidRPr="00AC4AC9">
        <w:rPr>
          <w:sz w:val="24"/>
          <w:szCs w:val="24"/>
        </w:rPr>
        <w:t xml:space="preserve"> and one cannot help but wonder if it was purposefully left empty.</w:t>
      </w:r>
      <w:r w:rsidR="00062AFC">
        <w:rPr>
          <w:rStyle w:val="FootnoteReference"/>
          <w:sz w:val="24"/>
          <w:szCs w:val="24"/>
        </w:rPr>
        <w:footnoteReference w:id="176"/>
      </w:r>
      <w:r w:rsidRPr="00AC4AC9">
        <w:rPr>
          <w:sz w:val="24"/>
          <w:szCs w:val="24"/>
        </w:rPr>
        <w:t xml:space="preserve"> Dean </w:t>
      </w:r>
      <w:r w:rsidR="00232B92">
        <w:rPr>
          <w:sz w:val="24"/>
          <w:szCs w:val="24"/>
        </w:rPr>
        <w:t xml:space="preserve">also </w:t>
      </w:r>
      <w:r w:rsidRPr="00AC4AC9">
        <w:rPr>
          <w:sz w:val="24"/>
          <w:szCs w:val="24"/>
        </w:rPr>
        <w:t>posits that the sword gifted by the pope to William the Lion could have survived Edward I’s confiscations, but there is no evidence of it being used in 1331.</w:t>
      </w:r>
      <w:r w:rsidRPr="00AC4AC9">
        <w:rPr>
          <w:rStyle w:val="FootnoteReference"/>
          <w:sz w:val="24"/>
          <w:szCs w:val="24"/>
        </w:rPr>
        <w:footnoteReference w:id="177"/>
      </w:r>
      <w:r w:rsidRPr="00AC4AC9">
        <w:rPr>
          <w:sz w:val="24"/>
          <w:szCs w:val="24"/>
        </w:rPr>
        <w:t xml:space="preserve"> </w:t>
      </w:r>
      <w:r w:rsidR="00976609">
        <w:rPr>
          <w:sz w:val="24"/>
          <w:szCs w:val="24"/>
        </w:rPr>
        <w:t xml:space="preserve">If </w:t>
      </w:r>
      <w:r w:rsidR="00F300DC">
        <w:rPr>
          <w:sz w:val="24"/>
          <w:szCs w:val="24"/>
        </w:rPr>
        <w:t xml:space="preserve">it did survive, </w:t>
      </w:r>
      <w:r w:rsidR="00976609">
        <w:rPr>
          <w:sz w:val="24"/>
          <w:szCs w:val="24"/>
        </w:rPr>
        <w:t>it was perhaps bestowed by the earl of Fife, as John Bannerman argues was the case in earlier inaugurations.</w:t>
      </w:r>
      <w:r w:rsidR="00976609">
        <w:rPr>
          <w:rStyle w:val="FootnoteReference"/>
          <w:sz w:val="24"/>
          <w:szCs w:val="24"/>
        </w:rPr>
        <w:footnoteReference w:id="178"/>
      </w:r>
    </w:p>
    <w:p w14:paraId="4D72F704" w14:textId="76675725" w:rsidR="006E5AEA" w:rsidRPr="00AC4AC9" w:rsidRDefault="006E5AEA" w:rsidP="006B56A8">
      <w:pPr>
        <w:spacing w:line="360" w:lineRule="auto"/>
        <w:ind w:firstLine="720"/>
        <w:jc w:val="both"/>
        <w:rPr>
          <w:sz w:val="24"/>
          <w:szCs w:val="24"/>
        </w:rPr>
      </w:pPr>
      <w:r w:rsidRPr="00AC4AC9">
        <w:rPr>
          <w:sz w:val="24"/>
          <w:szCs w:val="24"/>
        </w:rPr>
        <w:t xml:space="preserve">If new items were commissioned, they had to be sent to Avignon for papal blessing before the inauguration. Evidence for this custom in the 1300s is recorded in the Westminster Chronicle: Richard II sent a pair of ceremonial slippers to be blessed by Urban VI after the </w:t>
      </w:r>
      <w:r w:rsidRPr="00AC4AC9">
        <w:rPr>
          <w:sz w:val="24"/>
          <w:szCs w:val="24"/>
        </w:rPr>
        <w:lastRenderedPageBreak/>
        <w:t>original pair w</w:t>
      </w:r>
      <w:r w:rsidR="00427718">
        <w:rPr>
          <w:sz w:val="24"/>
          <w:szCs w:val="24"/>
        </w:rPr>
        <w:t>as</w:t>
      </w:r>
      <w:r w:rsidRPr="00AC4AC9">
        <w:rPr>
          <w:sz w:val="24"/>
          <w:szCs w:val="24"/>
        </w:rPr>
        <w:t xml:space="preserve"> lost in the post-inauguration procession.</w:t>
      </w:r>
      <w:r w:rsidRPr="00AC4AC9">
        <w:rPr>
          <w:rStyle w:val="FootnoteReference"/>
          <w:sz w:val="24"/>
          <w:szCs w:val="24"/>
        </w:rPr>
        <w:footnoteReference w:id="179"/>
      </w:r>
      <w:r w:rsidRPr="00AC4AC9">
        <w:rPr>
          <w:sz w:val="24"/>
          <w:szCs w:val="24"/>
        </w:rPr>
        <w:t xml:space="preserve"> </w:t>
      </w:r>
      <w:proofErr w:type="spellStart"/>
      <w:r w:rsidRPr="00AC4AC9">
        <w:rPr>
          <w:sz w:val="24"/>
          <w:szCs w:val="24"/>
        </w:rPr>
        <w:t>Copyn’s</w:t>
      </w:r>
      <w:proofErr w:type="spellEnd"/>
      <w:r w:rsidRPr="00AC4AC9">
        <w:rPr>
          <w:sz w:val="24"/>
          <w:szCs w:val="24"/>
        </w:rPr>
        <w:t xml:space="preserve"> new sceptre, at least, would have required this blessing, but several other items may have been sent with it. </w:t>
      </w:r>
      <w:r w:rsidR="00694786">
        <w:rPr>
          <w:sz w:val="24"/>
          <w:szCs w:val="24"/>
        </w:rPr>
        <w:t>T</w:t>
      </w:r>
      <w:r w:rsidRPr="00AC4AC9">
        <w:rPr>
          <w:sz w:val="24"/>
          <w:szCs w:val="24"/>
        </w:rPr>
        <w:t xml:space="preserve">hese items of regalia </w:t>
      </w:r>
      <w:r w:rsidR="00694786">
        <w:rPr>
          <w:sz w:val="24"/>
          <w:szCs w:val="24"/>
        </w:rPr>
        <w:t xml:space="preserve">would have </w:t>
      </w:r>
      <w:r w:rsidRPr="00AC4AC9">
        <w:rPr>
          <w:sz w:val="24"/>
          <w:szCs w:val="24"/>
        </w:rPr>
        <w:t xml:space="preserve">held religious value because, like the inaugural oil, they </w:t>
      </w:r>
      <w:r w:rsidR="00694786">
        <w:rPr>
          <w:sz w:val="24"/>
          <w:szCs w:val="24"/>
        </w:rPr>
        <w:t>were</w:t>
      </w:r>
      <w:r w:rsidRPr="00AC4AC9">
        <w:rPr>
          <w:sz w:val="24"/>
          <w:szCs w:val="24"/>
        </w:rPr>
        <w:t xml:space="preserve"> </w:t>
      </w:r>
      <w:r w:rsidR="00694786">
        <w:rPr>
          <w:sz w:val="24"/>
          <w:szCs w:val="24"/>
        </w:rPr>
        <w:t>hallowed</w:t>
      </w:r>
      <w:r w:rsidRPr="00AC4AC9">
        <w:rPr>
          <w:sz w:val="24"/>
          <w:szCs w:val="24"/>
        </w:rPr>
        <w:t xml:space="preserve">. The transformation of these items of regalia into holy objects underlined the pope’s sanction of the ritual and </w:t>
      </w:r>
      <w:r w:rsidR="00147B2B">
        <w:rPr>
          <w:sz w:val="24"/>
          <w:szCs w:val="24"/>
        </w:rPr>
        <w:t>David</w:t>
      </w:r>
      <w:r w:rsidRPr="00AC4AC9">
        <w:rPr>
          <w:sz w:val="24"/>
          <w:szCs w:val="24"/>
        </w:rPr>
        <w:t xml:space="preserve">. Meanwhile, </w:t>
      </w:r>
      <w:r w:rsidR="00147B2B">
        <w:rPr>
          <w:sz w:val="24"/>
          <w:szCs w:val="24"/>
        </w:rPr>
        <w:t>his</w:t>
      </w:r>
      <w:r w:rsidRPr="00AC4AC9">
        <w:rPr>
          <w:sz w:val="24"/>
          <w:szCs w:val="24"/>
        </w:rPr>
        <w:t xml:space="preserve"> investment with these items reminded him of his duties. The sword, for example, reminded </w:t>
      </w:r>
      <w:r w:rsidR="00147B2B">
        <w:rPr>
          <w:sz w:val="24"/>
          <w:szCs w:val="24"/>
        </w:rPr>
        <w:t>the king</w:t>
      </w:r>
      <w:r w:rsidRPr="00AC4AC9">
        <w:rPr>
          <w:sz w:val="24"/>
          <w:szCs w:val="24"/>
        </w:rPr>
        <w:t xml:space="preserve"> of his oath to protect the Church and the vulnerable.</w:t>
      </w:r>
      <w:r w:rsidRPr="00AC4AC9">
        <w:rPr>
          <w:rStyle w:val="FootnoteReference"/>
          <w:sz w:val="24"/>
          <w:szCs w:val="24"/>
        </w:rPr>
        <w:footnoteReference w:id="180"/>
      </w:r>
      <w:r w:rsidR="002E106B">
        <w:rPr>
          <w:sz w:val="24"/>
          <w:szCs w:val="24"/>
        </w:rPr>
        <w:t xml:space="preserve"> Thus, each of these items were probably hallowed like the anointing oil, adding to the spiritual importance of the ritual. </w:t>
      </w:r>
    </w:p>
    <w:p w14:paraId="1E199B89" w14:textId="7BA3E91A" w:rsidR="004C5EC1" w:rsidRPr="00AC4AC9" w:rsidRDefault="004C5EC1" w:rsidP="006B56A8">
      <w:pPr>
        <w:spacing w:line="360" w:lineRule="auto"/>
        <w:jc w:val="both"/>
        <w:rPr>
          <w:sz w:val="24"/>
          <w:szCs w:val="24"/>
        </w:rPr>
      </w:pPr>
      <w:r w:rsidRPr="00AC4AC9">
        <w:rPr>
          <w:sz w:val="24"/>
          <w:szCs w:val="24"/>
        </w:rPr>
        <w:tab/>
      </w:r>
      <w:r w:rsidR="006E5AEA" w:rsidRPr="00AC4AC9">
        <w:rPr>
          <w:sz w:val="24"/>
          <w:szCs w:val="24"/>
        </w:rPr>
        <w:t>The most important piece of royal regalia bestowed upon the ritual candidate was the crown. There is some debate about whether previous inaugurations incorporated a coronation</w:t>
      </w:r>
      <w:r w:rsidR="00405126">
        <w:rPr>
          <w:sz w:val="24"/>
          <w:szCs w:val="24"/>
        </w:rPr>
        <w:t>—the ritual act of crowning a ruler</w:t>
      </w:r>
      <w:r w:rsidR="006E5AEA" w:rsidRPr="00AC4AC9">
        <w:rPr>
          <w:sz w:val="24"/>
          <w:szCs w:val="24"/>
        </w:rPr>
        <w:t>. Broun suggests that inaugurations before 1331 neither anointed nor crowned the initiand, and the central act of the ritual was an enthronement.</w:t>
      </w:r>
      <w:r w:rsidR="006E5AEA" w:rsidRPr="00AC4AC9">
        <w:rPr>
          <w:rStyle w:val="FootnoteReference"/>
          <w:sz w:val="24"/>
          <w:szCs w:val="24"/>
        </w:rPr>
        <w:footnoteReference w:id="181"/>
      </w:r>
      <w:r w:rsidR="006E5AEA" w:rsidRPr="00AC4AC9">
        <w:rPr>
          <w:sz w:val="24"/>
          <w:szCs w:val="24"/>
        </w:rPr>
        <w:t xml:space="preserve"> </w:t>
      </w:r>
      <w:r w:rsidR="002E106B">
        <w:rPr>
          <w:sz w:val="24"/>
          <w:szCs w:val="24"/>
        </w:rPr>
        <w:t>T</w:t>
      </w:r>
      <w:r w:rsidR="006E5AEA" w:rsidRPr="00AC4AC9">
        <w:rPr>
          <w:sz w:val="24"/>
          <w:szCs w:val="24"/>
        </w:rPr>
        <w:t>he Chronicle of Meaux stated that David was the first Scottish king to be anointed and crowned.</w:t>
      </w:r>
      <w:r w:rsidR="006E5AEA" w:rsidRPr="00AC4AC9">
        <w:rPr>
          <w:rStyle w:val="FootnoteReference"/>
          <w:sz w:val="24"/>
          <w:szCs w:val="24"/>
        </w:rPr>
        <w:footnoteReference w:id="182"/>
      </w:r>
      <w:r w:rsidR="006E5AEA" w:rsidRPr="00AC4AC9">
        <w:rPr>
          <w:sz w:val="24"/>
          <w:szCs w:val="24"/>
        </w:rPr>
        <w:t xml:space="preserve"> However, the anonymous poem notes that ‘the crown was revered in a new fashion at Scone,/ Which used to enjoy only desire for the throne.’ </w:t>
      </w:r>
      <w:r w:rsidR="00976609">
        <w:rPr>
          <w:sz w:val="24"/>
          <w:szCs w:val="24"/>
        </w:rPr>
        <w:t xml:space="preserve">It also refers to David being provided with a ‘high crown’, implying that </w:t>
      </w:r>
      <w:r w:rsidR="006E5AEA" w:rsidRPr="00AC4AC9">
        <w:rPr>
          <w:sz w:val="24"/>
          <w:szCs w:val="24"/>
        </w:rPr>
        <w:t>the crown was exalted in a new way</w:t>
      </w:r>
      <w:r w:rsidR="00976609">
        <w:rPr>
          <w:sz w:val="24"/>
          <w:szCs w:val="24"/>
        </w:rPr>
        <w:t>, although it is unclear in what manner</w:t>
      </w:r>
      <w:r w:rsidR="006E5AEA" w:rsidRPr="00AC4AC9">
        <w:rPr>
          <w:sz w:val="24"/>
          <w:szCs w:val="24"/>
        </w:rPr>
        <w:t>. Scottish kings are thought to have worn crowns before the fourteenth century. Duncan argued that a coronation was performed during Alexander III’s elevation, based on a late thirteenth-century seal of Scone Abbey that portrayed the king with a crown.</w:t>
      </w:r>
      <w:r w:rsidR="00E37DBF">
        <w:rPr>
          <w:sz w:val="24"/>
          <w:szCs w:val="24"/>
        </w:rPr>
        <w:t xml:space="preserve"> M</w:t>
      </w:r>
      <w:r w:rsidR="00275B4F" w:rsidRPr="00AC4AC9">
        <w:rPr>
          <w:sz w:val="24"/>
          <w:szCs w:val="24"/>
        </w:rPr>
        <w:t>ore significantly, a crown was confiscated from John Balliol when he abdicated in 1296.</w:t>
      </w:r>
      <w:r w:rsidR="00275B4F" w:rsidRPr="00AC4AC9">
        <w:rPr>
          <w:rStyle w:val="FootnoteReference"/>
          <w:sz w:val="24"/>
          <w:szCs w:val="24"/>
        </w:rPr>
        <w:footnoteReference w:id="183"/>
      </w:r>
      <w:r w:rsidR="00275B4F" w:rsidRPr="00AC4AC9">
        <w:rPr>
          <w:sz w:val="24"/>
          <w:szCs w:val="24"/>
        </w:rPr>
        <w:t xml:space="preserve"> </w:t>
      </w:r>
      <w:r w:rsidR="00E37DBF">
        <w:rPr>
          <w:sz w:val="24"/>
          <w:szCs w:val="24"/>
        </w:rPr>
        <w:t>I</w:t>
      </w:r>
      <w:r w:rsidR="00275B4F" w:rsidRPr="00AC4AC9">
        <w:rPr>
          <w:sz w:val="24"/>
          <w:szCs w:val="24"/>
        </w:rPr>
        <w:t>t seems likely</w:t>
      </w:r>
      <w:r w:rsidR="00E37DBF">
        <w:rPr>
          <w:sz w:val="24"/>
          <w:szCs w:val="24"/>
        </w:rPr>
        <w:t>, therefore,</w:t>
      </w:r>
      <w:r w:rsidR="00275B4F" w:rsidRPr="00AC4AC9">
        <w:rPr>
          <w:sz w:val="24"/>
          <w:szCs w:val="24"/>
        </w:rPr>
        <w:t xml:space="preserve"> that some </w:t>
      </w:r>
      <w:r w:rsidR="006C010C">
        <w:rPr>
          <w:sz w:val="24"/>
          <w:szCs w:val="24"/>
        </w:rPr>
        <w:t>sort</w:t>
      </w:r>
      <w:r w:rsidR="00275B4F" w:rsidRPr="00AC4AC9">
        <w:rPr>
          <w:sz w:val="24"/>
          <w:szCs w:val="24"/>
        </w:rPr>
        <w:t xml:space="preserve"> of coronation was incorporated into the inauguration ritual prior to 1331. David’s crown was hallowed in an innovative way because he received </w:t>
      </w:r>
      <w:r w:rsidR="00405126">
        <w:rPr>
          <w:sz w:val="24"/>
          <w:szCs w:val="24"/>
        </w:rPr>
        <w:t xml:space="preserve">it </w:t>
      </w:r>
      <w:r w:rsidR="00275B4F" w:rsidRPr="00AC4AC9">
        <w:rPr>
          <w:sz w:val="24"/>
          <w:szCs w:val="24"/>
        </w:rPr>
        <w:t>from a bishop and with papal sanction</w:t>
      </w:r>
      <w:r w:rsidR="00405126">
        <w:rPr>
          <w:sz w:val="24"/>
          <w:szCs w:val="24"/>
        </w:rPr>
        <w:t>, and it perhaps also featured a new set of diamonds</w:t>
      </w:r>
      <w:r w:rsidR="00275B4F" w:rsidRPr="00AC4AC9">
        <w:rPr>
          <w:sz w:val="24"/>
          <w:szCs w:val="24"/>
        </w:rPr>
        <w:t>.</w:t>
      </w:r>
      <w:r w:rsidR="00D27699">
        <w:rPr>
          <w:rStyle w:val="FootnoteReference"/>
          <w:sz w:val="24"/>
          <w:szCs w:val="24"/>
        </w:rPr>
        <w:footnoteReference w:id="184"/>
      </w:r>
      <w:r w:rsidR="00275B4F" w:rsidRPr="00AC4AC9">
        <w:rPr>
          <w:sz w:val="24"/>
          <w:szCs w:val="24"/>
        </w:rPr>
        <w:t xml:space="preserve"> This ritual act, like the others that accompanied it, emphasised David’s rule as God-given.</w:t>
      </w:r>
    </w:p>
    <w:p w14:paraId="4386C9E2" w14:textId="0B4BA4F7" w:rsidR="002D0977" w:rsidRDefault="00275B4F" w:rsidP="006B56A8">
      <w:pPr>
        <w:spacing w:line="360" w:lineRule="auto"/>
        <w:jc w:val="both"/>
        <w:rPr>
          <w:sz w:val="24"/>
          <w:szCs w:val="24"/>
        </w:rPr>
      </w:pPr>
      <w:r w:rsidRPr="00AC4AC9">
        <w:rPr>
          <w:sz w:val="24"/>
          <w:szCs w:val="24"/>
        </w:rPr>
        <w:tab/>
      </w:r>
      <w:r w:rsidR="002E106B">
        <w:rPr>
          <w:sz w:val="24"/>
          <w:szCs w:val="24"/>
        </w:rPr>
        <w:t>In England and France</w:t>
      </w:r>
      <w:r w:rsidRPr="00AC4AC9">
        <w:rPr>
          <w:sz w:val="24"/>
          <w:szCs w:val="24"/>
        </w:rPr>
        <w:t>, the coronation was the last act of the inauguration</w:t>
      </w:r>
      <w:r w:rsidR="00E66661">
        <w:rPr>
          <w:sz w:val="24"/>
          <w:szCs w:val="24"/>
        </w:rPr>
        <w:t>, although in earlier Scottish inaugurations it was perhaps the presentation of the sword of state</w:t>
      </w:r>
      <w:r w:rsidRPr="00AC4AC9">
        <w:rPr>
          <w:sz w:val="24"/>
          <w:szCs w:val="24"/>
        </w:rPr>
        <w:t>.</w:t>
      </w:r>
      <w:r w:rsidR="00E66661">
        <w:rPr>
          <w:rStyle w:val="FootnoteReference"/>
          <w:sz w:val="24"/>
          <w:szCs w:val="24"/>
        </w:rPr>
        <w:footnoteReference w:id="185"/>
      </w:r>
      <w:r w:rsidRPr="00AC4AC9">
        <w:rPr>
          <w:sz w:val="24"/>
          <w:szCs w:val="24"/>
        </w:rPr>
        <w:t xml:space="preserve"> However, it seems likely that David’s coronation was followed by an enthronement. This is because the </w:t>
      </w:r>
      <w:r w:rsidRPr="00AC4AC9">
        <w:rPr>
          <w:sz w:val="24"/>
          <w:szCs w:val="24"/>
        </w:rPr>
        <w:lastRenderedPageBreak/>
        <w:t xml:space="preserve">anonymous poem refers to David receiving three gifts: ‘the sword, the throne, and the crown.’ We know that two of these items, the sword and the crown, refer to </w:t>
      </w:r>
      <w:r w:rsidR="00D27699">
        <w:rPr>
          <w:sz w:val="24"/>
          <w:szCs w:val="24"/>
        </w:rPr>
        <w:t xml:space="preserve">two separate </w:t>
      </w:r>
      <w:r w:rsidRPr="00AC4AC9">
        <w:rPr>
          <w:sz w:val="24"/>
          <w:szCs w:val="24"/>
        </w:rPr>
        <w:t xml:space="preserve">ritual acts </w:t>
      </w:r>
      <w:r w:rsidR="00D27699">
        <w:rPr>
          <w:sz w:val="24"/>
          <w:szCs w:val="24"/>
        </w:rPr>
        <w:t xml:space="preserve">that were </w:t>
      </w:r>
      <w:r w:rsidRPr="00AC4AC9">
        <w:rPr>
          <w:sz w:val="24"/>
          <w:szCs w:val="24"/>
        </w:rPr>
        <w:t>performed in the inauguration. While it is possible that the poem’s author only included the third item, the throne, for rhetorical purposes (the tripartite form holds special significance in Christian worship), it seems probable that, like the other gifts, the author was alluding to another ritual act.</w:t>
      </w:r>
      <w:r w:rsidRPr="00AC4AC9">
        <w:rPr>
          <w:rStyle w:val="FootnoteReference"/>
          <w:sz w:val="24"/>
          <w:szCs w:val="24"/>
        </w:rPr>
        <w:footnoteReference w:id="186"/>
      </w:r>
      <w:r w:rsidRPr="00AC4AC9">
        <w:rPr>
          <w:sz w:val="24"/>
          <w:szCs w:val="24"/>
        </w:rPr>
        <w:t xml:space="preserve"> In earlier inaugurations, an enthronement took place on the Moot Hill at Scone</w:t>
      </w:r>
      <w:r w:rsidR="00976609">
        <w:rPr>
          <w:sz w:val="24"/>
          <w:szCs w:val="24"/>
        </w:rPr>
        <w:t>,</w:t>
      </w:r>
      <w:r w:rsidRPr="00AC4AC9">
        <w:rPr>
          <w:sz w:val="24"/>
          <w:szCs w:val="24"/>
        </w:rPr>
        <w:t xml:space="preserve"> followed by the </w:t>
      </w:r>
      <w:r w:rsidR="00976609">
        <w:rPr>
          <w:sz w:val="24"/>
          <w:szCs w:val="24"/>
        </w:rPr>
        <w:t xml:space="preserve">reading of the royal genealogy by the king’s poet and the </w:t>
      </w:r>
      <w:r w:rsidRPr="00AC4AC9">
        <w:rPr>
          <w:sz w:val="24"/>
          <w:szCs w:val="24"/>
        </w:rPr>
        <w:t>swearing of allegiance and performance of homage by the tenants-in-chief.</w:t>
      </w:r>
      <w:r w:rsidRPr="00AC4AC9">
        <w:rPr>
          <w:rStyle w:val="FootnoteReference"/>
          <w:sz w:val="24"/>
          <w:szCs w:val="24"/>
        </w:rPr>
        <w:footnoteReference w:id="187"/>
      </w:r>
      <w:r w:rsidRPr="00AC4AC9">
        <w:rPr>
          <w:sz w:val="24"/>
          <w:szCs w:val="24"/>
        </w:rPr>
        <w:t xml:space="preserve"> The Moot Hill, also called the ‘Hill of Belief’ or </w:t>
      </w:r>
      <w:proofErr w:type="spellStart"/>
      <w:r w:rsidRPr="00AC4AC9">
        <w:rPr>
          <w:i/>
          <w:iCs/>
          <w:sz w:val="24"/>
          <w:szCs w:val="24"/>
        </w:rPr>
        <w:t>Caislen</w:t>
      </w:r>
      <w:proofErr w:type="spellEnd"/>
      <w:r w:rsidRPr="00AC4AC9">
        <w:rPr>
          <w:i/>
          <w:iCs/>
          <w:sz w:val="24"/>
          <w:szCs w:val="24"/>
        </w:rPr>
        <w:t xml:space="preserve"> Credi</w:t>
      </w:r>
      <w:r w:rsidRPr="00AC4AC9">
        <w:rPr>
          <w:sz w:val="24"/>
          <w:szCs w:val="24"/>
        </w:rPr>
        <w:t xml:space="preserve">, was a place of significance from the tenth century when, according to the Annals of Ulster and the Chronicle of the Kings of Alba, King Constantín and Bishop </w:t>
      </w:r>
      <w:proofErr w:type="spellStart"/>
      <w:r w:rsidRPr="00AC4AC9">
        <w:rPr>
          <w:sz w:val="24"/>
          <w:szCs w:val="24"/>
        </w:rPr>
        <w:t>Cellach</w:t>
      </w:r>
      <w:proofErr w:type="spellEnd"/>
      <w:r w:rsidRPr="00AC4AC9">
        <w:rPr>
          <w:sz w:val="24"/>
          <w:szCs w:val="24"/>
        </w:rPr>
        <w:t xml:space="preserve"> swore to keep the ‘laws and disciplines’ of the faith and the Church ‘</w:t>
      </w:r>
      <w:proofErr w:type="spellStart"/>
      <w:r w:rsidRPr="00AC4AC9">
        <w:rPr>
          <w:i/>
          <w:iCs/>
          <w:sz w:val="24"/>
          <w:szCs w:val="24"/>
        </w:rPr>
        <w:t>pariter</w:t>
      </w:r>
      <w:proofErr w:type="spellEnd"/>
      <w:r w:rsidRPr="00AC4AC9">
        <w:rPr>
          <w:i/>
          <w:iCs/>
          <w:sz w:val="24"/>
          <w:szCs w:val="24"/>
        </w:rPr>
        <w:t xml:space="preserve"> cum </w:t>
      </w:r>
      <w:proofErr w:type="spellStart"/>
      <w:r w:rsidRPr="00AC4AC9">
        <w:rPr>
          <w:i/>
          <w:iCs/>
          <w:sz w:val="24"/>
          <w:szCs w:val="24"/>
        </w:rPr>
        <w:t>Scottis</w:t>
      </w:r>
      <w:proofErr w:type="spellEnd"/>
      <w:r w:rsidRPr="00AC4AC9">
        <w:rPr>
          <w:sz w:val="24"/>
          <w:szCs w:val="24"/>
        </w:rPr>
        <w:t xml:space="preserve"> on the Hill of Belief’.</w:t>
      </w:r>
      <w:r w:rsidRPr="00AC4AC9">
        <w:rPr>
          <w:rStyle w:val="FootnoteReference"/>
          <w:sz w:val="24"/>
          <w:szCs w:val="24"/>
        </w:rPr>
        <w:footnoteReference w:id="188"/>
      </w:r>
      <w:r w:rsidRPr="00AC4AC9">
        <w:rPr>
          <w:sz w:val="24"/>
          <w:szCs w:val="24"/>
        </w:rPr>
        <w:t xml:space="preserve"> </w:t>
      </w:r>
      <w:r w:rsidR="00976609">
        <w:rPr>
          <w:sz w:val="24"/>
          <w:szCs w:val="24"/>
        </w:rPr>
        <w:t>As Elizabeth Fitzpatrick discusses in an Irish context, such hills were geographically and culturally significant; they both dominated the skyline, offering a view of the territory being claimed, and connected the initiand to an ‘antique landscape’ of past royal assemblies.</w:t>
      </w:r>
      <w:r w:rsidR="00976609">
        <w:rPr>
          <w:rStyle w:val="FootnoteReference"/>
          <w:sz w:val="24"/>
          <w:szCs w:val="24"/>
        </w:rPr>
        <w:footnoteReference w:id="189"/>
      </w:r>
      <w:r w:rsidR="00374001">
        <w:rPr>
          <w:sz w:val="24"/>
          <w:szCs w:val="24"/>
        </w:rPr>
        <w:t xml:space="preserve"> </w:t>
      </w:r>
      <w:r w:rsidR="006C010C">
        <w:rPr>
          <w:sz w:val="24"/>
          <w:szCs w:val="24"/>
        </w:rPr>
        <w:t xml:space="preserve">While the central ritual relocated to the abbey’s church from 1292, as mentioned above, Geoffrey </w:t>
      </w:r>
      <w:r w:rsidRPr="00AC4AC9">
        <w:rPr>
          <w:sz w:val="24"/>
          <w:szCs w:val="24"/>
        </w:rPr>
        <w:t xml:space="preserve">Barrow contended that </w:t>
      </w:r>
      <w:r w:rsidR="006C010C">
        <w:rPr>
          <w:sz w:val="24"/>
          <w:szCs w:val="24"/>
        </w:rPr>
        <w:t xml:space="preserve">the overall process was </w:t>
      </w:r>
      <w:r w:rsidRPr="00AC4AC9">
        <w:rPr>
          <w:sz w:val="24"/>
          <w:szCs w:val="24"/>
        </w:rPr>
        <w:t>divided into two parts: the first part was performed at the abbey, while the second continued to be performed on the Moot Hill.</w:t>
      </w:r>
      <w:r w:rsidRPr="00AC4AC9">
        <w:rPr>
          <w:rStyle w:val="FootnoteReference"/>
          <w:sz w:val="24"/>
          <w:szCs w:val="24"/>
        </w:rPr>
        <w:footnoteReference w:id="190"/>
      </w:r>
      <w:r w:rsidR="00E7212D" w:rsidRPr="00AC4AC9">
        <w:rPr>
          <w:sz w:val="24"/>
          <w:szCs w:val="24"/>
        </w:rPr>
        <w:t xml:space="preserve"> </w:t>
      </w:r>
      <w:r w:rsidR="006C010C">
        <w:rPr>
          <w:sz w:val="24"/>
          <w:szCs w:val="24"/>
        </w:rPr>
        <w:t>Indeed, a</w:t>
      </w:r>
      <w:r w:rsidR="00E7212D" w:rsidRPr="00AC4AC9">
        <w:rPr>
          <w:sz w:val="24"/>
          <w:szCs w:val="24"/>
        </w:rPr>
        <w:t xml:space="preserve">ccording to an act written in 1371 from a now lost register, Robert II’s inauguration </w:t>
      </w:r>
      <w:r w:rsidR="00E7212D" w:rsidRPr="00671DB8">
        <w:rPr>
          <w:sz w:val="24"/>
          <w:szCs w:val="24"/>
        </w:rPr>
        <w:t xml:space="preserve">in 1371 was split in this manner as the king’s subjects made their oaths of allegiance on the Hill, </w:t>
      </w:r>
      <w:r w:rsidR="00671DB8" w:rsidRPr="00671DB8">
        <w:rPr>
          <w:sz w:val="24"/>
          <w:szCs w:val="24"/>
        </w:rPr>
        <w:t>‘</w:t>
      </w:r>
      <w:proofErr w:type="spellStart"/>
      <w:r w:rsidR="00671DB8" w:rsidRPr="00AE3100">
        <w:rPr>
          <w:i/>
          <w:iCs/>
          <w:sz w:val="24"/>
          <w:szCs w:val="24"/>
        </w:rPr>
        <w:t>rege</w:t>
      </w:r>
      <w:proofErr w:type="spellEnd"/>
      <w:r w:rsidR="00671DB8" w:rsidRPr="00AE3100">
        <w:rPr>
          <w:i/>
          <w:iCs/>
          <w:sz w:val="24"/>
          <w:szCs w:val="24"/>
        </w:rPr>
        <w:t xml:space="preserve"> </w:t>
      </w:r>
      <w:proofErr w:type="spellStart"/>
      <w:r w:rsidR="00671DB8" w:rsidRPr="00AE3100">
        <w:rPr>
          <w:i/>
          <w:iCs/>
          <w:sz w:val="24"/>
          <w:szCs w:val="24"/>
        </w:rPr>
        <w:t>sedente</w:t>
      </w:r>
      <w:proofErr w:type="spellEnd"/>
      <w:r w:rsidR="00671DB8" w:rsidRPr="00AE3100">
        <w:rPr>
          <w:i/>
          <w:iCs/>
          <w:sz w:val="24"/>
          <w:szCs w:val="24"/>
        </w:rPr>
        <w:t xml:space="preserve"> in </w:t>
      </w:r>
      <w:proofErr w:type="spellStart"/>
      <w:r w:rsidR="00671DB8" w:rsidRPr="00AE3100">
        <w:rPr>
          <w:i/>
          <w:iCs/>
          <w:sz w:val="24"/>
          <w:szCs w:val="24"/>
        </w:rPr>
        <w:t>sede</w:t>
      </w:r>
      <w:proofErr w:type="spellEnd"/>
      <w:r w:rsidR="00671DB8" w:rsidRPr="00AE3100">
        <w:rPr>
          <w:i/>
          <w:iCs/>
          <w:sz w:val="24"/>
          <w:szCs w:val="24"/>
        </w:rPr>
        <w:t xml:space="preserve"> regia super </w:t>
      </w:r>
      <w:proofErr w:type="spellStart"/>
      <w:r w:rsidR="00671DB8" w:rsidRPr="00AE3100">
        <w:rPr>
          <w:i/>
          <w:iCs/>
          <w:sz w:val="24"/>
          <w:szCs w:val="24"/>
        </w:rPr>
        <w:t>montem</w:t>
      </w:r>
      <w:proofErr w:type="spellEnd"/>
      <w:r w:rsidR="00671DB8" w:rsidRPr="00AE3100">
        <w:rPr>
          <w:i/>
          <w:iCs/>
          <w:sz w:val="24"/>
          <w:szCs w:val="24"/>
        </w:rPr>
        <w:t xml:space="preserve"> de Scone </w:t>
      </w:r>
      <w:proofErr w:type="spellStart"/>
      <w:r w:rsidR="00671DB8" w:rsidRPr="00AE3100">
        <w:rPr>
          <w:i/>
          <w:iCs/>
          <w:sz w:val="24"/>
          <w:szCs w:val="24"/>
        </w:rPr>
        <w:t>ut</w:t>
      </w:r>
      <w:proofErr w:type="spellEnd"/>
      <w:r w:rsidR="00671DB8" w:rsidRPr="00AE3100">
        <w:rPr>
          <w:i/>
          <w:iCs/>
          <w:sz w:val="24"/>
          <w:szCs w:val="24"/>
        </w:rPr>
        <w:t xml:space="preserve"> </w:t>
      </w:r>
      <w:proofErr w:type="spellStart"/>
      <w:r w:rsidR="00671DB8" w:rsidRPr="00AE3100">
        <w:rPr>
          <w:i/>
          <w:iCs/>
          <w:sz w:val="24"/>
          <w:szCs w:val="24"/>
        </w:rPr>
        <w:t>est</w:t>
      </w:r>
      <w:proofErr w:type="spellEnd"/>
      <w:r w:rsidR="00671DB8" w:rsidRPr="00AE3100">
        <w:rPr>
          <w:i/>
          <w:iCs/>
          <w:sz w:val="24"/>
          <w:szCs w:val="24"/>
        </w:rPr>
        <w:t xml:space="preserve"> </w:t>
      </w:r>
      <w:proofErr w:type="spellStart"/>
      <w:r w:rsidR="00671DB8" w:rsidRPr="00AE3100">
        <w:rPr>
          <w:i/>
          <w:iCs/>
          <w:sz w:val="24"/>
          <w:szCs w:val="24"/>
        </w:rPr>
        <w:t>moris</w:t>
      </w:r>
      <w:proofErr w:type="spellEnd"/>
      <w:r w:rsidR="00671DB8" w:rsidRPr="00671DB8">
        <w:rPr>
          <w:sz w:val="24"/>
          <w:szCs w:val="24"/>
        </w:rPr>
        <w:t>’</w:t>
      </w:r>
      <w:r w:rsidR="00E7212D" w:rsidRPr="00671DB8">
        <w:rPr>
          <w:sz w:val="24"/>
          <w:szCs w:val="24"/>
        </w:rPr>
        <w:t>.</w:t>
      </w:r>
      <w:r w:rsidR="00E7212D" w:rsidRPr="00671DB8">
        <w:rPr>
          <w:rStyle w:val="FootnoteReference"/>
          <w:sz w:val="24"/>
          <w:szCs w:val="24"/>
        </w:rPr>
        <w:footnoteReference w:id="191"/>
      </w:r>
      <w:r w:rsidR="00E7212D" w:rsidRPr="00671DB8">
        <w:rPr>
          <w:sz w:val="24"/>
          <w:szCs w:val="24"/>
        </w:rPr>
        <w:t xml:space="preserve"> Robert II received these oaths the day after </w:t>
      </w:r>
      <w:r w:rsidR="00D73EF8">
        <w:rPr>
          <w:sz w:val="24"/>
          <w:szCs w:val="24"/>
        </w:rPr>
        <w:t xml:space="preserve">he </w:t>
      </w:r>
      <w:r w:rsidR="00D27699" w:rsidRPr="00671DB8">
        <w:rPr>
          <w:sz w:val="24"/>
          <w:szCs w:val="24"/>
        </w:rPr>
        <w:t>was anointed and crowned</w:t>
      </w:r>
      <w:r w:rsidR="00E7212D" w:rsidRPr="00671DB8">
        <w:rPr>
          <w:sz w:val="24"/>
          <w:szCs w:val="24"/>
        </w:rPr>
        <w:t>. Although this act does not point to an enthronement, it recorded that the king being seated on a throne was an essential aspect of th</w:t>
      </w:r>
      <w:r w:rsidR="00D27699" w:rsidRPr="00671DB8">
        <w:rPr>
          <w:sz w:val="24"/>
          <w:szCs w:val="24"/>
        </w:rPr>
        <w:t>is</w:t>
      </w:r>
      <w:r w:rsidR="00E7212D" w:rsidRPr="00671DB8">
        <w:rPr>
          <w:sz w:val="24"/>
          <w:szCs w:val="24"/>
        </w:rPr>
        <w:t xml:space="preserve"> process</w:t>
      </w:r>
      <w:r w:rsidR="00D27699" w:rsidRPr="00671DB8">
        <w:rPr>
          <w:sz w:val="24"/>
          <w:szCs w:val="24"/>
        </w:rPr>
        <w:t>.</w:t>
      </w:r>
      <w:r w:rsidR="00325BCE">
        <w:rPr>
          <w:rStyle w:val="FootnoteReference"/>
          <w:sz w:val="24"/>
          <w:szCs w:val="24"/>
        </w:rPr>
        <w:footnoteReference w:id="192"/>
      </w:r>
      <w:r w:rsidR="00D27699" w:rsidRPr="00671DB8">
        <w:rPr>
          <w:sz w:val="24"/>
          <w:szCs w:val="24"/>
        </w:rPr>
        <w:t xml:space="preserve"> Furthermore, this</w:t>
      </w:r>
      <w:r w:rsidR="00E7212D" w:rsidRPr="00671DB8">
        <w:rPr>
          <w:sz w:val="24"/>
          <w:szCs w:val="24"/>
        </w:rPr>
        <w:t xml:space="preserve"> phrase ‘</w:t>
      </w:r>
      <w:proofErr w:type="spellStart"/>
      <w:r w:rsidR="00671DB8" w:rsidRPr="00AE3100">
        <w:rPr>
          <w:i/>
          <w:iCs/>
          <w:sz w:val="24"/>
          <w:szCs w:val="24"/>
        </w:rPr>
        <w:t>ut</w:t>
      </w:r>
      <w:proofErr w:type="spellEnd"/>
      <w:r w:rsidR="00671DB8" w:rsidRPr="00AE3100">
        <w:rPr>
          <w:i/>
          <w:iCs/>
          <w:sz w:val="24"/>
          <w:szCs w:val="24"/>
        </w:rPr>
        <w:t xml:space="preserve"> </w:t>
      </w:r>
      <w:proofErr w:type="spellStart"/>
      <w:r w:rsidR="00671DB8" w:rsidRPr="00AE3100">
        <w:rPr>
          <w:i/>
          <w:iCs/>
          <w:sz w:val="24"/>
          <w:szCs w:val="24"/>
        </w:rPr>
        <w:t>est</w:t>
      </w:r>
      <w:proofErr w:type="spellEnd"/>
      <w:r w:rsidR="00671DB8" w:rsidRPr="00AE3100">
        <w:rPr>
          <w:i/>
          <w:iCs/>
          <w:sz w:val="24"/>
          <w:szCs w:val="24"/>
        </w:rPr>
        <w:t xml:space="preserve"> </w:t>
      </w:r>
      <w:proofErr w:type="spellStart"/>
      <w:r w:rsidR="00671DB8" w:rsidRPr="00AE3100">
        <w:rPr>
          <w:i/>
          <w:iCs/>
          <w:sz w:val="24"/>
          <w:szCs w:val="24"/>
        </w:rPr>
        <w:t>moris</w:t>
      </w:r>
      <w:proofErr w:type="spellEnd"/>
      <w:r w:rsidR="00E7212D" w:rsidRPr="00671DB8">
        <w:rPr>
          <w:sz w:val="24"/>
          <w:szCs w:val="24"/>
        </w:rPr>
        <w:t>’ implie</w:t>
      </w:r>
      <w:r w:rsidR="00505201" w:rsidRPr="00671DB8">
        <w:rPr>
          <w:sz w:val="24"/>
          <w:szCs w:val="24"/>
        </w:rPr>
        <w:t>s</w:t>
      </w:r>
      <w:r w:rsidR="00E7212D" w:rsidRPr="00671DB8">
        <w:rPr>
          <w:sz w:val="24"/>
          <w:szCs w:val="24"/>
        </w:rPr>
        <w:t xml:space="preserve"> that this act was </w:t>
      </w:r>
      <w:r w:rsidR="006C010C">
        <w:rPr>
          <w:sz w:val="24"/>
          <w:szCs w:val="24"/>
        </w:rPr>
        <w:t xml:space="preserve">performed according to </w:t>
      </w:r>
      <w:r w:rsidR="00E7212D" w:rsidRPr="00671DB8">
        <w:rPr>
          <w:sz w:val="24"/>
          <w:szCs w:val="24"/>
        </w:rPr>
        <w:t xml:space="preserve">a custom that predated 1371. </w:t>
      </w:r>
      <w:r w:rsidR="00505201" w:rsidRPr="00671DB8">
        <w:rPr>
          <w:sz w:val="24"/>
          <w:szCs w:val="24"/>
        </w:rPr>
        <w:t xml:space="preserve">When viewed in tandem, the </w:t>
      </w:r>
      <w:r w:rsidR="00505201" w:rsidRPr="00671DB8">
        <w:rPr>
          <w:sz w:val="24"/>
          <w:szCs w:val="24"/>
        </w:rPr>
        <w:lastRenderedPageBreak/>
        <w:t>anonymous poem and the 1371 record suggest that an enthronement, or at least the potentates’ oaths and homage, was performed the</w:t>
      </w:r>
      <w:r w:rsidR="00505201" w:rsidRPr="00AC4AC9">
        <w:rPr>
          <w:sz w:val="24"/>
          <w:szCs w:val="24"/>
        </w:rPr>
        <w:t xml:space="preserve"> day after David was anointed and crowned. </w:t>
      </w:r>
    </w:p>
    <w:p w14:paraId="6BA09B9A" w14:textId="42C1B233" w:rsidR="006E5AEA" w:rsidRDefault="00505201" w:rsidP="006B56A8">
      <w:pPr>
        <w:spacing w:line="360" w:lineRule="auto"/>
        <w:ind w:firstLine="720"/>
        <w:jc w:val="both"/>
        <w:rPr>
          <w:sz w:val="24"/>
          <w:szCs w:val="24"/>
        </w:rPr>
      </w:pPr>
      <w:r w:rsidRPr="00AC4AC9">
        <w:rPr>
          <w:sz w:val="24"/>
          <w:szCs w:val="24"/>
        </w:rPr>
        <w:t xml:space="preserve">This </w:t>
      </w:r>
      <w:r w:rsidR="002E106B">
        <w:rPr>
          <w:sz w:val="24"/>
          <w:szCs w:val="24"/>
        </w:rPr>
        <w:t xml:space="preserve">act </w:t>
      </w:r>
      <w:r w:rsidRPr="00AC4AC9">
        <w:rPr>
          <w:sz w:val="24"/>
          <w:szCs w:val="24"/>
        </w:rPr>
        <w:t>allowed the new ritual to retain some continuity with previous inaugurations. For the 1306 inauguration, Dean argues that this feature allowed Robert I to emulate the Canmore kings’ elevations, tying his claim to their reigns, and preserving a sense of stability despite the missing regalia.</w:t>
      </w:r>
      <w:r w:rsidRPr="00AC4AC9">
        <w:rPr>
          <w:rStyle w:val="FootnoteReference"/>
          <w:sz w:val="24"/>
          <w:szCs w:val="24"/>
        </w:rPr>
        <w:footnoteReference w:id="193"/>
      </w:r>
      <w:r w:rsidRPr="00AC4AC9">
        <w:rPr>
          <w:sz w:val="24"/>
          <w:szCs w:val="24"/>
        </w:rPr>
        <w:t xml:space="preserve"> The bishop of St Andrews or perhaps</w:t>
      </w:r>
      <w:r w:rsidR="00D27699">
        <w:rPr>
          <w:sz w:val="24"/>
          <w:szCs w:val="24"/>
        </w:rPr>
        <w:t xml:space="preserve"> Thomas</w:t>
      </w:r>
      <w:r w:rsidRPr="00AC4AC9">
        <w:rPr>
          <w:sz w:val="24"/>
          <w:szCs w:val="24"/>
        </w:rPr>
        <w:t xml:space="preserve"> Randolph probably chose to continue this custom</w:t>
      </w:r>
      <w:r w:rsidR="006C010C">
        <w:rPr>
          <w:sz w:val="24"/>
          <w:szCs w:val="24"/>
        </w:rPr>
        <w:t xml:space="preserve"> in 1331</w:t>
      </w:r>
      <w:r w:rsidRPr="00AC4AC9">
        <w:rPr>
          <w:sz w:val="24"/>
          <w:szCs w:val="24"/>
        </w:rPr>
        <w:t xml:space="preserve"> to mimic </w:t>
      </w:r>
      <w:r w:rsidR="00D27699">
        <w:rPr>
          <w:sz w:val="24"/>
          <w:szCs w:val="24"/>
        </w:rPr>
        <w:t>Robert’s</w:t>
      </w:r>
      <w:r w:rsidRPr="00AC4AC9">
        <w:rPr>
          <w:sz w:val="24"/>
          <w:szCs w:val="24"/>
        </w:rPr>
        <w:t xml:space="preserve"> inauguration and those of the ancient Scottish king</w:t>
      </w:r>
      <w:r w:rsidR="00D27699">
        <w:rPr>
          <w:sz w:val="24"/>
          <w:szCs w:val="24"/>
        </w:rPr>
        <w:t>s</w:t>
      </w:r>
      <w:r w:rsidRPr="00AC4AC9">
        <w:rPr>
          <w:sz w:val="24"/>
          <w:szCs w:val="24"/>
        </w:rPr>
        <w:t>. Such a choice mirrored</w:t>
      </w:r>
      <w:r w:rsidR="00D27699">
        <w:rPr>
          <w:sz w:val="24"/>
          <w:szCs w:val="24"/>
        </w:rPr>
        <w:t xml:space="preserve"> the</w:t>
      </w:r>
      <w:r w:rsidRPr="00AC4AC9">
        <w:rPr>
          <w:sz w:val="24"/>
          <w:szCs w:val="24"/>
        </w:rPr>
        <w:t xml:space="preserve"> other ways </w:t>
      </w:r>
      <w:r w:rsidR="002E106B">
        <w:rPr>
          <w:sz w:val="24"/>
          <w:szCs w:val="24"/>
        </w:rPr>
        <w:t>David’s minority government</w:t>
      </w:r>
      <w:r w:rsidRPr="00AC4AC9">
        <w:rPr>
          <w:sz w:val="24"/>
          <w:szCs w:val="24"/>
        </w:rPr>
        <w:t xml:space="preserve"> drew parallels to Robert’s reign in </w:t>
      </w:r>
      <w:r w:rsidR="002E106B">
        <w:rPr>
          <w:sz w:val="24"/>
          <w:szCs w:val="24"/>
        </w:rPr>
        <w:t>the king’s</w:t>
      </w:r>
      <w:r w:rsidRPr="00AC4AC9">
        <w:rPr>
          <w:sz w:val="24"/>
          <w:szCs w:val="24"/>
        </w:rPr>
        <w:t xml:space="preserve"> early years: like his father, David’s seal broke with earlier English inspired designs and followed a more Francophile style.</w:t>
      </w:r>
      <w:r w:rsidRPr="00AC4AC9">
        <w:rPr>
          <w:rStyle w:val="FootnoteReference"/>
          <w:sz w:val="24"/>
          <w:szCs w:val="24"/>
        </w:rPr>
        <w:footnoteReference w:id="194"/>
      </w:r>
      <w:r w:rsidRPr="00AC4AC9">
        <w:rPr>
          <w:sz w:val="24"/>
          <w:szCs w:val="24"/>
        </w:rPr>
        <w:t xml:space="preserve"> In a ritual full of innovations, this harkening back to ancient Scottish king-making practices offered a moment of continuity for the political community as they swore allegiance to the king. In this way, David’s inauguration balanced the new and the old to bring together the king and his subjects.</w:t>
      </w:r>
    </w:p>
    <w:p w14:paraId="34D38EEA" w14:textId="672768F4" w:rsidR="002E106B" w:rsidRDefault="002E106B" w:rsidP="006B56A8">
      <w:pPr>
        <w:spacing w:line="360" w:lineRule="auto"/>
        <w:jc w:val="both"/>
        <w:rPr>
          <w:b/>
          <w:bCs/>
          <w:sz w:val="24"/>
          <w:szCs w:val="24"/>
        </w:rPr>
      </w:pPr>
      <w:r>
        <w:rPr>
          <w:b/>
          <w:bCs/>
          <w:sz w:val="24"/>
          <w:szCs w:val="24"/>
        </w:rPr>
        <w:t>Conclusion</w:t>
      </w:r>
    </w:p>
    <w:p w14:paraId="01B51145" w14:textId="2577C94E" w:rsidR="002E106B" w:rsidRDefault="002E106B" w:rsidP="006B56A8">
      <w:pPr>
        <w:spacing w:line="360" w:lineRule="auto"/>
        <w:jc w:val="both"/>
        <w:rPr>
          <w:sz w:val="24"/>
          <w:szCs w:val="24"/>
        </w:rPr>
      </w:pPr>
      <w:r>
        <w:rPr>
          <w:sz w:val="24"/>
          <w:szCs w:val="24"/>
        </w:rPr>
        <w:t xml:space="preserve">In 1331, David’s inauguration was a carefully crafted piece of political theatre used to make a strong and definitive statement about the Scottish kingdom: that it was independent and sovereign. As I have demonstrated, this was executed via the ritual’s form and participants by carefully balancing significant innovations alongside continuities with Scottish inaugural traditions. Each of the ritual’s individual </w:t>
      </w:r>
      <w:proofErr w:type="spellStart"/>
      <w:r>
        <w:rPr>
          <w:sz w:val="24"/>
          <w:szCs w:val="24"/>
        </w:rPr>
        <w:t>rites</w:t>
      </w:r>
      <w:proofErr w:type="spellEnd"/>
      <w:r>
        <w:rPr>
          <w:sz w:val="24"/>
          <w:szCs w:val="24"/>
        </w:rPr>
        <w:t xml:space="preserve">, from the knighting to the anointing and potential enthronement, came together to consecrate the king. These elements conferred meaning upon the ritual and established the community’s expectations of their ruler, creating a framework to understand good kingship and the kingdom’s identity. </w:t>
      </w:r>
    </w:p>
    <w:p w14:paraId="59450162" w14:textId="5A328148" w:rsidR="00505201" w:rsidRDefault="002E106B" w:rsidP="006B56A8">
      <w:pPr>
        <w:spacing w:line="360" w:lineRule="auto"/>
        <w:jc w:val="both"/>
        <w:rPr>
          <w:sz w:val="24"/>
          <w:szCs w:val="24"/>
        </w:rPr>
      </w:pPr>
      <w:r>
        <w:rPr>
          <w:sz w:val="24"/>
          <w:szCs w:val="24"/>
        </w:rPr>
        <w:tab/>
        <w:t xml:space="preserve">The addition of unction transformed the inauguration into a religious ritual and David into the Lord’s anointed. Unlike any Scottish king prior to 1331, David was now placed on the same theological and political standing as the English king. </w:t>
      </w:r>
      <w:r w:rsidR="005E681C">
        <w:rPr>
          <w:sz w:val="24"/>
          <w:szCs w:val="24"/>
        </w:rPr>
        <w:t>By utilising a constructivist approach to ritual that focuse</w:t>
      </w:r>
      <w:r w:rsidR="007F3B3E">
        <w:rPr>
          <w:sz w:val="24"/>
          <w:szCs w:val="24"/>
        </w:rPr>
        <w:t>d</w:t>
      </w:r>
      <w:r w:rsidR="005E681C">
        <w:rPr>
          <w:sz w:val="24"/>
          <w:szCs w:val="24"/>
        </w:rPr>
        <w:t xml:space="preserve"> on the structure and participants, I have shown how t</w:t>
      </w:r>
      <w:r w:rsidR="00952E2A">
        <w:rPr>
          <w:sz w:val="24"/>
          <w:szCs w:val="24"/>
        </w:rPr>
        <w:t>he anointing rite also transformed the status of the bishop of St Andrews into a channel to transmit divine blessing. Bishop James Ben was at the heart of the inauguration’s performance, shaping its structure and dictating how the political community interacted with their king. His new role as</w:t>
      </w:r>
      <w:r w:rsidR="007F3B3E">
        <w:rPr>
          <w:sz w:val="24"/>
          <w:szCs w:val="24"/>
        </w:rPr>
        <w:t xml:space="preserve"> </w:t>
      </w:r>
      <w:r w:rsidR="007F3B3E">
        <w:rPr>
          <w:sz w:val="24"/>
          <w:szCs w:val="24"/>
        </w:rPr>
        <w:lastRenderedPageBreak/>
        <w:t>the</w:t>
      </w:r>
      <w:r w:rsidR="00952E2A">
        <w:rPr>
          <w:sz w:val="24"/>
          <w:szCs w:val="24"/>
        </w:rPr>
        <w:t xml:space="preserve"> Scottish kingmaker singled </w:t>
      </w:r>
      <w:r w:rsidR="0047205A">
        <w:rPr>
          <w:sz w:val="24"/>
          <w:szCs w:val="24"/>
        </w:rPr>
        <w:t>him out</w:t>
      </w:r>
      <w:r w:rsidR="00952E2A">
        <w:rPr>
          <w:sz w:val="24"/>
          <w:szCs w:val="24"/>
        </w:rPr>
        <w:t xml:space="preserve"> as the foremost ecclesiastic among his peers, confirming the unofficial </w:t>
      </w:r>
      <w:r w:rsidR="000F7BB9">
        <w:rPr>
          <w:sz w:val="24"/>
          <w:szCs w:val="24"/>
        </w:rPr>
        <w:t xml:space="preserve">title </w:t>
      </w:r>
      <w:r w:rsidR="00952E2A">
        <w:rPr>
          <w:sz w:val="24"/>
          <w:szCs w:val="24"/>
        </w:rPr>
        <w:t>of ‘bishop of Scotland’ that his predecessors had long claimed</w:t>
      </w:r>
      <w:r w:rsidR="00374001">
        <w:rPr>
          <w:sz w:val="24"/>
          <w:szCs w:val="24"/>
        </w:rPr>
        <w:t>, and supplanting the prominent roles previously held by the earls of Fife and Strathearn</w:t>
      </w:r>
      <w:r w:rsidR="00952E2A">
        <w:rPr>
          <w:sz w:val="24"/>
          <w:szCs w:val="24"/>
        </w:rPr>
        <w:t xml:space="preserve">. </w:t>
      </w:r>
    </w:p>
    <w:p w14:paraId="4E6F5657" w14:textId="4777AFFE" w:rsidR="007F3B3E" w:rsidRDefault="00952E2A" w:rsidP="006B56A8">
      <w:pPr>
        <w:spacing w:line="360" w:lineRule="auto"/>
        <w:jc w:val="both"/>
        <w:rPr>
          <w:sz w:val="24"/>
          <w:szCs w:val="24"/>
        </w:rPr>
      </w:pPr>
      <w:r>
        <w:rPr>
          <w:sz w:val="24"/>
          <w:szCs w:val="24"/>
        </w:rPr>
        <w:tab/>
        <w:t xml:space="preserve">The inauguration was not only innovative in its ecclesiastical additions </w:t>
      </w:r>
      <w:r w:rsidR="007E31B3">
        <w:rPr>
          <w:sz w:val="24"/>
          <w:szCs w:val="24"/>
        </w:rPr>
        <w:t>—</w:t>
      </w:r>
      <w:r>
        <w:rPr>
          <w:sz w:val="24"/>
          <w:szCs w:val="24"/>
        </w:rPr>
        <w:t xml:space="preserve"> the knighting ritual speaks to the ways that Scottish practices were being informed by developments across western Europe, mirroring the knighting rituals performed for minority kings in other kingdoms. By incorporating this newer model for knighting, the ritual broke from earlier practices that inferred the Scottish king was somewhat subordinate to the English. Alongside the date of the inauguration, which associated David’s elevation with St Andrew, </w:t>
      </w:r>
      <w:r w:rsidR="0047205A">
        <w:rPr>
          <w:sz w:val="24"/>
          <w:szCs w:val="24"/>
        </w:rPr>
        <w:t xml:space="preserve">the knighting ritual and other rites made </w:t>
      </w:r>
      <w:r>
        <w:rPr>
          <w:sz w:val="24"/>
          <w:szCs w:val="24"/>
        </w:rPr>
        <w:t xml:space="preserve">a powerful statement </w:t>
      </w:r>
      <w:r w:rsidR="0047205A">
        <w:rPr>
          <w:sz w:val="24"/>
          <w:szCs w:val="24"/>
        </w:rPr>
        <w:t xml:space="preserve">to the English </w:t>
      </w:r>
      <w:r>
        <w:rPr>
          <w:sz w:val="24"/>
          <w:szCs w:val="24"/>
        </w:rPr>
        <w:t>that Scotland was a sovereign kingdom</w:t>
      </w:r>
      <w:r w:rsidR="0047205A">
        <w:rPr>
          <w:sz w:val="24"/>
          <w:szCs w:val="24"/>
        </w:rPr>
        <w:t xml:space="preserve">. This </w:t>
      </w:r>
      <w:r w:rsidR="005E681C">
        <w:rPr>
          <w:sz w:val="24"/>
          <w:szCs w:val="24"/>
        </w:rPr>
        <w:t>occurred</w:t>
      </w:r>
      <w:r>
        <w:rPr>
          <w:sz w:val="24"/>
          <w:szCs w:val="24"/>
        </w:rPr>
        <w:t xml:space="preserve"> </w:t>
      </w:r>
      <w:r w:rsidR="006C5330">
        <w:rPr>
          <w:sz w:val="24"/>
          <w:szCs w:val="24"/>
        </w:rPr>
        <w:t>within weeks of</w:t>
      </w:r>
      <w:r>
        <w:rPr>
          <w:sz w:val="24"/>
          <w:szCs w:val="24"/>
        </w:rPr>
        <w:t xml:space="preserve"> Edward Balliol, a rival claimant to the Scottish throne, </w:t>
      </w:r>
      <w:r w:rsidR="006C5330">
        <w:rPr>
          <w:sz w:val="24"/>
          <w:szCs w:val="24"/>
        </w:rPr>
        <w:t>arriving at</w:t>
      </w:r>
      <w:r>
        <w:rPr>
          <w:sz w:val="24"/>
          <w:szCs w:val="24"/>
        </w:rPr>
        <w:t xml:space="preserve"> the English court</w:t>
      </w:r>
      <w:r w:rsidR="006C5330">
        <w:rPr>
          <w:sz w:val="24"/>
          <w:szCs w:val="24"/>
        </w:rPr>
        <w:t xml:space="preserve"> in October 1331</w:t>
      </w:r>
      <w:r>
        <w:rPr>
          <w:sz w:val="24"/>
          <w:szCs w:val="24"/>
        </w:rPr>
        <w:t xml:space="preserve">. While the inauguration might seem like an act of hubris </w:t>
      </w:r>
      <w:r w:rsidR="0047205A">
        <w:rPr>
          <w:sz w:val="24"/>
          <w:szCs w:val="24"/>
        </w:rPr>
        <w:t xml:space="preserve">to scholars </w:t>
      </w:r>
      <w:r w:rsidR="000F7BB9">
        <w:rPr>
          <w:sz w:val="24"/>
          <w:szCs w:val="24"/>
        </w:rPr>
        <w:t xml:space="preserve">with </w:t>
      </w:r>
      <w:r>
        <w:rPr>
          <w:sz w:val="24"/>
          <w:szCs w:val="24"/>
        </w:rPr>
        <w:t xml:space="preserve">the benefit of hindsight, </w:t>
      </w:r>
      <w:r w:rsidR="0047205A">
        <w:rPr>
          <w:sz w:val="24"/>
          <w:szCs w:val="24"/>
        </w:rPr>
        <w:t>considering</w:t>
      </w:r>
      <w:r>
        <w:rPr>
          <w:sz w:val="24"/>
          <w:szCs w:val="24"/>
        </w:rPr>
        <w:t xml:space="preserve"> </w:t>
      </w:r>
      <w:r w:rsidR="006C5330">
        <w:rPr>
          <w:sz w:val="24"/>
          <w:szCs w:val="24"/>
        </w:rPr>
        <w:t>Balliol’s invasion in 1332</w:t>
      </w:r>
      <w:r>
        <w:rPr>
          <w:sz w:val="24"/>
          <w:szCs w:val="24"/>
        </w:rPr>
        <w:t xml:space="preserve">, it speaks to the </w:t>
      </w:r>
      <w:r w:rsidR="00427718">
        <w:rPr>
          <w:sz w:val="24"/>
          <w:szCs w:val="24"/>
        </w:rPr>
        <w:t xml:space="preserve">ways </w:t>
      </w:r>
      <w:r>
        <w:rPr>
          <w:sz w:val="24"/>
          <w:szCs w:val="24"/>
        </w:rPr>
        <w:t xml:space="preserve">David’s government </w:t>
      </w:r>
      <w:r w:rsidR="00427718">
        <w:rPr>
          <w:sz w:val="24"/>
          <w:szCs w:val="24"/>
        </w:rPr>
        <w:t xml:space="preserve">sought to assert itself and its king </w:t>
      </w:r>
      <w:r>
        <w:rPr>
          <w:sz w:val="24"/>
          <w:szCs w:val="24"/>
        </w:rPr>
        <w:t xml:space="preserve">in 1331. </w:t>
      </w:r>
      <w:r w:rsidR="005E681C">
        <w:rPr>
          <w:sz w:val="24"/>
          <w:szCs w:val="24"/>
        </w:rPr>
        <w:t>This is also evident in the initial delay to David’s inauguration prior to 1331 and other government actions</w:t>
      </w:r>
      <w:r>
        <w:rPr>
          <w:sz w:val="24"/>
          <w:szCs w:val="24"/>
        </w:rPr>
        <w:t xml:space="preserve">, such as </w:t>
      </w:r>
      <w:r w:rsidR="005E681C">
        <w:rPr>
          <w:sz w:val="24"/>
          <w:szCs w:val="24"/>
        </w:rPr>
        <w:t>Randolph</w:t>
      </w:r>
      <w:r>
        <w:rPr>
          <w:sz w:val="24"/>
          <w:szCs w:val="24"/>
        </w:rPr>
        <w:t xml:space="preserve">’s demand in September 1331 that the bishop of Durham attend Scottish parliament to settle a dispute over his lands in West </w:t>
      </w:r>
      <w:proofErr w:type="spellStart"/>
      <w:r>
        <w:rPr>
          <w:sz w:val="24"/>
          <w:szCs w:val="24"/>
        </w:rPr>
        <w:t>Upsettlington</w:t>
      </w:r>
      <w:proofErr w:type="spellEnd"/>
      <w:r>
        <w:rPr>
          <w:sz w:val="24"/>
          <w:szCs w:val="24"/>
        </w:rPr>
        <w:t>.</w:t>
      </w:r>
      <w:r>
        <w:rPr>
          <w:rStyle w:val="FootnoteReference"/>
          <w:sz w:val="24"/>
          <w:szCs w:val="24"/>
        </w:rPr>
        <w:footnoteReference w:id="195"/>
      </w:r>
      <w:r>
        <w:rPr>
          <w:sz w:val="24"/>
          <w:szCs w:val="24"/>
        </w:rPr>
        <w:t xml:space="preserve"> </w:t>
      </w:r>
      <w:r w:rsidR="00572F85">
        <w:rPr>
          <w:sz w:val="24"/>
          <w:szCs w:val="24"/>
        </w:rPr>
        <w:t xml:space="preserve">Notably, the only recorded parliament in autumn 1331 was the one organised to coincide with the inauguration; thus, without Edward III’s intercession, the bishop would have been forced to attend David’s inauguration. </w:t>
      </w:r>
      <w:r w:rsidR="007F3B3E">
        <w:rPr>
          <w:sz w:val="24"/>
          <w:szCs w:val="24"/>
        </w:rPr>
        <w:t xml:space="preserve">Far from being intimidated by Balliol’s arrival, David’s government </w:t>
      </w:r>
      <w:r w:rsidR="00427718">
        <w:rPr>
          <w:sz w:val="24"/>
          <w:szCs w:val="24"/>
        </w:rPr>
        <w:t xml:space="preserve">showed confidence </w:t>
      </w:r>
      <w:r w:rsidR="007F3B3E">
        <w:rPr>
          <w:sz w:val="24"/>
          <w:szCs w:val="24"/>
        </w:rPr>
        <w:t>in its relationship and contacts with the English at this time. The inaugural ritual</w:t>
      </w:r>
      <w:r w:rsidR="00427718">
        <w:rPr>
          <w:sz w:val="24"/>
          <w:szCs w:val="24"/>
        </w:rPr>
        <w:t xml:space="preserve"> </w:t>
      </w:r>
      <w:r w:rsidR="007F3B3E">
        <w:rPr>
          <w:sz w:val="24"/>
          <w:szCs w:val="24"/>
        </w:rPr>
        <w:t xml:space="preserve">worked alongside other apparatuses to perform and convey ideas about the king or kingdom’s power and authority. In this case, these innovations were designed to pronounce that Scotland was </w:t>
      </w:r>
      <w:r w:rsidR="006C5330">
        <w:rPr>
          <w:sz w:val="24"/>
          <w:szCs w:val="24"/>
        </w:rPr>
        <w:t xml:space="preserve">a political community newly free from the confines of English overlordship. </w:t>
      </w:r>
    </w:p>
    <w:p w14:paraId="1FAE9D44" w14:textId="6DA1A70C" w:rsidR="005E681C" w:rsidRPr="00AC4AC9" w:rsidRDefault="007F3B3E" w:rsidP="006B56A8">
      <w:pPr>
        <w:spacing w:line="360" w:lineRule="auto"/>
        <w:ind w:firstLine="720"/>
        <w:jc w:val="both"/>
        <w:rPr>
          <w:sz w:val="24"/>
          <w:szCs w:val="24"/>
        </w:rPr>
      </w:pPr>
      <w:r>
        <w:rPr>
          <w:sz w:val="24"/>
          <w:szCs w:val="24"/>
        </w:rPr>
        <w:t>Finally</w:t>
      </w:r>
      <w:r w:rsidR="006C5330">
        <w:rPr>
          <w:sz w:val="24"/>
          <w:szCs w:val="24"/>
        </w:rPr>
        <w:t xml:space="preserve">, </w:t>
      </w:r>
      <w:r>
        <w:rPr>
          <w:sz w:val="24"/>
          <w:szCs w:val="24"/>
        </w:rPr>
        <w:t>these innovations</w:t>
      </w:r>
      <w:r w:rsidR="006C5330">
        <w:rPr>
          <w:sz w:val="24"/>
          <w:szCs w:val="24"/>
        </w:rPr>
        <w:t xml:space="preserve"> were complimented by moments of continuity with earlier Scottish traditions, such as the location at Scone or the potential enthronement. These </w:t>
      </w:r>
      <w:r w:rsidR="0047205A">
        <w:rPr>
          <w:sz w:val="24"/>
          <w:szCs w:val="24"/>
        </w:rPr>
        <w:t>continuities were as important as the ritual’s innovations because they confirmed the participants’ assumptions about what ought to occur at a</w:t>
      </w:r>
      <w:r w:rsidR="00FC7795">
        <w:rPr>
          <w:sz w:val="24"/>
          <w:szCs w:val="24"/>
        </w:rPr>
        <w:t>n</w:t>
      </w:r>
      <w:r w:rsidR="0047205A">
        <w:rPr>
          <w:sz w:val="24"/>
          <w:szCs w:val="24"/>
        </w:rPr>
        <w:t xml:space="preserve"> inauguration and gave the ritual what Kapferer has termed ‘continuity potency’.</w:t>
      </w:r>
      <w:r w:rsidR="0047205A">
        <w:rPr>
          <w:rStyle w:val="FootnoteReference"/>
          <w:sz w:val="24"/>
          <w:szCs w:val="24"/>
        </w:rPr>
        <w:footnoteReference w:id="196"/>
      </w:r>
      <w:r w:rsidR="0047205A">
        <w:rPr>
          <w:sz w:val="24"/>
          <w:szCs w:val="24"/>
        </w:rPr>
        <w:t xml:space="preserve"> In other words, the repetition of </w:t>
      </w:r>
      <w:r>
        <w:rPr>
          <w:sz w:val="24"/>
          <w:szCs w:val="24"/>
        </w:rPr>
        <w:t>forms or</w:t>
      </w:r>
      <w:r w:rsidR="0047205A">
        <w:rPr>
          <w:sz w:val="24"/>
          <w:szCs w:val="24"/>
        </w:rPr>
        <w:t xml:space="preserve"> rites across historical time and space gave</w:t>
      </w:r>
      <w:r>
        <w:rPr>
          <w:sz w:val="24"/>
          <w:szCs w:val="24"/>
        </w:rPr>
        <w:t xml:space="preserve"> the ritual</w:t>
      </w:r>
      <w:r w:rsidR="0047205A">
        <w:rPr>
          <w:sz w:val="24"/>
          <w:szCs w:val="24"/>
        </w:rPr>
        <w:t xml:space="preserve"> legitimacy, associating David with his predecessors and acceptable forms of kingship. In every act, David was portrayed as a king fit </w:t>
      </w:r>
      <w:r w:rsidR="0047205A">
        <w:rPr>
          <w:sz w:val="24"/>
          <w:szCs w:val="24"/>
        </w:rPr>
        <w:lastRenderedPageBreak/>
        <w:t>to defend the kingdom’s rights</w:t>
      </w:r>
      <w:r w:rsidR="000F7BB9">
        <w:rPr>
          <w:sz w:val="24"/>
          <w:szCs w:val="24"/>
        </w:rPr>
        <w:t xml:space="preserve"> and worthy of becoming the first anointed Scottish ruler.</w:t>
      </w:r>
      <w:r>
        <w:rPr>
          <w:sz w:val="24"/>
          <w:szCs w:val="24"/>
        </w:rPr>
        <w:t xml:space="preserve"> Thus, we can see that </w:t>
      </w:r>
      <w:r w:rsidR="005E681C">
        <w:rPr>
          <w:sz w:val="24"/>
          <w:szCs w:val="24"/>
        </w:rPr>
        <w:t xml:space="preserve">rituals were potent religious and political acts that transformed an initiand into a king, and an assembled group into a political community of his sworn subjects. </w:t>
      </w:r>
    </w:p>
    <w:p w14:paraId="3EDA13AF" w14:textId="76CF874D" w:rsidR="0047205A" w:rsidRPr="00AC4AC9" w:rsidRDefault="0047205A" w:rsidP="006B56A8">
      <w:pPr>
        <w:spacing w:line="360" w:lineRule="auto"/>
        <w:jc w:val="both"/>
        <w:rPr>
          <w:sz w:val="24"/>
          <w:szCs w:val="24"/>
        </w:rPr>
      </w:pPr>
    </w:p>
    <w:sectPr w:rsidR="0047205A" w:rsidRPr="00AC4AC9" w:rsidSect="00745800">
      <w:footerReference w:type="default" r:id="rId7"/>
      <w:pgSz w:w="11906" w:h="16838"/>
      <w:pgMar w:top="1361" w:right="1440" w:bottom="136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C8DBB" w14:textId="77777777" w:rsidR="00DF2EEA" w:rsidRDefault="00DF2EEA" w:rsidP="0070179E">
      <w:pPr>
        <w:spacing w:after="0" w:line="240" w:lineRule="auto"/>
      </w:pPr>
      <w:r>
        <w:separator/>
      </w:r>
    </w:p>
  </w:endnote>
  <w:endnote w:type="continuationSeparator" w:id="0">
    <w:p w14:paraId="29802E31" w14:textId="77777777" w:rsidR="00DF2EEA" w:rsidRDefault="00DF2EEA" w:rsidP="00701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583712"/>
      <w:docPartObj>
        <w:docPartGallery w:val="Page Numbers (Bottom of Page)"/>
        <w:docPartUnique/>
      </w:docPartObj>
    </w:sdtPr>
    <w:sdtEndPr/>
    <w:sdtContent>
      <w:p w14:paraId="10A7D7D0" w14:textId="64FCB365" w:rsidR="00F505D4" w:rsidRDefault="00F505D4">
        <w:pPr>
          <w:pStyle w:val="Footer"/>
          <w:jc w:val="center"/>
        </w:pPr>
        <w:r>
          <w:fldChar w:fldCharType="begin"/>
        </w:r>
        <w:r>
          <w:instrText>PAGE   \* MERGEFORMAT</w:instrText>
        </w:r>
        <w:r>
          <w:fldChar w:fldCharType="separate"/>
        </w:r>
        <w:r>
          <w:t>2</w:t>
        </w:r>
        <w:r>
          <w:fldChar w:fldCharType="end"/>
        </w:r>
      </w:p>
    </w:sdtContent>
  </w:sdt>
  <w:p w14:paraId="6935553E" w14:textId="77777777" w:rsidR="00F505D4" w:rsidRDefault="00F50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05B3F" w14:textId="77777777" w:rsidR="00DF2EEA" w:rsidRDefault="00DF2EEA" w:rsidP="0070179E">
      <w:pPr>
        <w:spacing w:after="0" w:line="240" w:lineRule="auto"/>
      </w:pPr>
      <w:r>
        <w:separator/>
      </w:r>
    </w:p>
  </w:footnote>
  <w:footnote w:type="continuationSeparator" w:id="0">
    <w:p w14:paraId="56856CB9" w14:textId="77777777" w:rsidR="00DF2EEA" w:rsidRDefault="00DF2EEA" w:rsidP="0070179E">
      <w:pPr>
        <w:spacing w:after="0" w:line="240" w:lineRule="auto"/>
      </w:pPr>
      <w:r>
        <w:continuationSeparator/>
      </w:r>
    </w:p>
  </w:footnote>
  <w:footnote w:id="1">
    <w:p w14:paraId="57F7C742" w14:textId="2C176277" w:rsidR="00A52257" w:rsidRPr="002D3E0E" w:rsidRDefault="00A52257" w:rsidP="00D035F4">
      <w:pPr>
        <w:pStyle w:val="FootnoteText"/>
      </w:pPr>
      <w:r w:rsidRPr="002D3E0E">
        <w:t>*Many thanks to Sophie Ambler, Fiona Edmonds</w:t>
      </w:r>
      <w:r w:rsidR="002A4EDC" w:rsidRPr="002D3E0E">
        <w:t>,</w:t>
      </w:r>
      <w:r w:rsidRPr="002D3E0E">
        <w:t xml:space="preserve"> Annie Tindley</w:t>
      </w:r>
      <w:r w:rsidR="00D035F4" w:rsidRPr="002D3E0E">
        <w:t>, Steve Boardman and Alice Taylor</w:t>
      </w:r>
      <w:r w:rsidRPr="002D3E0E">
        <w:t xml:space="preserve"> for </w:t>
      </w:r>
      <w:r w:rsidR="002A4EDC" w:rsidRPr="002D3E0E">
        <w:t>their feedback on</w:t>
      </w:r>
      <w:r w:rsidRPr="002D3E0E">
        <w:t xml:space="preserve"> </w:t>
      </w:r>
      <w:r w:rsidR="00D035F4" w:rsidRPr="002D3E0E">
        <w:t>versions</w:t>
      </w:r>
      <w:r w:rsidRPr="002D3E0E">
        <w:t xml:space="preserve"> of this piece.</w:t>
      </w:r>
      <w:r w:rsidR="00D035F4" w:rsidRPr="002D3E0E">
        <w:t xml:space="preserve"> One iteration </w:t>
      </w:r>
      <w:r w:rsidR="002A4EDC" w:rsidRPr="002D3E0E">
        <w:t xml:space="preserve">of this article was given at the </w:t>
      </w:r>
      <w:proofErr w:type="gramStart"/>
      <w:r w:rsidR="002A4EDC" w:rsidRPr="002D3E0E">
        <w:t>North West</w:t>
      </w:r>
      <w:proofErr w:type="gramEnd"/>
      <w:r w:rsidR="002A4EDC" w:rsidRPr="002D3E0E">
        <w:t xml:space="preserve"> Medieval Studies seminar and I benefitted from the feedback I received</w:t>
      </w:r>
      <w:r w:rsidR="00C7169B">
        <w:t xml:space="preserve"> there</w:t>
      </w:r>
      <w:r w:rsidR="002A4EDC" w:rsidRPr="002D3E0E">
        <w:t xml:space="preserve">. </w:t>
      </w:r>
      <w:r w:rsidR="00D035F4" w:rsidRPr="002D3E0E">
        <w:t>I would also like to note my gratitude to the reviewers for their helpful suggestions</w:t>
      </w:r>
      <w:r w:rsidR="00A90D5C">
        <w:t>, the late Scott Dempsey for challenging my preconceptions about accessions,</w:t>
      </w:r>
      <w:r w:rsidR="00C7169B">
        <w:t xml:space="preserve"> and to Louis Pulford for the many </w:t>
      </w:r>
      <w:proofErr w:type="gramStart"/>
      <w:r w:rsidR="00C7169B">
        <w:t>tea</w:t>
      </w:r>
      <w:proofErr w:type="gramEnd"/>
      <w:r w:rsidR="00C7169B">
        <w:t xml:space="preserve"> breaks we spent trying to define ritual</w:t>
      </w:r>
      <w:r w:rsidR="00D035F4" w:rsidRPr="002D3E0E">
        <w:t>.</w:t>
      </w:r>
    </w:p>
    <w:p w14:paraId="4E46CA92" w14:textId="51983A0C" w:rsidR="0070179E" w:rsidRPr="002D3E0E" w:rsidRDefault="0070179E">
      <w:pPr>
        <w:pStyle w:val="FootnoteText"/>
        <w:rPr>
          <w:color w:val="FF0000"/>
        </w:rPr>
      </w:pPr>
      <w:r w:rsidRPr="002D3E0E">
        <w:rPr>
          <w:rStyle w:val="FootnoteReference"/>
        </w:rPr>
        <w:footnoteRef/>
      </w:r>
      <w:r w:rsidR="00C87610" w:rsidRPr="002D3E0E">
        <w:t xml:space="preserve"> Lucinda H. S. Dean, </w:t>
      </w:r>
      <w:r w:rsidR="00C87610" w:rsidRPr="002D3E0E">
        <w:rPr>
          <w:i/>
          <w:iCs/>
        </w:rPr>
        <w:t xml:space="preserve">Death and the Royal Succession in Scotland, c.1214 – c.1543: ritual, ceremony and power </w:t>
      </w:r>
      <w:r w:rsidR="00C87610" w:rsidRPr="002D3E0E">
        <w:t>(Woodbridge, 2024), p</w:t>
      </w:r>
      <w:r w:rsidR="0029336C" w:rsidRPr="002D3E0E">
        <w:t xml:space="preserve">p. </w:t>
      </w:r>
      <w:r w:rsidR="00C87610" w:rsidRPr="002D3E0E">
        <w:t xml:space="preserve">65-112; </w:t>
      </w:r>
      <w:r w:rsidR="00381E19" w:rsidRPr="002D3E0E">
        <w:t xml:space="preserve">Lucinda H. S. Dean, </w:t>
      </w:r>
      <w:r w:rsidR="009F290E" w:rsidRPr="002D3E0E">
        <w:t xml:space="preserve">‘Crowning the Child: Representing Authority in the Inauguration and Coronations of Minors in Scotland, c.1214 to c.1567’, in </w:t>
      </w:r>
      <w:r w:rsidR="00A67AF9" w:rsidRPr="002D3E0E">
        <w:t xml:space="preserve">E. Wood and S. </w:t>
      </w:r>
      <w:proofErr w:type="spellStart"/>
      <w:r w:rsidR="00A67AF9" w:rsidRPr="002D3E0E">
        <w:t>McGlyn</w:t>
      </w:r>
      <w:proofErr w:type="spellEnd"/>
      <w:r w:rsidR="00A67AF9" w:rsidRPr="002D3E0E">
        <w:t xml:space="preserve"> (eds), </w:t>
      </w:r>
      <w:r w:rsidR="009F290E" w:rsidRPr="002D3E0E">
        <w:rPr>
          <w:i/>
          <w:iCs/>
        </w:rPr>
        <w:t>The Image and Perception of Monarchy in Medieval and Early Modern Europe</w:t>
      </w:r>
      <w:r w:rsidR="009F290E" w:rsidRPr="002D3E0E">
        <w:t xml:space="preserve"> (Cambridge, 2014), 254-280; </w:t>
      </w:r>
      <w:r w:rsidR="00C87610" w:rsidRPr="002D3E0E">
        <w:t xml:space="preserve">Michael Penman, </w:t>
      </w:r>
      <w:r w:rsidR="00C87610" w:rsidRPr="002D3E0E">
        <w:rPr>
          <w:i/>
          <w:iCs/>
        </w:rPr>
        <w:t>David II</w:t>
      </w:r>
      <w:r w:rsidR="00C87610" w:rsidRPr="002D3E0E">
        <w:t xml:space="preserve"> (Edinburgh, 2005)</w:t>
      </w:r>
      <w:r w:rsidR="00506904" w:rsidRPr="002D3E0E">
        <w:t xml:space="preserve">, 45-6. </w:t>
      </w:r>
    </w:p>
  </w:footnote>
  <w:footnote w:id="2">
    <w:p w14:paraId="2079B295" w14:textId="5ECE07B5" w:rsidR="00F75A1E" w:rsidRPr="002D3E0E" w:rsidRDefault="00F75A1E">
      <w:pPr>
        <w:pStyle w:val="FootnoteText"/>
      </w:pPr>
      <w:r w:rsidRPr="002D3E0E">
        <w:rPr>
          <w:rStyle w:val="FootnoteReference"/>
        </w:rPr>
        <w:footnoteRef/>
      </w:r>
      <w:r w:rsidRPr="002D3E0E">
        <w:t xml:space="preserve"> Johanna Dale, </w:t>
      </w:r>
      <w:r w:rsidRPr="002D3E0E">
        <w:rPr>
          <w:i/>
          <w:iCs/>
        </w:rPr>
        <w:t xml:space="preserve">Inauguration and Liturgical Kingship in the Long Twelfth Century: Male and Female Accession Rituals in England, France and the Empire </w:t>
      </w:r>
      <w:r w:rsidRPr="002D3E0E">
        <w:t>(Woodbridge, 2019), 29; M. Cecilia Gaposchkin, </w:t>
      </w:r>
      <w:r w:rsidRPr="002D3E0E">
        <w:rPr>
          <w:i/>
          <w:iCs/>
        </w:rPr>
        <w:t>The Making of Saint Louis: Kingship, Sanctity and Crusade in the Later Middle Ages</w:t>
      </w:r>
      <w:r w:rsidRPr="002D3E0E">
        <w:t xml:space="preserve"> (Ithaca, 2008); Simon John, ‘Royal inauguration and liturgical culture in the Latin kingdom of Jerusalem, 1099 – 1187’, </w:t>
      </w:r>
      <w:r w:rsidRPr="002D3E0E">
        <w:rPr>
          <w:i/>
          <w:iCs/>
        </w:rPr>
        <w:t>Journal of Medieval History</w:t>
      </w:r>
      <w:r w:rsidRPr="002D3E0E">
        <w:t xml:space="preserve"> 43 (2017), 485-504</w:t>
      </w:r>
      <w:r w:rsidR="00B476A6" w:rsidRPr="002D3E0E">
        <w:t xml:space="preserve">; Björn Weiler, </w:t>
      </w:r>
      <w:r w:rsidR="00B476A6" w:rsidRPr="002D3E0E">
        <w:rPr>
          <w:i/>
          <w:iCs/>
        </w:rPr>
        <w:t xml:space="preserve">Paths to Kingship in Medieval Latin Europe, c.950-1200 </w:t>
      </w:r>
      <w:r w:rsidR="00B476A6" w:rsidRPr="002D3E0E">
        <w:t>(Cambridge, 2021), 325.</w:t>
      </w:r>
      <w:r w:rsidRPr="002D3E0E">
        <w:t xml:space="preserve"> </w:t>
      </w:r>
    </w:p>
  </w:footnote>
  <w:footnote w:id="3">
    <w:p w14:paraId="180B239B" w14:textId="4DC6B761" w:rsidR="009D7D40" w:rsidRPr="002D3E0E" w:rsidRDefault="009D7D40">
      <w:pPr>
        <w:pStyle w:val="FootnoteText"/>
      </w:pPr>
      <w:r w:rsidRPr="002D3E0E">
        <w:rPr>
          <w:rStyle w:val="FootnoteReference"/>
        </w:rPr>
        <w:footnoteRef/>
      </w:r>
      <w:r w:rsidRPr="002D3E0E">
        <w:t xml:space="preserve"> </w:t>
      </w:r>
      <w:r w:rsidR="00081551" w:rsidRPr="002D3E0E">
        <w:t xml:space="preserve">Bruce Kapferer, ‘Ritual process and the transformation of context’, </w:t>
      </w:r>
      <w:r w:rsidR="00081551" w:rsidRPr="002D3E0E">
        <w:rPr>
          <w:i/>
          <w:iCs/>
        </w:rPr>
        <w:t>Social Analysis: The International Journal of Social and Cultural Practice</w:t>
      </w:r>
      <w:r w:rsidR="00081551" w:rsidRPr="002D3E0E">
        <w:t xml:space="preserve"> 1 (1979), 3-19; Kapferer, ‘Performance and the structuring of meaning and experience’, in V. Turner and E. M. Bruner (eds), </w:t>
      </w:r>
      <w:r w:rsidR="00081551" w:rsidRPr="002D3E0E">
        <w:rPr>
          <w:i/>
          <w:iCs/>
        </w:rPr>
        <w:t>The Anthropology of Experience</w:t>
      </w:r>
      <w:r w:rsidR="00081551" w:rsidRPr="002D3E0E">
        <w:t xml:space="preserve"> (Chicago, 1986), 188-203; </w:t>
      </w:r>
      <w:r w:rsidR="00944767" w:rsidRPr="002D3E0E">
        <w:t xml:space="preserve">Edward L. Schieffelin, ‘Performance and the Cultural Construction of reality’, </w:t>
      </w:r>
      <w:r w:rsidR="00944767" w:rsidRPr="002D3E0E">
        <w:rPr>
          <w:i/>
          <w:iCs/>
        </w:rPr>
        <w:t>American Anthropologist</w:t>
      </w:r>
      <w:r w:rsidR="00944767" w:rsidRPr="002D3E0E">
        <w:t xml:space="preserve"> 12 (1985), 707-724; Francesco Della Costa, ‘Ritual as metaphor’, </w:t>
      </w:r>
      <w:r w:rsidR="00944767" w:rsidRPr="002D3E0E">
        <w:rPr>
          <w:i/>
          <w:iCs/>
        </w:rPr>
        <w:t>Anthropological Theory</w:t>
      </w:r>
      <w:r w:rsidR="00944767" w:rsidRPr="002D3E0E">
        <w:t xml:space="preserve"> 23 (2023), 3-32.</w:t>
      </w:r>
    </w:p>
  </w:footnote>
  <w:footnote w:id="4">
    <w:p w14:paraId="7CA2EBEB" w14:textId="395AEEB8" w:rsidR="00555052" w:rsidRPr="002D3E0E" w:rsidRDefault="00555052">
      <w:pPr>
        <w:pStyle w:val="FootnoteText"/>
      </w:pPr>
      <w:r w:rsidRPr="002D3E0E">
        <w:rPr>
          <w:rStyle w:val="FootnoteReference"/>
        </w:rPr>
        <w:footnoteRef/>
      </w:r>
      <w:r w:rsidRPr="002D3E0E">
        <w:t xml:space="preserve"> Other studies have explored the Bruces’ use of spectacle in other areas, such as marriages and religious devotion</w:t>
      </w:r>
      <w:r w:rsidR="00765E57" w:rsidRPr="002D3E0E">
        <w:t xml:space="preserve">, some examples include: Lucinda Dean, ‘Projecting Dynastic Majesty: State Ceremony in the Reign of Robert Bruce’, </w:t>
      </w:r>
      <w:r w:rsidR="00765E57" w:rsidRPr="002D3E0E">
        <w:rPr>
          <w:i/>
          <w:iCs/>
        </w:rPr>
        <w:t>The International Review of Scottish Studies</w:t>
      </w:r>
      <w:r w:rsidR="00765E57" w:rsidRPr="002D3E0E">
        <w:t xml:space="preserve"> 40 (2015), Bannockburn Special Issue, 34-60; Dean, </w:t>
      </w:r>
      <w:r w:rsidR="00765E57" w:rsidRPr="002D3E0E">
        <w:rPr>
          <w:i/>
          <w:iCs/>
        </w:rPr>
        <w:t>Death and the Royal Succession</w:t>
      </w:r>
      <w:r w:rsidR="00765E57" w:rsidRPr="002D3E0E">
        <w:t xml:space="preserve">, pp. 65-112; Michael Penman, “Sacred Food for the Soul”: In Search of the Devotions to Saints of Robert Bruce, King of Scotland, 1306-1329’, </w:t>
      </w:r>
      <w:r w:rsidR="00765E57" w:rsidRPr="002D3E0E">
        <w:rPr>
          <w:i/>
          <w:iCs/>
        </w:rPr>
        <w:t>Speculum</w:t>
      </w:r>
      <w:r w:rsidR="00765E57" w:rsidRPr="002D3E0E">
        <w:t xml:space="preserve"> 88 (2013), 905-1204; Michael Penman, ‘The Bruce dynasty, Becket and Scottish pilgrimage to Canterbury, c.1178-c.1404’, </w:t>
      </w:r>
      <w:r w:rsidR="00765E57" w:rsidRPr="002D3E0E">
        <w:rPr>
          <w:i/>
          <w:iCs/>
        </w:rPr>
        <w:t xml:space="preserve">Journal of Medieval History </w:t>
      </w:r>
      <w:r w:rsidR="00765E57" w:rsidRPr="002D3E0E">
        <w:t xml:space="preserve">32 (2006), 346-370).  </w:t>
      </w:r>
    </w:p>
  </w:footnote>
  <w:footnote w:id="5">
    <w:p w14:paraId="52AA027D" w14:textId="01831FB7" w:rsidR="004010F0" w:rsidRPr="002D3E0E" w:rsidRDefault="004010F0" w:rsidP="004010F0">
      <w:pPr>
        <w:pStyle w:val="FootnoteText"/>
      </w:pPr>
      <w:r w:rsidRPr="002D3E0E">
        <w:rPr>
          <w:rStyle w:val="FootnoteReference"/>
        </w:rPr>
        <w:footnoteRef/>
      </w:r>
      <w:r w:rsidRPr="002D3E0E">
        <w:t xml:space="preserve"> Lucinda Dean </w:t>
      </w:r>
      <w:r w:rsidR="007E31B3" w:rsidRPr="002D3E0E">
        <w:t xml:space="preserve">and Michael Penman </w:t>
      </w:r>
      <w:r w:rsidRPr="002D3E0E">
        <w:t xml:space="preserve">argue that Robert I received unction in 1306 but there is no evidence that this was the case (Dean, </w:t>
      </w:r>
      <w:r w:rsidRPr="002D3E0E">
        <w:rPr>
          <w:i/>
          <w:iCs/>
        </w:rPr>
        <w:t>Death and the Royal Succession</w:t>
      </w:r>
      <w:r w:rsidRPr="002D3E0E">
        <w:t>, 84-5</w:t>
      </w:r>
      <w:r w:rsidR="007E31B3" w:rsidRPr="002D3E0E">
        <w:t xml:space="preserve">; Michael Penman, </w:t>
      </w:r>
      <w:r w:rsidR="007E31B3" w:rsidRPr="002D3E0E">
        <w:rPr>
          <w:i/>
          <w:iCs/>
        </w:rPr>
        <w:t xml:space="preserve">Robert the Bruce: king of Scots </w:t>
      </w:r>
      <w:r w:rsidR="007E31B3" w:rsidRPr="002D3E0E">
        <w:t>(London, 2018), 96-7</w:t>
      </w:r>
      <w:r w:rsidRPr="002D3E0E">
        <w:t>; Jennifer McHugh, ‘</w:t>
      </w:r>
      <w:proofErr w:type="spellStart"/>
      <w:r w:rsidRPr="002D3E0E">
        <w:rPr>
          <w:i/>
          <w:iCs/>
        </w:rPr>
        <w:t>Foi</w:t>
      </w:r>
      <w:proofErr w:type="spellEnd"/>
      <w:r w:rsidRPr="002D3E0E">
        <w:rPr>
          <w:i/>
          <w:iCs/>
        </w:rPr>
        <w:t xml:space="preserve"> e </w:t>
      </w:r>
      <w:proofErr w:type="spellStart"/>
      <w:r w:rsidRPr="002D3E0E">
        <w:rPr>
          <w:i/>
          <w:iCs/>
        </w:rPr>
        <w:t>Leuté</w:t>
      </w:r>
      <w:proofErr w:type="spellEnd"/>
      <w:r w:rsidRPr="002D3E0E">
        <w:rPr>
          <w:i/>
          <w:iCs/>
        </w:rPr>
        <w:t xml:space="preserve">: </w:t>
      </w:r>
      <w:r w:rsidRPr="002D3E0E">
        <w:t>The Allegiance, Identity and Service of Scottish Bishops in the Wars of Independence, between 1332 and 1357’, unpublished Ph.D. thesis (Lancaster University, 2023), 54-5).</w:t>
      </w:r>
    </w:p>
  </w:footnote>
  <w:footnote w:id="6">
    <w:p w14:paraId="6E4E91BA" w14:textId="31AEF7DD" w:rsidR="006F58BF" w:rsidRPr="00D63A4E" w:rsidRDefault="006F58BF">
      <w:pPr>
        <w:pStyle w:val="FootnoteText"/>
        <w:rPr>
          <w:i/>
          <w:iCs/>
        </w:rPr>
      </w:pPr>
      <w:r w:rsidRPr="002D3E0E">
        <w:rPr>
          <w:rStyle w:val="FootnoteReference"/>
        </w:rPr>
        <w:footnoteRef/>
      </w:r>
      <w:r w:rsidRPr="002D3E0E">
        <w:t xml:space="preserve"> </w:t>
      </w:r>
      <w:r w:rsidR="007E31B3" w:rsidRPr="002D3E0E">
        <w:t xml:space="preserve">P. Buc, </w:t>
      </w:r>
      <w:r w:rsidR="007E31B3" w:rsidRPr="002D3E0E">
        <w:rPr>
          <w:i/>
          <w:iCs/>
        </w:rPr>
        <w:t xml:space="preserve">Dangers of Ritual: Between Early Medieval Texts and Social Scientific Theory </w:t>
      </w:r>
      <w:r w:rsidR="007E31B3" w:rsidRPr="002D3E0E">
        <w:t xml:space="preserve">(Princeton, 2009). </w:t>
      </w:r>
    </w:p>
  </w:footnote>
  <w:footnote w:id="7">
    <w:p w14:paraId="1458F90F" w14:textId="7FCAB72B" w:rsidR="00DA191C" w:rsidRPr="002D3E0E" w:rsidRDefault="00DA191C" w:rsidP="00DA191C">
      <w:pPr>
        <w:pStyle w:val="FootnoteText"/>
        <w:rPr>
          <w:b/>
          <w:bCs/>
          <w:color w:val="FF0000"/>
        </w:rPr>
      </w:pPr>
      <w:r w:rsidRPr="002D3E0E">
        <w:rPr>
          <w:rStyle w:val="FootnoteReference"/>
        </w:rPr>
        <w:footnoteRef/>
      </w:r>
      <w:r w:rsidRPr="002D3E0E">
        <w:t xml:space="preserve"> </w:t>
      </w:r>
      <w:r w:rsidR="00A67AF9" w:rsidRPr="002D3E0E">
        <w:t xml:space="preserve">William F. Skene (ed.), </w:t>
      </w:r>
      <w:r w:rsidR="00A67AF9" w:rsidRPr="002D3E0E">
        <w:rPr>
          <w:i/>
          <w:iCs/>
        </w:rPr>
        <w:t xml:space="preserve">Johannis de Fordun Chronica Gentis </w:t>
      </w:r>
      <w:proofErr w:type="spellStart"/>
      <w:r w:rsidR="00A67AF9" w:rsidRPr="002D3E0E">
        <w:rPr>
          <w:i/>
          <w:iCs/>
        </w:rPr>
        <w:t>Scotorum</w:t>
      </w:r>
      <w:proofErr w:type="spellEnd"/>
      <w:r w:rsidR="00695082" w:rsidRPr="002D3E0E">
        <w:t xml:space="preserve">, 2 vols (Edinburgh, 1872), </w:t>
      </w:r>
      <w:r w:rsidR="00A67AF9" w:rsidRPr="002D3E0E">
        <w:t>ii</w:t>
      </w:r>
      <w:r w:rsidRPr="002D3E0E">
        <w:t>, 346.</w:t>
      </w:r>
      <w:r w:rsidR="00695082" w:rsidRPr="002D3E0E">
        <w:t xml:space="preserve"> This text was previously attributed to John of Fordun, but </w:t>
      </w:r>
      <w:r w:rsidR="0030169B" w:rsidRPr="002D3E0E">
        <w:t>no intrepid scholar has yet attempted a new edition</w:t>
      </w:r>
      <w:r w:rsidR="00695082" w:rsidRPr="002D3E0E">
        <w:t>.</w:t>
      </w:r>
      <w:r w:rsidR="001323B1" w:rsidRPr="002D3E0E">
        <w:t xml:space="preserve"> </w:t>
      </w:r>
      <w:r w:rsidR="00303427" w:rsidRPr="002D3E0E">
        <w:t>This text has been the subject of many recent studies</w:t>
      </w:r>
      <w:r w:rsidR="004010F0" w:rsidRPr="002D3E0E">
        <w:t xml:space="preserve"> summarised in:</w:t>
      </w:r>
      <w:r w:rsidR="00303427" w:rsidRPr="002D3E0E">
        <w:t xml:space="preserve"> </w:t>
      </w:r>
      <w:proofErr w:type="spellStart"/>
      <w:r w:rsidR="00303427" w:rsidRPr="002D3E0E">
        <w:t>Dauvit</w:t>
      </w:r>
      <w:proofErr w:type="spellEnd"/>
      <w:r w:rsidR="00303427" w:rsidRPr="002D3E0E">
        <w:t xml:space="preserve"> Broun, ‘Scotland’s First “National” History? Fordun’s Principal Source Revisited’, </w:t>
      </w:r>
      <w:r w:rsidR="00303427" w:rsidRPr="002D3E0E">
        <w:rPr>
          <w:i/>
          <w:iCs/>
        </w:rPr>
        <w:t>Scottish Historical Review</w:t>
      </w:r>
      <w:r w:rsidR="00303427" w:rsidRPr="002D3E0E">
        <w:t xml:space="preserve"> 103 (2024), 392-435; Broun, ‘A new perspective on John of Fordun’s </w:t>
      </w:r>
      <w:r w:rsidR="00303427" w:rsidRPr="002D3E0E">
        <w:rPr>
          <w:i/>
          <w:iCs/>
        </w:rPr>
        <w:t xml:space="preserve">Chronica Gentis </w:t>
      </w:r>
      <w:proofErr w:type="spellStart"/>
      <w:r w:rsidR="00303427" w:rsidRPr="002D3E0E">
        <w:rPr>
          <w:i/>
          <w:iCs/>
        </w:rPr>
        <w:t>Scotorum</w:t>
      </w:r>
      <w:proofErr w:type="spellEnd"/>
      <w:r w:rsidR="00303427" w:rsidRPr="002D3E0E">
        <w:rPr>
          <w:i/>
          <w:iCs/>
        </w:rPr>
        <w:t xml:space="preserve"> </w:t>
      </w:r>
      <w:r w:rsidR="00303427" w:rsidRPr="002D3E0E">
        <w:t xml:space="preserve">as a medieval “national history”, in Steven J. Reid (ed.), </w:t>
      </w:r>
      <w:r w:rsidR="00303427" w:rsidRPr="002D3E0E">
        <w:rPr>
          <w:i/>
          <w:iCs/>
        </w:rPr>
        <w:t>Rethinking the Renaissance and Reformation in Scotland. Essays in honour of Roger A. Mason</w:t>
      </w:r>
      <w:r w:rsidR="00303427" w:rsidRPr="002D3E0E">
        <w:t xml:space="preserve"> (Woodbridge, 2024), 43-60</w:t>
      </w:r>
      <w:r w:rsidR="004010F0" w:rsidRPr="002D3E0E">
        <w:t xml:space="preserve">. </w:t>
      </w:r>
    </w:p>
  </w:footnote>
  <w:footnote w:id="8">
    <w:p w14:paraId="3457782F" w14:textId="77777777" w:rsidR="00DA191C" w:rsidRPr="002D3E0E" w:rsidRDefault="00DA191C" w:rsidP="00DA191C">
      <w:pPr>
        <w:pStyle w:val="FootnoteText"/>
      </w:pPr>
      <w:r w:rsidRPr="002D3E0E">
        <w:rPr>
          <w:rStyle w:val="FootnoteReference"/>
        </w:rPr>
        <w:footnoteRef/>
      </w:r>
      <w:r w:rsidRPr="002D3E0E">
        <w:t xml:space="preserve"> </w:t>
      </w:r>
      <w:r w:rsidRPr="002D3E0E">
        <w:rPr>
          <w:i/>
          <w:iCs/>
        </w:rPr>
        <w:t>Ibid</w:t>
      </w:r>
      <w:r w:rsidRPr="002D3E0E">
        <w:t xml:space="preserve">. </w:t>
      </w:r>
    </w:p>
  </w:footnote>
  <w:footnote w:id="9">
    <w:p w14:paraId="1AAA84B5" w14:textId="71FD0D4C" w:rsidR="00DA191C" w:rsidRPr="002D3E0E" w:rsidRDefault="00DA191C" w:rsidP="00DA191C">
      <w:pPr>
        <w:pStyle w:val="FootnoteText"/>
      </w:pPr>
      <w:r w:rsidRPr="002D3E0E">
        <w:rPr>
          <w:rStyle w:val="FootnoteReference"/>
        </w:rPr>
        <w:footnoteRef/>
      </w:r>
      <w:r w:rsidRPr="002D3E0E">
        <w:t xml:space="preserve"> </w:t>
      </w:r>
      <w:r w:rsidR="00CE4B39" w:rsidRPr="002D3E0E">
        <w:t xml:space="preserve">Andrew of Wyntoun, </w:t>
      </w:r>
      <w:r w:rsidR="00CE4B39" w:rsidRPr="002D3E0E">
        <w:rPr>
          <w:i/>
          <w:iCs/>
        </w:rPr>
        <w:t>The Original Chronicle of Andrew of Wyntoun</w:t>
      </w:r>
      <w:r w:rsidR="00CE4B39" w:rsidRPr="002D3E0E">
        <w:t>, F.</w:t>
      </w:r>
      <w:r w:rsidR="00A67AF9" w:rsidRPr="002D3E0E">
        <w:t xml:space="preserve"> </w:t>
      </w:r>
      <w:r w:rsidR="00CE4B39" w:rsidRPr="002D3E0E">
        <w:t>J. Amours</w:t>
      </w:r>
      <w:r w:rsidR="00A67AF9" w:rsidRPr="002D3E0E">
        <w:t xml:space="preserve"> (ed.)</w:t>
      </w:r>
      <w:r w:rsidR="00CE4B39" w:rsidRPr="002D3E0E">
        <w:t xml:space="preserve">, 6 vols (Edinburgh and London, 1914), </w:t>
      </w:r>
      <w:r w:rsidR="00A67AF9" w:rsidRPr="002D3E0E">
        <w:t>v</w:t>
      </w:r>
      <w:r w:rsidR="00CE4B39" w:rsidRPr="002D3E0E">
        <w:t xml:space="preserve">, </w:t>
      </w:r>
      <w:r w:rsidRPr="002D3E0E">
        <w:t>384-5</w:t>
      </w:r>
      <w:r w:rsidR="006F58BF" w:rsidRPr="002D3E0E">
        <w:t xml:space="preserve">; Steve Boardman, ‘Chronicle propaganda in fourteenth-century Scotland: Robert the Steward, John of Fordun and the “Anonymous Chronicle”, </w:t>
      </w:r>
      <w:r w:rsidR="006F58BF" w:rsidRPr="002D3E0E">
        <w:rPr>
          <w:i/>
          <w:iCs/>
        </w:rPr>
        <w:t>Scottish Historical Review</w:t>
      </w:r>
      <w:r w:rsidR="006F58BF" w:rsidRPr="002D3E0E">
        <w:t xml:space="preserve"> 76 (1997), 23-43</w:t>
      </w:r>
      <w:r w:rsidR="005357A7" w:rsidRPr="002D3E0E">
        <w:t xml:space="preserve">. </w:t>
      </w:r>
    </w:p>
  </w:footnote>
  <w:footnote w:id="10">
    <w:p w14:paraId="1AB1E13B" w14:textId="77777777" w:rsidR="00DA191C" w:rsidRPr="002D3E0E" w:rsidRDefault="00DA191C" w:rsidP="00DA191C">
      <w:pPr>
        <w:pStyle w:val="FootnoteText"/>
      </w:pPr>
      <w:r w:rsidRPr="002D3E0E">
        <w:rPr>
          <w:rStyle w:val="FootnoteReference"/>
        </w:rPr>
        <w:footnoteRef/>
      </w:r>
      <w:r w:rsidRPr="002D3E0E">
        <w:t xml:space="preserve"> </w:t>
      </w:r>
      <w:r w:rsidRPr="002D3E0E">
        <w:rPr>
          <w:i/>
          <w:iCs/>
        </w:rPr>
        <w:t>Ibid</w:t>
      </w:r>
      <w:r w:rsidRPr="002D3E0E">
        <w:t xml:space="preserve">. </w:t>
      </w:r>
    </w:p>
  </w:footnote>
  <w:footnote w:id="11">
    <w:p w14:paraId="351A673B" w14:textId="5F0137F7" w:rsidR="00DA191C" w:rsidRPr="002D3E0E" w:rsidRDefault="00DA191C" w:rsidP="00DA191C">
      <w:pPr>
        <w:pStyle w:val="FootnoteText"/>
        <w:rPr>
          <w:color w:val="FF0000"/>
        </w:rPr>
      </w:pPr>
      <w:r w:rsidRPr="002D3E0E">
        <w:rPr>
          <w:rStyle w:val="FootnoteReference"/>
        </w:rPr>
        <w:footnoteRef/>
      </w:r>
      <w:r w:rsidRPr="002D3E0E">
        <w:t xml:space="preserve"> </w:t>
      </w:r>
      <w:r w:rsidR="00CE4B39" w:rsidRPr="002D3E0E">
        <w:t xml:space="preserve">Walter Bower, </w:t>
      </w:r>
      <w:proofErr w:type="spellStart"/>
      <w:r w:rsidR="00CE4B39" w:rsidRPr="002D3E0E">
        <w:rPr>
          <w:i/>
          <w:iCs/>
        </w:rPr>
        <w:t>Scotichronicon</w:t>
      </w:r>
      <w:proofErr w:type="spellEnd"/>
      <w:r w:rsidR="00CE4B39" w:rsidRPr="002D3E0E">
        <w:t>, D.</w:t>
      </w:r>
      <w:r w:rsidR="00A67AF9" w:rsidRPr="002D3E0E">
        <w:t xml:space="preserve"> </w:t>
      </w:r>
      <w:r w:rsidR="00CE4B39" w:rsidRPr="002D3E0E">
        <w:t>E.</w:t>
      </w:r>
      <w:r w:rsidR="00A67AF9" w:rsidRPr="002D3E0E">
        <w:t xml:space="preserve"> </w:t>
      </w:r>
      <w:r w:rsidR="00CE4B39" w:rsidRPr="002D3E0E">
        <w:t>R. Watt et al.</w:t>
      </w:r>
      <w:r w:rsidR="00A67AF9" w:rsidRPr="002D3E0E">
        <w:t xml:space="preserve"> (eds)</w:t>
      </w:r>
      <w:r w:rsidR="00CE4B39" w:rsidRPr="002D3E0E">
        <w:t xml:space="preserve">, 9 vols (Aberdeen, 1987-1999), </w:t>
      </w:r>
      <w:r w:rsidR="00A67AF9" w:rsidRPr="002D3E0E">
        <w:t>vii</w:t>
      </w:r>
      <w:r w:rsidRPr="002D3E0E">
        <w:t>, 71.</w:t>
      </w:r>
    </w:p>
  </w:footnote>
  <w:footnote w:id="12">
    <w:p w14:paraId="50F71142" w14:textId="77777777" w:rsidR="00DA191C" w:rsidRPr="002D3E0E" w:rsidRDefault="00DA191C" w:rsidP="00DA191C">
      <w:pPr>
        <w:pStyle w:val="FootnoteText"/>
      </w:pPr>
      <w:r w:rsidRPr="002D3E0E">
        <w:rPr>
          <w:rStyle w:val="FootnoteReference"/>
        </w:rPr>
        <w:footnoteRef/>
      </w:r>
      <w:r w:rsidRPr="002D3E0E">
        <w:t xml:space="preserve"> </w:t>
      </w:r>
      <w:r w:rsidRPr="002D3E0E">
        <w:rPr>
          <w:i/>
          <w:iCs/>
        </w:rPr>
        <w:t>Ibid</w:t>
      </w:r>
      <w:r w:rsidRPr="002D3E0E">
        <w:t xml:space="preserve">. </w:t>
      </w:r>
    </w:p>
  </w:footnote>
  <w:footnote w:id="13">
    <w:p w14:paraId="7352FF37" w14:textId="6A56742C" w:rsidR="00240D80" w:rsidRPr="002D3E0E" w:rsidRDefault="00240D80">
      <w:pPr>
        <w:pStyle w:val="FootnoteText"/>
      </w:pPr>
      <w:r w:rsidRPr="002D3E0E">
        <w:rPr>
          <w:rStyle w:val="FootnoteReference"/>
        </w:rPr>
        <w:footnoteRef/>
      </w:r>
      <w:r w:rsidRPr="002D3E0E">
        <w:t xml:space="preserve"> </w:t>
      </w:r>
      <w:r w:rsidRPr="002D3E0E">
        <w:rPr>
          <w:i/>
          <w:iCs/>
        </w:rPr>
        <w:t>Chron. Bower</w:t>
      </w:r>
      <w:r w:rsidRPr="002D3E0E">
        <w:t xml:space="preserve">, </w:t>
      </w:r>
      <w:r w:rsidR="00A67AF9" w:rsidRPr="002D3E0E">
        <w:t>vi</w:t>
      </w:r>
      <w:r w:rsidRPr="002D3E0E">
        <w:t>, 317.</w:t>
      </w:r>
    </w:p>
  </w:footnote>
  <w:footnote w:id="14">
    <w:p w14:paraId="7B849FE7" w14:textId="74AF24BD" w:rsidR="00DA191C" w:rsidRPr="002D3E0E" w:rsidRDefault="00DA191C" w:rsidP="00DA191C">
      <w:pPr>
        <w:pStyle w:val="FootnoteText"/>
      </w:pPr>
      <w:r w:rsidRPr="002D3E0E">
        <w:rPr>
          <w:rStyle w:val="FootnoteReference"/>
        </w:rPr>
        <w:footnoteRef/>
      </w:r>
      <w:r w:rsidRPr="002D3E0E">
        <w:t xml:space="preserve"> </w:t>
      </w:r>
      <w:r w:rsidR="00AE3100" w:rsidRPr="002D3E0E">
        <w:t>‘</w:t>
      </w:r>
      <w:proofErr w:type="gramStart"/>
      <w:r w:rsidR="00AE3100" w:rsidRPr="002D3E0E">
        <w:t>he</w:t>
      </w:r>
      <w:proofErr w:type="gramEnd"/>
      <w:r w:rsidR="00AE3100" w:rsidRPr="002D3E0E">
        <w:t xml:space="preserve"> likewise disgraced himself and polluted the sacred place by cleansing his bowels’; ‘he was the first of all the kings of Scotland to be crowned and anointed’ (</w:t>
      </w:r>
      <w:r w:rsidR="00A67AF9" w:rsidRPr="002D3E0E">
        <w:t xml:space="preserve">E. A. Bond (ed.), </w:t>
      </w:r>
      <w:r w:rsidR="00CE4B39" w:rsidRPr="002D3E0E">
        <w:rPr>
          <w:i/>
          <w:iCs/>
        </w:rPr>
        <w:t xml:space="preserve">Chronica </w:t>
      </w:r>
      <w:proofErr w:type="spellStart"/>
      <w:r w:rsidR="00CE4B39" w:rsidRPr="002D3E0E">
        <w:rPr>
          <w:i/>
          <w:iCs/>
        </w:rPr>
        <w:t>Monasterii</w:t>
      </w:r>
      <w:proofErr w:type="spellEnd"/>
      <w:r w:rsidR="00CE4B39" w:rsidRPr="002D3E0E">
        <w:rPr>
          <w:i/>
          <w:iCs/>
        </w:rPr>
        <w:t xml:space="preserve"> de Melsa, </w:t>
      </w:r>
      <w:r w:rsidR="00CE4B39" w:rsidRPr="002D3E0E">
        <w:t xml:space="preserve">3 vols </w:t>
      </w:r>
      <w:r w:rsidR="00AE3100" w:rsidRPr="002D3E0E">
        <w:t>[</w:t>
      </w:r>
      <w:r w:rsidR="00CE4B39" w:rsidRPr="002D3E0E">
        <w:t>London, 1866-8</w:t>
      </w:r>
      <w:r w:rsidR="00AE3100" w:rsidRPr="002D3E0E">
        <w:t>]</w:t>
      </w:r>
      <w:r w:rsidR="00CE4B39" w:rsidRPr="002D3E0E">
        <w:t xml:space="preserve">, </w:t>
      </w:r>
      <w:r w:rsidR="00A67AF9" w:rsidRPr="002D3E0E">
        <w:t>ii</w:t>
      </w:r>
      <w:r w:rsidR="00CE4B39" w:rsidRPr="002D3E0E">
        <w:t>, 361-2</w:t>
      </w:r>
      <w:r w:rsidR="00AE3100" w:rsidRPr="002D3E0E">
        <w:t>)</w:t>
      </w:r>
      <w:r w:rsidRPr="002D3E0E">
        <w:t>. Geoffrey le Baker was similarly sought to undermine the king’s receipt of unction by calling him ‘David altar-shitter</w:t>
      </w:r>
      <w:proofErr w:type="gramStart"/>
      <w:r w:rsidRPr="002D3E0E">
        <w:t>’(</w:t>
      </w:r>
      <w:proofErr w:type="gramEnd"/>
      <w:r w:rsidR="00CE4B39" w:rsidRPr="002D3E0E">
        <w:t xml:space="preserve">Geoffrey le Baker, </w:t>
      </w:r>
      <w:r w:rsidR="00CE4B39" w:rsidRPr="002D3E0E">
        <w:rPr>
          <w:i/>
          <w:iCs/>
        </w:rPr>
        <w:t>The Chronicle of Geoffrey Le Baker of Swinbrook</w:t>
      </w:r>
      <w:r w:rsidR="00CE4B39" w:rsidRPr="002D3E0E">
        <w:t xml:space="preserve">, David </w:t>
      </w:r>
      <w:proofErr w:type="spellStart"/>
      <w:r w:rsidR="00CE4B39" w:rsidRPr="002D3E0E">
        <w:t>Preest</w:t>
      </w:r>
      <w:proofErr w:type="spellEnd"/>
      <w:r w:rsidR="00CE4B39" w:rsidRPr="002D3E0E">
        <w:t xml:space="preserve"> and Richard Barber</w:t>
      </w:r>
      <w:r w:rsidR="00A67AF9" w:rsidRPr="002D3E0E">
        <w:t xml:space="preserve"> (eds),</w:t>
      </w:r>
      <w:r w:rsidR="00CE4B39" w:rsidRPr="002D3E0E">
        <w:t xml:space="preserve"> </w:t>
      </w:r>
      <w:r w:rsidR="00AE3100" w:rsidRPr="002D3E0E">
        <w:t>[</w:t>
      </w:r>
      <w:r w:rsidR="00CE4B39" w:rsidRPr="002D3E0E">
        <w:t>Woodbridge, 2012</w:t>
      </w:r>
      <w:r w:rsidR="00AE3100" w:rsidRPr="002D3E0E">
        <w:t>]</w:t>
      </w:r>
      <w:r w:rsidR="00CE4B39" w:rsidRPr="002D3E0E">
        <w:t xml:space="preserve">, </w:t>
      </w:r>
      <w:r w:rsidRPr="002D3E0E">
        <w:t>37).</w:t>
      </w:r>
    </w:p>
  </w:footnote>
  <w:footnote w:id="15">
    <w:p w14:paraId="222531FA" w14:textId="77777777" w:rsidR="005F36D9" w:rsidRPr="002D3E0E" w:rsidRDefault="005F36D9" w:rsidP="005F36D9">
      <w:pPr>
        <w:pStyle w:val="FootnoteText"/>
        <w:rPr>
          <w:b/>
          <w:bCs/>
          <w:lang w:val="fr-FR"/>
        </w:rPr>
      </w:pPr>
      <w:r w:rsidRPr="002D3E0E">
        <w:rPr>
          <w:rStyle w:val="FootnoteReference"/>
        </w:rPr>
        <w:footnoteRef/>
      </w:r>
      <w:r w:rsidRPr="002D3E0E">
        <w:rPr>
          <w:lang w:val="fr-FR"/>
        </w:rPr>
        <w:t xml:space="preserve"> 1 Samuel </w:t>
      </w:r>
      <w:proofErr w:type="gramStart"/>
      <w:r w:rsidRPr="002D3E0E">
        <w:rPr>
          <w:lang w:val="fr-FR"/>
        </w:rPr>
        <w:t>10:</w:t>
      </w:r>
      <w:proofErr w:type="gramEnd"/>
      <w:r w:rsidRPr="002D3E0E">
        <w:rPr>
          <w:lang w:val="fr-FR"/>
        </w:rPr>
        <w:t>18.</w:t>
      </w:r>
    </w:p>
  </w:footnote>
  <w:footnote w:id="16">
    <w:p w14:paraId="4AA156CD" w14:textId="3309AAA0" w:rsidR="0067032B" w:rsidRPr="002D3E0E" w:rsidRDefault="0067032B">
      <w:pPr>
        <w:pStyle w:val="FootnoteText"/>
        <w:rPr>
          <w:lang w:val="fr-FR"/>
        </w:rPr>
      </w:pPr>
      <w:r w:rsidRPr="002D3E0E">
        <w:rPr>
          <w:rStyle w:val="FootnoteReference"/>
        </w:rPr>
        <w:footnoteRef/>
      </w:r>
      <w:r w:rsidRPr="002D3E0E">
        <w:rPr>
          <w:lang w:val="fr-FR"/>
        </w:rPr>
        <w:t xml:space="preserve"> </w:t>
      </w:r>
      <w:proofErr w:type="spellStart"/>
      <w:r w:rsidRPr="002D3E0E">
        <w:rPr>
          <w:lang w:val="fr-FR"/>
        </w:rPr>
        <w:t>Deuteronomy</w:t>
      </w:r>
      <w:proofErr w:type="spellEnd"/>
      <w:r w:rsidRPr="002D3E0E">
        <w:rPr>
          <w:lang w:val="fr-FR"/>
        </w:rPr>
        <w:t xml:space="preserve"> </w:t>
      </w:r>
      <w:proofErr w:type="gramStart"/>
      <w:r w:rsidRPr="002D3E0E">
        <w:rPr>
          <w:lang w:val="fr-FR"/>
        </w:rPr>
        <w:t>18:18;</w:t>
      </w:r>
      <w:proofErr w:type="gramEnd"/>
      <w:r w:rsidRPr="002D3E0E">
        <w:rPr>
          <w:lang w:val="fr-FR"/>
        </w:rPr>
        <w:t xml:space="preserve"> 1 Samuel </w:t>
      </w:r>
      <w:proofErr w:type="gramStart"/>
      <w:r w:rsidRPr="002D3E0E">
        <w:rPr>
          <w:lang w:val="fr-FR"/>
        </w:rPr>
        <w:t>8:</w:t>
      </w:r>
      <w:proofErr w:type="gramEnd"/>
      <w:r w:rsidRPr="002D3E0E">
        <w:rPr>
          <w:lang w:val="fr-FR"/>
        </w:rPr>
        <w:t xml:space="preserve">5-7. </w:t>
      </w:r>
    </w:p>
  </w:footnote>
  <w:footnote w:id="17">
    <w:p w14:paraId="1CF02622" w14:textId="22070085" w:rsidR="005F36D9" w:rsidRPr="002D3E0E" w:rsidRDefault="005F36D9" w:rsidP="005F36D9">
      <w:pPr>
        <w:pStyle w:val="FootnoteText"/>
        <w:rPr>
          <w:lang w:val="fr-FR"/>
        </w:rPr>
      </w:pPr>
      <w:r w:rsidRPr="002D3E0E">
        <w:rPr>
          <w:rStyle w:val="FootnoteReference"/>
        </w:rPr>
        <w:footnoteRef/>
      </w:r>
      <w:r w:rsidRPr="002D3E0E">
        <w:rPr>
          <w:lang w:val="fr-FR"/>
        </w:rPr>
        <w:t xml:space="preserve"> 1 Samuel </w:t>
      </w:r>
      <w:proofErr w:type="gramStart"/>
      <w:r w:rsidRPr="002D3E0E">
        <w:rPr>
          <w:lang w:val="fr-FR"/>
        </w:rPr>
        <w:t>10:</w:t>
      </w:r>
      <w:proofErr w:type="gramEnd"/>
      <w:r w:rsidRPr="002D3E0E">
        <w:rPr>
          <w:lang w:val="fr-FR"/>
        </w:rPr>
        <w:t>1</w:t>
      </w:r>
      <w:r w:rsidR="00084DFA" w:rsidRPr="002D3E0E">
        <w:rPr>
          <w:lang w:val="fr-FR"/>
        </w:rPr>
        <w:t xml:space="preserve"> ; 1 Samuel </w:t>
      </w:r>
      <w:proofErr w:type="gramStart"/>
      <w:r w:rsidR="00084DFA" w:rsidRPr="002D3E0E">
        <w:rPr>
          <w:lang w:val="fr-FR"/>
        </w:rPr>
        <w:t>16:1;</w:t>
      </w:r>
      <w:proofErr w:type="gramEnd"/>
      <w:r w:rsidR="00084DFA" w:rsidRPr="002D3E0E">
        <w:rPr>
          <w:lang w:val="fr-FR"/>
        </w:rPr>
        <w:t xml:space="preserve"> 1 Kings </w:t>
      </w:r>
      <w:proofErr w:type="gramStart"/>
      <w:r w:rsidR="00084DFA" w:rsidRPr="002D3E0E">
        <w:rPr>
          <w:lang w:val="fr-FR"/>
        </w:rPr>
        <w:t>1:</w:t>
      </w:r>
      <w:proofErr w:type="gramEnd"/>
      <w:r w:rsidR="00084DFA" w:rsidRPr="002D3E0E">
        <w:rPr>
          <w:lang w:val="fr-FR"/>
        </w:rPr>
        <w:t>39.</w:t>
      </w:r>
    </w:p>
  </w:footnote>
  <w:footnote w:id="18">
    <w:p w14:paraId="73CE66C5" w14:textId="77777777" w:rsidR="005F36D9" w:rsidRPr="002D3E0E" w:rsidRDefault="005F36D9" w:rsidP="005F36D9">
      <w:pPr>
        <w:pStyle w:val="FootnoteText"/>
      </w:pPr>
      <w:r w:rsidRPr="002D3E0E">
        <w:rPr>
          <w:rStyle w:val="FootnoteReference"/>
        </w:rPr>
        <w:footnoteRef/>
      </w:r>
      <w:r w:rsidRPr="002D3E0E">
        <w:t xml:space="preserve"> Exodus 30:30. </w:t>
      </w:r>
    </w:p>
  </w:footnote>
  <w:footnote w:id="19">
    <w:p w14:paraId="5F1E2405" w14:textId="18FA189F" w:rsidR="005F36D9" w:rsidRPr="002D3E0E" w:rsidRDefault="005F36D9" w:rsidP="005F36D9">
      <w:pPr>
        <w:pStyle w:val="FootnoteText"/>
        <w:rPr>
          <w:color w:val="FF0000"/>
        </w:rPr>
      </w:pPr>
      <w:r w:rsidRPr="002D3E0E">
        <w:rPr>
          <w:rStyle w:val="FootnoteReference"/>
        </w:rPr>
        <w:footnoteRef/>
      </w:r>
      <w:r w:rsidRPr="002D3E0E">
        <w:t xml:space="preserve"> </w:t>
      </w:r>
      <w:r w:rsidR="006273E1" w:rsidRPr="002D3E0E">
        <w:t xml:space="preserve">Dale, </w:t>
      </w:r>
      <w:r w:rsidR="006273E1" w:rsidRPr="002D3E0E">
        <w:rPr>
          <w:i/>
          <w:iCs/>
        </w:rPr>
        <w:t>Inauguration</w:t>
      </w:r>
      <w:r w:rsidRPr="002D3E0E">
        <w:t xml:space="preserve">, 29.  </w:t>
      </w:r>
    </w:p>
  </w:footnote>
  <w:footnote w:id="20">
    <w:p w14:paraId="40EDC1FA" w14:textId="11B92366" w:rsidR="005F36D9" w:rsidRPr="002D3E0E" w:rsidRDefault="005F36D9" w:rsidP="005F36D9">
      <w:pPr>
        <w:pStyle w:val="FootnoteText"/>
      </w:pPr>
      <w:r w:rsidRPr="002D3E0E">
        <w:rPr>
          <w:rStyle w:val="FootnoteReference"/>
        </w:rPr>
        <w:footnoteRef/>
      </w:r>
      <w:r w:rsidRPr="002D3E0E">
        <w:t xml:space="preserve"> Dale, </w:t>
      </w:r>
      <w:r w:rsidRPr="002D3E0E">
        <w:rPr>
          <w:i/>
          <w:iCs/>
        </w:rPr>
        <w:t>Inauguration and Liturgical Kingship</w:t>
      </w:r>
      <w:r w:rsidRPr="002D3E0E">
        <w:t>, 29-30.</w:t>
      </w:r>
    </w:p>
  </w:footnote>
  <w:footnote w:id="21">
    <w:p w14:paraId="5A278E63" w14:textId="17801579" w:rsidR="00C43F5F" w:rsidRPr="002D3E0E" w:rsidRDefault="00C43F5F">
      <w:pPr>
        <w:pStyle w:val="FootnoteText"/>
      </w:pPr>
      <w:r w:rsidRPr="002D3E0E">
        <w:rPr>
          <w:rStyle w:val="FootnoteReference"/>
        </w:rPr>
        <w:footnoteRef/>
      </w:r>
      <w:r w:rsidRPr="002D3E0E">
        <w:t xml:space="preserve"> </w:t>
      </w:r>
      <w:r w:rsidR="00597BBB" w:rsidRPr="002D3E0E">
        <w:t xml:space="preserve">Ernst Kantorowicz, </w:t>
      </w:r>
      <w:r w:rsidR="00597BBB" w:rsidRPr="002D3E0E">
        <w:rPr>
          <w:i/>
          <w:iCs/>
        </w:rPr>
        <w:t xml:space="preserve">The King’s Two Bodies: a study in mediaeval political theology </w:t>
      </w:r>
      <w:r w:rsidR="00597BBB" w:rsidRPr="002D3E0E">
        <w:t xml:space="preserve">(Princeton, 1970), 43-44; Marc Bloch, </w:t>
      </w:r>
      <w:r w:rsidR="00597BBB" w:rsidRPr="002D3E0E">
        <w:rPr>
          <w:i/>
          <w:iCs/>
        </w:rPr>
        <w:t>The Royal Touch: Sacred Monarchy and Scrofula in England and France</w:t>
      </w:r>
      <w:r w:rsidR="00BC4014" w:rsidRPr="002D3E0E">
        <w:t xml:space="preserve"> </w:t>
      </w:r>
      <w:r w:rsidR="00597BBB" w:rsidRPr="002D3E0E">
        <w:t>(London, 1973), 36-7</w:t>
      </w:r>
      <w:r w:rsidR="006A07E1" w:rsidRPr="002D3E0E">
        <w:t xml:space="preserve">; </w:t>
      </w:r>
      <w:r w:rsidR="00074E88" w:rsidRPr="002D3E0E">
        <w:t>P. Buc, ‘</w:t>
      </w:r>
      <w:r w:rsidR="00074E88" w:rsidRPr="002D3E0E">
        <w:rPr>
          <w:i/>
          <w:iCs/>
        </w:rPr>
        <w:t xml:space="preserve">Principes gentium </w:t>
      </w:r>
      <w:proofErr w:type="spellStart"/>
      <w:r w:rsidR="00074E88" w:rsidRPr="002D3E0E">
        <w:rPr>
          <w:i/>
          <w:iCs/>
        </w:rPr>
        <w:t>dominatur</w:t>
      </w:r>
      <w:proofErr w:type="spellEnd"/>
      <w:r w:rsidR="00074E88" w:rsidRPr="002D3E0E">
        <w:rPr>
          <w:i/>
          <w:iCs/>
        </w:rPr>
        <w:t xml:space="preserve"> </w:t>
      </w:r>
      <w:proofErr w:type="spellStart"/>
      <w:r w:rsidR="00074E88" w:rsidRPr="002D3E0E">
        <w:rPr>
          <w:i/>
          <w:iCs/>
        </w:rPr>
        <w:t>eorum</w:t>
      </w:r>
      <w:proofErr w:type="spellEnd"/>
      <w:r w:rsidR="00074E88" w:rsidRPr="002D3E0E">
        <w:rPr>
          <w:i/>
          <w:iCs/>
        </w:rPr>
        <w:t xml:space="preserve">: </w:t>
      </w:r>
      <w:r w:rsidR="00074E88" w:rsidRPr="002D3E0E">
        <w:t>princely power between legitimacy and illegitimacy in twelfth-century exegesis’, in</w:t>
      </w:r>
      <w:r w:rsidR="00BC4014" w:rsidRPr="002D3E0E">
        <w:t xml:space="preserve"> T. N. Bisson (ed.), </w:t>
      </w:r>
      <w:r w:rsidR="00074E88" w:rsidRPr="002D3E0E">
        <w:rPr>
          <w:i/>
          <w:iCs/>
        </w:rPr>
        <w:t>Cultures of Power: Lordship, Status, and Process in Twelfth-Century Europe</w:t>
      </w:r>
      <w:r w:rsidR="00074E88" w:rsidRPr="002D3E0E">
        <w:t xml:space="preserve"> (Philadelphia, 1995), 310-28</w:t>
      </w:r>
      <w:r w:rsidR="00BC4014" w:rsidRPr="002D3E0E">
        <w:t>, at</w:t>
      </w:r>
      <w:r w:rsidR="00074E88" w:rsidRPr="002D3E0E">
        <w:t xml:space="preserve"> </w:t>
      </w:r>
      <w:r w:rsidR="006A07E1" w:rsidRPr="002D3E0E">
        <w:t>314-5</w:t>
      </w:r>
      <w:r w:rsidR="00901D9A" w:rsidRPr="002D3E0E">
        <w:t>; J.</w:t>
      </w:r>
      <w:r w:rsidR="00BC4014" w:rsidRPr="002D3E0E">
        <w:t xml:space="preserve"> </w:t>
      </w:r>
      <w:r w:rsidR="00901D9A" w:rsidRPr="002D3E0E">
        <w:t xml:space="preserve">P. Canning, ‘Introduction: politics, institutions and ideas’, </w:t>
      </w:r>
      <w:r w:rsidR="00BC4014" w:rsidRPr="002D3E0E">
        <w:t xml:space="preserve">J. H. Burns (ed.), </w:t>
      </w:r>
      <w:r w:rsidR="00901D9A" w:rsidRPr="002D3E0E">
        <w:rPr>
          <w:i/>
          <w:iCs/>
        </w:rPr>
        <w:t>Medieval Political Thought c.350-c.1450</w:t>
      </w:r>
      <w:r w:rsidR="00901D9A" w:rsidRPr="002D3E0E">
        <w:t xml:space="preserve"> (Cambridge, 2008), 341-66</w:t>
      </w:r>
      <w:r w:rsidR="00BC4014" w:rsidRPr="002D3E0E">
        <w:t>, at</w:t>
      </w:r>
      <w:r w:rsidR="00901D9A" w:rsidRPr="002D3E0E">
        <w:t xml:space="preserve"> 343-4); Takashi </w:t>
      </w:r>
      <w:proofErr w:type="spellStart"/>
      <w:r w:rsidR="00901D9A" w:rsidRPr="002D3E0E">
        <w:t>Shogimen</w:t>
      </w:r>
      <w:proofErr w:type="spellEnd"/>
      <w:r w:rsidR="00901D9A" w:rsidRPr="002D3E0E">
        <w:t>, ‘William of Ockham’s Ecclesiology and Political Thought’, in</w:t>
      </w:r>
      <w:r w:rsidR="00BC4014" w:rsidRPr="002D3E0E">
        <w:t xml:space="preserve"> Michael Robson (ed.), </w:t>
      </w:r>
      <w:r w:rsidR="00901D9A" w:rsidRPr="002D3E0E">
        <w:rPr>
          <w:i/>
          <w:iCs/>
        </w:rPr>
        <w:t>The English Province of the Franciscans (1224-c.1350)</w:t>
      </w:r>
      <w:r w:rsidR="00901D9A" w:rsidRPr="002D3E0E">
        <w:t xml:space="preserve"> (Leiden, 2017), 335-353. </w:t>
      </w:r>
    </w:p>
  </w:footnote>
  <w:footnote w:id="22">
    <w:p w14:paraId="004A2329" w14:textId="3B12B459" w:rsidR="005F36D9" w:rsidRPr="002D3E0E" w:rsidRDefault="005F36D9" w:rsidP="005F36D9">
      <w:pPr>
        <w:pStyle w:val="FootnoteText"/>
        <w:rPr>
          <w:b/>
          <w:bCs/>
        </w:rPr>
      </w:pPr>
      <w:r w:rsidRPr="002D3E0E">
        <w:rPr>
          <w:rStyle w:val="FootnoteReference"/>
        </w:rPr>
        <w:footnoteRef/>
      </w:r>
      <w:r w:rsidRPr="002D3E0E">
        <w:t xml:space="preserve"> Jean Dunbabin, ‘Government’, in</w:t>
      </w:r>
      <w:r w:rsidR="00BC4014" w:rsidRPr="002D3E0E">
        <w:t xml:space="preserve"> Burns (ed.), </w:t>
      </w:r>
      <w:r w:rsidRPr="002D3E0E">
        <w:rPr>
          <w:i/>
          <w:iCs/>
        </w:rPr>
        <w:t>Medieval Political Thought c.350 – c.1450</w:t>
      </w:r>
      <w:r w:rsidRPr="002D3E0E">
        <w:t xml:space="preserve"> (Cambridge, 2008), 477-519</w:t>
      </w:r>
      <w:r w:rsidR="00BC4014" w:rsidRPr="002D3E0E">
        <w:t>, at</w:t>
      </w:r>
      <w:r w:rsidRPr="002D3E0E">
        <w:t xml:space="preserve"> 483.</w:t>
      </w:r>
      <w:r w:rsidRPr="002D3E0E">
        <w:rPr>
          <w:b/>
          <w:bCs/>
        </w:rPr>
        <w:t xml:space="preserve"> </w:t>
      </w:r>
    </w:p>
  </w:footnote>
  <w:footnote w:id="23">
    <w:p w14:paraId="2A508D32" w14:textId="4FD61B97" w:rsidR="003851BB" w:rsidRPr="002D3E0E" w:rsidRDefault="003851BB" w:rsidP="003851BB">
      <w:pPr>
        <w:pStyle w:val="FootnoteText"/>
      </w:pPr>
      <w:r w:rsidRPr="002D3E0E">
        <w:rPr>
          <w:rStyle w:val="FootnoteReference"/>
        </w:rPr>
        <w:footnoteRef/>
      </w:r>
      <w:r w:rsidRPr="002D3E0E">
        <w:t xml:space="preserve"> Matthew Strickland, ‘Against the Lord’s Anointed: aspects of warfare and baronial rebellion in England and Normandy 1075-1265’,</w:t>
      </w:r>
      <w:r w:rsidR="00BC4014" w:rsidRPr="002D3E0E">
        <w:t xml:space="preserve"> in George Garnett and John Hudson (eds), </w:t>
      </w:r>
      <w:r w:rsidRPr="002D3E0E">
        <w:rPr>
          <w:i/>
          <w:iCs/>
        </w:rPr>
        <w:t>Law and Government in medieval England and Normandy: Essays in honour of Sir James Holt</w:t>
      </w:r>
      <w:r w:rsidRPr="002D3E0E">
        <w:t xml:space="preserve"> (Cambridge, 1994), 56-79</w:t>
      </w:r>
      <w:r w:rsidR="00BC4014" w:rsidRPr="002D3E0E">
        <w:t>, at</w:t>
      </w:r>
      <w:r w:rsidRPr="002D3E0E">
        <w:t xml:space="preserve"> 57.</w:t>
      </w:r>
    </w:p>
  </w:footnote>
  <w:footnote w:id="24">
    <w:p w14:paraId="7DC2FCB2" w14:textId="0DC82633" w:rsidR="00A000C6" w:rsidRPr="002D3E0E" w:rsidRDefault="00A000C6" w:rsidP="00A000C6">
      <w:pPr>
        <w:pStyle w:val="FootnoteText"/>
      </w:pPr>
      <w:r w:rsidRPr="002D3E0E">
        <w:rPr>
          <w:rStyle w:val="FootnoteReference"/>
        </w:rPr>
        <w:footnoteRef/>
      </w:r>
      <w:r w:rsidRPr="002D3E0E">
        <w:t xml:space="preserve"> </w:t>
      </w:r>
      <w:r w:rsidR="00254720" w:rsidRPr="002D3E0E">
        <w:t>‘Kill him not: for who shall put forth his hand against the Lord’s anointed, and shall be guiltless?’ (</w:t>
      </w:r>
      <w:r w:rsidRPr="002D3E0E">
        <w:t>1 Samuel 26:9</w:t>
      </w:r>
      <w:r w:rsidR="00254720" w:rsidRPr="002D3E0E">
        <w:t>)</w:t>
      </w:r>
      <w:r w:rsidRPr="002D3E0E">
        <w:t xml:space="preserve">.  </w:t>
      </w:r>
    </w:p>
  </w:footnote>
  <w:footnote w:id="25">
    <w:p w14:paraId="37B60C6E" w14:textId="3C98F1BF" w:rsidR="003B1CAB" w:rsidRPr="002D3E0E" w:rsidRDefault="003B1CAB" w:rsidP="003B1CAB">
      <w:pPr>
        <w:pStyle w:val="FootnoteText"/>
      </w:pPr>
      <w:r w:rsidRPr="002D3E0E">
        <w:rPr>
          <w:rStyle w:val="FootnoteReference"/>
        </w:rPr>
        <w:footnoteRef/>
      </w:r>
      <w:r w:rsidRPr="002D3E0E">
        <w:t xml:space="preserve"> </w:t>
      </w:r>
      <w:r w:rsidR="00254720" w:rsidRPr="002D3E0E">
        <w:t>‘</w:t>
      </w:r>
      <w:proofErr w:type="gramStart"/>
      <w:r w:rsidR="00254720" w:rsidRPr="002D3E0E">
        <w:t>and</w:t>
      </w:r>
      <w:proofErr w:type="gramEnd"/>
      <w:r w:rsidR="00254720" w:rsidRPr="002D3E0E">
        <w:t xml:space="preserve"> like Samuel [and] David, become a king and be blessed’ (</w:t>
      </w:r>
      <w:r w:rsidR="00BC4014" w:rsidRPr="002D3E0E">
        <w:t xml:space="preserve">V. H. Galbraith (ed.), </w:t>
      </w:r>
      <w:r w:rsidR="00CE4B39" w:rsidRPr="002D3E0E">
        <w:rPr>
          <w:i/>
          <w:iCs/>
        </w:rPr>
        <w:t xml:space="preserve">The </w:t>
      </w:r>
      <w:proofErr w:type="spellStart"/>
      <w:r w:rsidR="00CE4B39" w:rsidRPr="002D3E0E">
        <w:rPr>
          <w:i/>
          <w:iCs/>
        </w:rPr>
        <w:t>Anonimalle</w:t>
      </w:r>
      <w:proofErr w:type="spellEnd"/>
      <w:r w:rsidR="00CE4B39" w:rsidRPr="002D3E0E">
        <w:rPr>
          <w:i/>
          <w:iCs/>
        </w:rPr>
        <w:t xml:space="preserve"> Chronicle, 1333-81</w:t>
      </w:r>
      <w:r w:rsidR="00BC4014" w:rsidRPr="002D3E0E">
        <w:rPr>
          <w:i/>
          <w:iCs/>
        </w:rPr>
        <w:t xml:space="preserve"> </w:t>
      </w:r>
      <w:r w:rsidR="00BC4014" w:rsidRPr="002D3E0E">
        <w:t>(</w:t>
      </w:r>
      <w:r w:rsidR="00CE4B39" w:rsidRPr="002D3E0E">
        <w:t>Manchester, 1927</w:t>
      </w:r>
      <w:r w:rsidR="00BC4014" w:rsidRPr="002D3E0E">
        <w:t>)</w:t>
      </w:r>
      <w:r w:rsidR="00CE4B39" w:rsidRPr="002D3E0E">
        <w:t xml:space="preserve">, </w:t>
      </w:r>
      <w:r w:rsidRPr="002D3E0E">
        <w:t>110</w:t>
      </w:r>
      <w:r w:rsidR="00254720" w:rsidRPr="002D3E0E">
        <w:t>)</w:t>
      </w:r>
      <w:r w:rsidRPr="002D3E0E">
        <w:t>.</w:t>
      </w:r>
    </w:p>
  </w:footnote>
  <w:footnote w:id="26">
    <w:p w14:paraId="671F2765" w14:textId="54A5D415" w:rsidR="002B6F80" w:rsidRPr="002D3E0E" w:rsidRDefault="002B6F80" w:rsidP="002B6F80">
      <w:pPr>
        <w:pStyle w:val="FootnoteText"/>
      </w:pPr>
      <w:r w:rsidRPr="002D3E0E">
        <w:rPr>
          <w:rStyle w:val="FootnoteReference"/>
        </w:rPr>
        <w:footnoteRef/>
      </w:r>
      <w:r w:rsidRPr="002D3E0E">
        <w:t xml:space="preserve"> Alice Taylor, ‘What Does </w:t>
      </w:r>
      <w:proofErr w:type="spellStart"/>
      <w:r w:rsidRPr="002D3E0E">
        <w:rPr>
          <w:i/>
          <w:iCs/>
        </w:rPr>
        <w:t>Regiam</w:t>
      </w:r>
      <w:proofErr w:type="spellEnd"/>
      <w:r w:rsidRPr="002D3E0E">
        <w:rPr>
          <w:i/>
          <w:iCs/>
        </w:rPr>
        <w:t xml:space="preserve"> </w:t>
      </w:r>
      <w:proofErr w:type="spellStart"/>
      <w:r w:rsidRPr="002D3E0E">
        <w:rPr>
          <w:i/>
          <w:iCs/>
        </w:rPr>
        <w:t>maiestatem</w:t>
      </w:r>
      <w:proofErr w:type="spellEnd"/>
      <w:r w:rsidRPr="002D3E0E">
        <w:rPr>
          <w:i/>
          <w:iCs/>
        </w:rPr>
        <w:t xml:space="preserve"> </w:t>
      </w:r>
      <w:r w:rsidRPr="002D3E0E">
        <w:t>Actually Say (and What Does it Mean)?’, in</w:t>
      </w:r>
      <w:r w:rsidR="00BC4014" w:rsidRPr="002D3E0E">
        <w:t xml:space="preserve"> William Eves, John Hudson, Ingrid </w:t>
      </w:r>
      <w:proofErr w:type="spellStart"/>
      <w:r w:rsidR="00BC4014" w:rsidRPr="002D3E0E">
        <w:t>Invarsen</w:t>
      </w:r>
      <w:proofErr w:type="spellEnd"/>
      <w:r w:rsidR="00BC4014" w:rsidRPr="002D3E0E">
        <w:t xml:space="preserve"> and Sarah White (eds), </w:t>
      </w:r>
      <w:r w:rsidRPr="002D3E0E">
        <w:rPr>
          <w:i/>
          <w:iCs/>
        </w:rPr>
        <w:t>Common Law, Civil Law and Colonial Law</w:t>
      </w:r>
      <w:r w:rsidRPr="002D3E0E">
        <w:t xml:space="preserve"> (Cambridge, 2021), 47-85</w:t>
      </w:r>
      <w:r w:rsidR="00BC4014" w:rsidRPr="002D3E0E">
        <w:t xml:space="preserve">, at </w:t>
      </w:r>
      <w:r w:rsidRPr="002D3E0E">
        <w:t>74.</w:t>
      </w:r>
    </w:p>
  </w:footnote>
  <w:footnote w:id="27">
    <w:p w14:paraId="7C1DB096" w14:textId="0541CF0C" w:rsidR="003372F9" w:rsidRPr="002D3E0E" w:rsidRDefault="003372F9" w:rsidP="003372F9">
      <w:pPr>
        <w:pStyle w:val="FootnoteText"/>
        <w:rPr>
          <w:b/>
          <w:bCs/>
        </w:rPr>
      </w:pPr>
      <w:r w:rsidRPr="002D3E0E">
        <w:rPr>
          <w:rStyle w:val="FootnoteReference"/>
        </w:rPr>
        <w:footnoteRef/>
      </w:r>
      <w:r w:rsidR="00BC4014" w:rsidRPr="002D3E0E">
        <w:t xml:space="preserve"> John Reuben Davies (ed.),</w:t>
      </w:r>
      <w:r w:rsidRPr="002D3E0E">
        <w:t xml:space="preserve"> </w:t>
      </w:r>
      <w:proofErr w:type="spellStart"/>
      <w:r w:rsidRPr="002D3E0E">
        <w:rPr>
          <w:i/>
          <w:iCs/>
        </w:rPr>
        <w:t>Regiam</w:t>
      </w:r>
      <w:proofErr w:type="spellEnd"/>
      <w:r w:rsidRPr="002D3E0E">
        <w:rPr>
          <w:i/>
          <w:iCs/>
        </w:rPr>
        <w:t xml:space="preserve"> </w:t>
      </w:r>
      <w:proofErr w:type="spellStart"/>
      <w:r w:rsidRPr="002D3E0E">
        <w:rPr>
          <w:i/>
          <w:iCs/>
        </w:rPr>
        <w:t>maiestatem</w:t>
      </w:r>
      <w:proofErr w:type="spellEnd"/>
      <w:r w:rsidRPr="002D3E0E">
        <w:rPr>
          <w:i/>
          <w:iCs/>
        </w:rPr>
        <w:t>: the earliest known version</w:t>
      </w:r>
      <w:r w:rsidRPr="002D3E0E">
        <w:t xml:space="preserve"> (Edinburgh, 2022), 11</w:t>
      </w:r>
      <w:r w:rsidR="00BC4014" w:rsidRPr="002D3E0E">
        <w:t xml:space="preserve"> and</w:t>
      </w:r>
      <w:r w:rsidRPr="002D3E0E">
        <w:t xml:space="preserve"> 139. </w:t>
      </w:r>
    </w:p>
  </w:footnote>
  <w:footnote w:id="28">
    <w:p w14:paraId="292B7917" w14:textId="35C18148" w:rsidR="00632687" w:rsidRPr="002D3E0E" w:rsidRDefault="00632687">
      <w:pPr>
        <w:pStyle w:val="FootnoteText"/>
      </w:pPr>
      <w:r w:rsidRPr="002D3E0E">
        <w:rPr>
          <w:rStyle w:val="FootnoteReference"/>
        </w:rPr>
        <w:footnoteRef/>
      </w:r>
      <w:r w:rsidRPr="002D3E0E">
        <w:t xml:space="preserve"> Michael Enright argues that the ‘ordination</w:t>
      </w:r>
      <w:r w:rsidR="000B3081" w:rsidRPr="002D3E0E">
        <w:t xml:space="preserve">’ of </w:t>
      </w:r>
      <w:proofErr w:type="spellStart"/>
      <w:r w:rsidR="000B3081" w:rsidRPr="002D3E0E">
        <w:t>Áedán</w:t>
      </w:r>
      <w:proofErr w:type="spellEnd"/>
      <w:r w:rsidR="000B3081" w:rsidRPr="002D3E0E">
        <w:t xml:space="preserve"> mac Gabráin in the sixth century, described in </w:t>
      </w:r>
      <w:proofErr w:type="spellStart"/>
      <w:r w:rsidR="0045373C" w:rsidRPr="002D3E0E">
        <w:t>Adomnán’s</w:t>
      </w:r>
      <w:proofErr w:type="spellEnd"/>
      <w:r w:rsidR="0045373C" w:rsidRPr="002D3E0E">
        <w:t xml:space="preserve"> Vita Columbae implies an anointing occurred as part of this ritual. Yet, Enright notes that</w:t>
      </w:r>
      <w:r w:rsidR="00683EE8" w:rsidRPr="002D3E0E">
        <w:t xml:space="preserve"> </w:t>
      </w:r>
      <w:r w:rsidR="00D21367" w:rsidRPr="002D3E0E">
        <w:t>this ‘anointing’ was probably Adomnán’s invention rather than what took place (</w:t>
      </w:r>
      <w:r w:rsidR="003D1357" w:rsidRPr="002D3E0E">
        <w:t xml:space="preserve">Michael </w:t>
      </w:r>
      <w:r w:rsidR="00677730" w:rsidRPr="002D3E0E">
        <w:t xml:space="preserve">Enright, </w:t>
      </w:r>
      <w:r w:rsidR="003D1357" w:rsidRPr="002D3E0E">
        <w:rPr>
          <w:i/>
          <w:iCs/>
        </w:rPr>
        <w:t xml:space="preserve">Iona, Tara, and Soissons: The Origin of the Royal Anointing Ritual </w:t>
      </w:r>
      <w:r w:rsidR="003D1357" w:rsidRPr="002D3E0E">
        <w:t>(Berlin, 1985)</w:t>
      </w:r>
      <w:r w:rsidR="00677730" w:rsidRPr="002D3E0E">
        <w:t xml:space="preserve">, 5-78). </w:t>
      </w:r>
    </w:p>
  </w:footnote>
  <w:footnote w:id="29">
    <w:p w14:paraId="7D4DCD20" w14:textId="153BCE99" w:rsidR="0003752F" w:rsidRPr="002D3E0E" w:rsidRDefault="0003752F" w:rsidP="0003752F">
      <w:pPr>
        <w:pStyle w:val="FootnoteText"/>
      </w:pPr>
      <w:r w:rsidRPr="002D3E0E">
        <w:rPr>
          <w:rStyle w:val="FootnoteReference"/>
        </w:rPr>
        <w:footnoteRef/>
      </w:r>
      <w:r w:rsidRPr="002D3E0E">
        <w:t xml:space="preserve"> A.A.M. Duncan, </w:t>
      </w:r>
      <w:r w:rsidRPr="002D3E0E">
        <w:rPr>
          <w:i/>
          <w:iCs/>
        </w:rPr>
        <w:t xml:space="preserve">Kingship of the Scots, 842-1292 </w:t>
      </w:r>
      <w:r w:rsidRPr="002D3E0E">
        <w:t>(Edinburgh, 2002),</w:t>
      </w:r>
      <w:r w:rsidRPr="002D3E0E">
        <w:rPr>
          <w:i/>
          <w:iCs/>
        </w:rPr>
        <w:t xml:space="preserve"> </w:t>
      </w:r>
      <w:r w:rsidRPr="002D3E0E">
        <w:t>554</w:t>
      </w:r>
      <w:r w:rsidR="00E730FE" w:rsidRPr="002D3E0E">
        <w:t xml:space="preserve">; A. Taylor, ‘Historical writing in twelfth- and thirteenth-century Scotland: the Dunfermline compilation’, </w:t>
      </w:r>
      <w:r w:rsidR="00E730FE" w:rsidRPr="002D3E0E">
        <w:rPr>
          <w:i/>
          <w:iCs/>
        </w:rPr>
        <w:t>Historical Research</w:t>
      </w:r>
      <w:r w:rsidR="00E17A86" w:rsidRPr="002D3E0E">
        <w:rPr>
          <w:i/>
          <w:iCs/>
        </w:rPr>
        <w:t xml:space="preserve"> </w:t>
      </w:r>
      <w:r w:rsidR="00E17A86" w:rsidRPr="002D3E0E">
        <w:t>83 (2010)</w:t>
      </w:r>
      <w:r w:rsidR="00E730FE" w:rsidRPr="002D3E0E">
        <w:t>, 21</w:t>
      </w:r>
      <w:r w:rsidR="00E17A86" w:rsidRPr="002D3E0E">
        <w:t>; Ditchburn, ‘Queen Margaret and Dunfermline’, 265.</w:t>
      </w:r>
      <w:r w:rsidR="00E730FE" w:rsidRPr="002D3E0E">
        <w:t xml:space="preserve"> </w:t>
      </w:r>
    </w:p>
  </w:footnote>
  <w:footnote w:id="30">
    <w:p w14:paraId="7E38D569" w14:textId="7D5C64DD" w:rsidR="00E07B82" w:rsidRPr="002D3E0E" w:rsidRDefault="00E07B82">
      <w:pPr>
        <w:pStyle w:val="FootnoteText"/>
      </w:pPr>
      <w:r w:rsidRPr="002D3E0E">
        <w:rPr>
          <w:rStyle w:val="FootnoteReference"/>
        </w:rPr>
        <w:footnoteRef/>
      </w:r>
      <w:r w:rsidRPr="002D3E0E">
        <w:t xml:space="preserve"> </w:t>
      </w:r>
      <w:proofErr w:type="spellStart"/>
      <w:r w:rsidRPr="002D3E0E">
        <w:t>Dauvit</w:t>
      </w:r>
      <w:proofErr w:type="spellEnd"/>
      <w:r w:rsidRPr="002D3E0E">
        <w:t xml:space="preserve"> Broun, </w:t>
      </w:r>
      <w:r w:rsidRPr="002D3E0E">
        <w:rPr>
          <w:i/>
          <w:iCs/>
        </w:rPr>
        <w:t xml:space="preserve">Scottish Independence and the Idea of Britain: From Picts to Alexander III </w:t>
      </w:r>
      <w:r w:rsidRPr="002D3E0E">
        <w:t xml:space="preserve">(Edinburgh, 2007), 1. This Norwegian context may have been particularly relevant to the Bruce kings, since Robert I’s sister, </w:t>
      </w:r>
      <w:r w:rsidR="00E7770F" w:rsidRPr="002D3E0E">
        <w:t xml:space="preserve">Isabella, was queen of Norway between 1293 and 1299. </w:t>
      </w:r>
    </w:p>
  </w:footnote>
  <w:footnote w:id="31">
    <w:p w14:paraId="2CC3359F" w14:textId="41EBAA55" w:rsidR="0003752F" w:rsidRPr="002D3E0E" w:rsidRDefault="0003752F" w:rsidP="0003752F">
      <w:pPr>
        <w:pStyle w:val="FootnoteText"/>
      </w:pPr>
      <w:r w:rsidRPr="002D3E0E">
        <w:rPr>
          <w:rStyle w:val="FootnoteReference"/>
        </w:rPr>
        <w:footnoteRef/>
      </w:r>
      <w:r w:rsidRPr="002D3E0E">
        <w:t xml:space="preserve"> David Carpenter, </w:t>
      </w:r>
      <w:r w:rsidRPr="002D3E0E">
        <w:rPr>
          <w:i/>
          <w:iCs/>
        </w:rPr>
        <w:t>The Struggle for Mastery, Britain 1066-1284</w:t>
      </w:r>
      <w:r w:rsidRPr="002D3E0E">
        <w:t xml:space="preserve"> (London, 2004), 121; Neil McGuigan, </w:t>
      </w:r>
      <w:r w:rsidRPr="002D3E0E">
        <w:rPr>
          <w:i/>
          <w:iCs/>
        </w:rPr>
        <w:t xml:space="preserve">Máel Coluim III Canmore: An Eleventh Century Scottish King </w:t>
      </w:r>
      <w:r w:rsidRPr="002D3E0E">
        <w:t>(Edinburgh, 2021), 424.</w:t>
      </w:r>
    </w:p>
  </w:footnote>
  <w:footnote w:id="32">
    <w:p w14:paraId="57ECDC04" w14:textId="06E52499" w:rsidR="0003752F" w:rsidRPr="002D3E0E" w:rsidRDefault="0003752F" w:rsidP="0003752F">
      <w:pPr>
        <w:pStyle w:val="FootnoteText"/>
        <w:rPr>
          <w:color w:val="FF0000"/>
          <w:lang w:val="es-ES"/>
        </w:rPr>
      </w:pPr>
      <w:r w:rsidRPr="002D3E0E">
        <w:rPr>
          <w:rStyle w:val="FootnoteReference"/>
        </w:rPr>
        <w:footnoteRef/>
      </w:r>
      <w:r w:rsidRPr="002D3E0E">
        <w:rPr>
          <w:lang w:val="es-ES"/>
        </w:rPr>
        <w:t xml:space="preserve"> </w:t>
      </w:r>
      <w:proofErr w:type="spellStart"/>
      <w:r w:rsidRPr="002D3E0E">
        <w:rPr>
          <w:lang w:val="es-ES"/>
        </w:rPr>
        <w:t>McGuigan</w:t>
      </w:r>
      <w:proofErr w:type="spellEnd"/>
      <w:r w:rsidRPr="002D3E0E">
        <w:rPr>
          <w:lang w:val="es-ES"/>
        </w:rPr>
        <w:t xml:space="preserve">, </w:t>
      </w:r>
      <w:proofErr w:type="spellStart"/>
      <w:r w:rsidRPr="002D3E0E">
        <w:rPr>
          <w:i/>
          <w:iCs/>
          <w:lang w:val="es-ES"/>
        </w:rPr>
        <w:t>Máel</w:t>
      </w:r>
      <w:proofErr w:type="spellEnd"/>
      <w:r w:rsidRPr="002D3E0E">
        <w:rPr>
          <w:i/>
          <w:iCs/>
          <w:lang w:val="es-ES"/>
        </w:rPr>
        <w:t xml:space="preserve"> </w:t>
      </w:r>
      <w:proofErr w:type="spellStart"/>
      <w:r w:rsidRPr="002D3E0E">
        <w:rPr>
          <w:i/>
          <w:iCs/>
          <w:lang w:val="es-ES"/>
        </w:rPr>
        <w:t>Coluim</w:t>
      </w:r>
      <w:proofErr w:type="spellEnd"/>
      <w:r w:rsidRPr="002D3E0E">
        <w:rPr>
          <w:i/>
          <w:iCs/>
          <w:lang w:val="es-ES"/>
        </w:rPr>
        <w:t xml:space="preserve"> III </w:t>
      </w:r>
      <w:proofErr w:type="spellStart"/>
      <w:r w:rsidRPr="002D3E0E">
        <w:rPr>
          <w:i/>
          <w:iCs/>
          <w:lang w:val="es-ES"/>
        </w:rPr>
        <w:t>Canmore</w:t>
      </w:r>
      <w:proofErr w:type="spellEnd"/>
      <w:r w:rsidRPr="002D3E0E">
        <w:rPr>
          <w:lang w:val="es-ES"/>
        </w:rPr>
        <w:t xml:space="preserve">, 424.  </w:t>
      </w:r>
    </w:p>
  </w:footnote>
  <w:footnote w:id="33">
    <w:p w14:paraId="34C17BB1" w14:textId="43E41FDD" w:rsidR="0003752F" w:rsidRPr="002D3E0E" w:rsidRDefault="0003752F" w:rsidP="0003752F">
      <w:pPr>
        <w:pStyle w:val="FootnoteText"/>
      </w:pPr>
      <w:r w:rsidRPr="002D3E0E">
        <w:rPr>
          <w:rStyle w:val="FootnoteReference"/>
        </w:rPr>
        <w:footnoteRef/>
      </w:r>
      <w:r w:rsidRPr="002D3E0E">
        <w:t xml:space="preserve"> Carpenter, </w:t>
      </w:r>
      <w:r w:rsidRPr="002D3E0E">
        <w:rPr>
          <w:i/>
          <w:iCs/>
        </w:rPr>
        <w:t xml:space="preserve">Struggle for Mastery, </w:t>
      </w:r>
      <w:r w:rsidRPr="002D3E0E">
        <w:t xml:space="preserve">226.  </w:t>
      </w:r>
    </w:p>
  </w:footnote>
  <w:footnote w:id="34">
    <w:p w14:paraId="672256A1" w14:textId="464F9FF8" w:rsidR="00735770" w:rsidRPr="002D3E0E" w:rsidRDefault="00735770" w:rsidP="00735770">
      <w:pPr>
        <w:pStyle w:val="FootnoteText"/>
        <w:rPr>
          <w:color w:val="FF0000"/>
        </w:rPr>
      </w:pPr>
      <w:r w:rsidRPr="002D3E0E">
        <w:rPr>
          <w:rStyle w:val="FootnoteReference"/>
        </w:rPr>
        <w:footnoteRef/>
      </w:r>
      <w:r w:rsidRPr="002D3E0E">
        <w:t xml:space="preserve"> Duncan, </w:t>
      </w:r>
      <w:r w:rsidRPr="002D3E0E">
        <w:rPr>
          <w:i/>
          <w:iCs/>
        </w:rPr>
        <w:t>Kingship of the Scots</w:t>
      </w:r>
      <w:r w:rsidRPr="002D3E0E">
        <w:t>, 554.</w:t>
      </w:r>
    </w:p>
  </w:footnote>
  <w:footnote w:id="35">
    <w:p w14:paraId="2B623F26" w14:textId="53B9DCC4" w:rsidR="00735770" w:rsidRPr="002D3E0E" w:rsidRDefault="00735770" w:rsidP="00735770">
      <w:pPr>
        <w:pStyle w:val="FootnoteText"/>
      </w:pPr>
      <w:r w:rsidRPr="002D3E0E">
        <w:rPr>
          <w:rStyle w:val="FootnoteReference"/>
        </w:rPr>
        <w:footnoteRef/>
      </w:r>
      <w:r w:rsidRPr="002D3E0E">
        <w:t xml:space="preserve"> </w:t>
      </w:r>
      <w:r w:rsidR="00676412" w:rsidRPr="002D3E0E">
        <w:t xml:space="preserve">Broun, </w:t>
      </w:r>
      <w:r w:rsidR="00676412" w:rsidRPr="002D3E0E">
        <w:rPr>
          <w:i/>
          <w:iCs/>
        </w:rPr>
        <w:t>Scottish Independence</w:t>
      </w:r>
      <w:r w:rsidR="00676412" w:rsidRPr="002D3E0E">
        <w:t xml:space="preserve">, </w:t>
      </w:r>
      <w:r w:rsidRPr="002D3E0E">
        <w:t>187, n.</w:t>
      </w:r>
      <w:r w:rsidR="00BC4014" w:rsidRPr="002D3E0E">
        <w:t xml:space="preserve"> </w:t>
      </w:r>
      <w:r w:rsidRPr="002D3E0E">
        <w:t>7; E.</w:t>
      </w:r>
      <w:r w:rsidR="00BC4014" w:rsidRPr="002D3E0E">
        <w:t xml:space="preserve"> </w:t>
      </w:r>
      <w:r w:rsidRPr="002D3E0E">
        <w:t>L.</w:t>
      </w:r>
      <w:r w:rsidR="00BC4014" w:rsidRPr="002D3E0E">
        <w:t xml:space="preserve"> </w:t>
      </w:r>
      <w:r w:rsidRPr="002D3E0E">
        <w:t xml:space="preserve">G. Stones, </w:t>
      </w:r>
      <w:r w:rsidRPr="002D3E0E">
        <w:rPr>
          <w:i/>
          <w:iCs/>
        </w:rPr>
        <w:t xml:space="preserve">Anglo-Scottish Relations, 1174-1328 </w:t>
      </w:r>
      <w:r w:rsidRPr="002D3E0E">
        <w:t>(Oxford, 1970), 58-9.</w:t>
      </w:r>
    </w:p>
  </w:footnote>
  <w:footnote w:id="36">
    <w:p w14:paraId="731D5FE1" w14:textId="5D732810" w:rsidR="00735770" w:rsidRPr="002D3E0E" w:rsidRDefault="00735770" w:rsidP="00735770">
      <w:pPr>
        <w:pStyle w:val="FootnoteText"/>
        <w:rPr>
          <w:b/>
          <w:bCs/>
        </w:rPr>
      </w:pPr>
      <w:r w:rsidRPr="002D3E0E">
        <w:rPr>
          <w:rStyle w:val="FootnoteReference"/>
        </w:rPr>
        <w:footnoteRef/>
      </w:r>
      <w:r w:rsidRPr="002D3E0E">
        <w:t xml:space="preserve"> Scott Dempsey, ‘When did John Balliol become king of Scots?’, unpublished paper delivered at the Institute of Historical Research ‘Late Medieval Seminar’ (Institute of Historical Research, 12 November 2011).</w:t>
      </w:r>
    </w:p>
  </w:footnote>
  <w:footnote w:id="37">
    <w:p w14:paraId="7FDBC597" w14:textId="513C8317" w:rsidR="00122CB2" w:rsidRPr="002D3E0E" w:rsidRDefault="009E75A7" w:rsidP="009E75A7">
      <w:pPr>
        <w:pStyle w:val="FootnoteText"/>
      </w:pPr>
      <w:r w:rsidRPr="002D3E0E">
        <w:rPr>
          <w:rStyle w:val="FootnoteReference"/>
        </w:rPr>
        <w:footnoteRef/>
      </w:r>
      <w:r w:rsidRPr="002D3E0E">
        <w:t xml:space="preserve"> Victor Turner, </w:t>
      </w:r>
      <w:r w:rsidRPr="002D3E0E">
        <w:rPr>
          <w:i/>
          <w:iCs/>
        </w:rPr>
        <w:t xml:space="preserve">Forest of Symbols </w:t>
      </w:r>
      <w:r w:rsidRPr="002D3E0E">
        <w:t>(Ithaca, 1970), 95</w:t>
      </w:r>
      <w:r w:rsidR="00122CB2" w:rsidRPr="002D3E0E">
        <w:t xml:space="preserve">; Bruce Kapferer, ‘Ritual dynamics and virtual practice: Beyond representation and meaning’, in D. Handelman and G. Lindquist (eds), </w:t>
      </w:r>
      <w:proofErr w:type="gramStart"/>
      <w:r w:rsidR="00122CB2" w:rsidRPr="002D3E0E">
        <w:rPr>
          <w:i/>
          <w:iCs/>
        </w:rPr>
        <w:t>Ritual in its own Right</w:t>
      </w:r>
      <w:proofErr w:type="gramEnd"/>
      <w:r w:rsidR="00122CB2" w:rsidRPr="002D3E0E">
        <w:rPr>
          <w:i/>
          <w:iCs/>
        </w:rPr>
        <w:t xml:space="preserve"> </w:t>
      </w:r>
      <w:r w:rsidR="00122CB2" w:rsidRPr="002D3E0E">
        <w:t>(Oxford, 2004), 35-54, at 40.</w:t>
      </w:r>
    </w:p>
  </w:footnote>
  <w:footnote w:id="38">
    <w:p w14:paraId="2EC12611" w14:textId="597648C4" w:rsidR="009E7EC2" w:rsidRPr="002D3E0E" w:rsidRDefault="009E7EC2" w:rsidP="009E7EC2">
      <w:pPr>
        <w:pStyle w:val="FootnoteText"/>
      </w:pPr>
      <w:r w:rsidRPr="002D3E0E">
        <w:rPr>
          <w:rStyle w:val="FootnoteReference"/>
        </w:rPr>
        <w:footnoteRef/>
      </w:r>
      <w:r w:rsidRPr="002D3E0E">
        <w:t xml:space="preserve"> Turner, </w:t>
      </w:r>
      <w:r w:rsidRPr="002D3E0E">
        <w:rPr>
          <w:i/>
          <w:iCs/>
        </w:rPr>
        <w:t xml:space="preserve">Forest of Symbols, </w:t>
      </w:r>
      <w:r w:rsidRPr="002D3E0E">
        <w:t>95</w:t>
      </w:r>
      <w:r w:rsidR="00BC4014" w:rsidRPr="002D3E0E">
        <w:t>.</w:t>
      </w:r>
    </w:p>
  </w:footnote>
  <w:footnote w:id="39">
    <w:p w14:paraId="1FFD10BE" w14:textId="70230AB5" w:rsidR="00C94A4E" w:rsidRPr="002D3E0E" w:rsidRDefault="00C94A4E" w:rsidP="00C94A4E">
      <w:pPr>
        <w:pStyle w:val="FootnoteText"/>
      </w:pPr>
      <w:r w:rsidRPr="002D3E0E">
        <w:rPr>
          <w:rStyle w:val="FootnoteReference"/>
        </w:rPr>
        <w:footnoteRef/>
      </w:r>
      <w:r w:rsidRPr="002D3E0E">
        <w:t xml:space="preserve"> Catherine Bell, </w:t>
      </w:r>
      <w:r w:rsidRPr="002D3E0E">
        <w:rPr>
          <w:i/>
          <w:iCs/>
        </w:rPr>
        <w:t xml:space="preserve">Ritual perspectives and dimensions </w:t>
      </w:r>
      <w:r w:rsidRPr="002D3E0E">
        <w:t xml:space="preserve">(Oxford, 1997), 21-3; Victor Turner, </w:t>
      </w:r>
      <w:r w:rsidRPr="002D3E0E">
        <w:rPr>
          <w:i/>
          <w:iCs/>
        </w:rPr>
        <w:t xml:space="preserve">Drama, fields, and metaphors: symbolic action in human society </w:t>
      </w:r>
      <w:r w:rsidRPr="002D3E0E">
        <w:t>(Ithaca, 1974), 35-6.</w:t>
      </w:r>
    </w:p>
  </w:footnote>
  <w:footnote w:id="40">
    <w:p w14:paraId="4A781BF8" w14:textId="183BE729" w:rsidR="00C94A4E" w:rsidRPr="002D3E0E" w:rsidRDefault="00C94A4E" w:rsidP="00C94A4E">
      <w:pPr>
        <w:pStyle w:val="FootnoteText"/>
      </w:pPr>
      <w:r w:rsidRPr="002D3E0E">
        <w:rPr>
          <w:rStyle w:val="FootnoteReference"/>
        </w:rPr>
        <w:footnoteRef/>
      </w:r>
      <w:r w:rsidRPr="002D3E0E">
        <w:t xml:space="preserve"> Victor Turner, </w:t>
      </w:r>
      <w:r w:rsidRPr="002D3E0E">
        <w:rPr>
          <w:i/>
          <w:iCs/>
        </w:rPr>
        <w:t xml:space="preserve">The Ritual Process: Structure and Anti-Structure </w:t>
      </w:r>
      <w:r w:rsidRPr="002D3E0E">
        <w:t xml:space="preserve">(New York, 1995), 94-5. </w:t>
      </w:r>
    </w:p>
  </w:footnote>
  <w:footnote w:id="41">
    <w:p w14:paraId="7CD5D5DA" w14:textId="77777777" w:rsidR="00C94A4E" w:rsidRPr="002D3E0E" w:rsidRDefault="00C94A4E" w:rsidP="00C94A4E">
      <w:pPr>
        <w:pStyle w:val="FootnoteText"/>
      </w:pPr>
      <w:r w:rsidRPr="002D3E0E">
        <w:rPr>
          <w:rStyle w:val="FootnoteReference"/>
        </w:rPr>
        <w:footnoteRef/>
      </w:r>
      <w:r w:rsidRPr="002D3E0E">
        <w:t xml:space="preserve"> 1 Samuel 10:6. </w:t>
      </w:r>
    </w:p>
  </w:footnote>
  <w:footnote w:id="42">
    <w:p w14:paraId="327A0774" w14:textId="4871007F" w:rsidR="00C94A4E" w:rsidRPr="002D3E0E" w:rsidRDefault="00C94A4E" w:rsidP="00C94A4E">
      <w:pPr>
        <w:pStyle w:val="FootnoteText"/>
      </w:pPr>
      <w:r w:rsidRPr="002D3E0E">
        <w:rPr>
          <w:rStyle w:val="FootnoteReference"/>
        </w:rPr>
        <w:footnoteRef/>
      </w:r>
      <w:r w:rsidRPr="002D3E0E">
        <w:t xml:space="preserve"> </w:t>
      </w:r>
      <w:r w:rsidR="00254720" w:rsidRPr="002D3E0E">
        <w:t>‘</w:t>
      </w:r>
      <w:proofErr w:type="gramStart"/>
      <w:r w:rsidR="00254720" w:rsidRPr="002D3E0E">
        <w:t>king</w:t>
      </w:r>
      <w:proofErr w:type="gramEnd"/>
      <w:r w:rsidR="00254720" w:rsidRPr="002D3E0E">
        <w:t xml:space="preserve"> soon to be’ (</w:t>
      </w:r>
      <w:r w:rsidRPr="002D3E0E">
        <w:t xml:space="preserve">Broun, </w:t>
      </w:r>
      <w:r w:rsidRPr="002D3E0E">
        <w:rPr>
          <w:i/>
          <w:iCs/>
        </w:rPr>
        <w:t>Scottish Independence</w:t>
      </w:r>
      <w:r w:rsidRPr="002D3E0E">
        <w:t>, 174</w:t>
      </w:r>
      <w:r w:rsidR="00254720" w:rsidRPr="002D3E0E">
        <w:t>)</w:t>
      </w:r>
      <w:r w:rsidRPr="002D3E0E">
        <w:t>.</w:t>
      </w:r>
    </w:p>
  </w:footnote>
  <w:footnote w:id="43">
    <w:p w14:paraId="7BAAAD3D" w14:textId="64EA77DE" w:rsidR="004F4E05" w:rsidRPr="002D3E0E" w:rsidRDefault="004F4E05">
      <w:pPr>
        <w:pStyle w:val="FootnoteText"/>
      </w:pPr>
      <w:r w:rsidRPr="002D3E0E">
        <w:rPr>
          <w:rStyle w:val="FootnoteReference"/>
        </w:rPr>
        <w:footnoteRef/>
      </w:r>
      <w:r w:rsidRPr="002D3E0E">
        <w:t xml:space="preserve"> </w:t>
      </w:r>
      <w:r w:rsidR="000A65CE" w:rsidRPr="002D3E0E">
        <w:t xml:space="preserve">London, </w:t>
      </w:r>
      <w:r w:rsidRPr="002D3E0E">
        <w:t>The National Archives</w:t>
      </w:r>
      <w:r w:rsidR="000A65CE" w:rsidRPr="002D3E0E">
        <w:t>,</w:t>
      </w:r>
      <w:r w:rsidRPr="002D3E0E">
        <w:t xml:space="preserve"> </w:t>
      </w:r>
      <w:r w:rsidR="00FB098E" w:rsidRPr="002D3E0E">
        <w:t xml:space="preserve">C 66/92. </w:t>
      </w:r>
    </w:p>
  </w:footnote>
  <w:footnote w:id="44">
    <w:p w14:paraId="3058BDD1" w14:textId="62DEDAE1" w:rsidR="00DC6FC5" w:rsidRPr="002D3E0E" w:rsidRDefault="00DC6FC5">
      <w:pPr>
        <w:pStyle w:val="FootnoteText"/>
      </w:pPr>
      <w:r w:rsidRPr="002D3E0E">
        <w:rPr>
          <w:rStyle w:val="FootnoteReference"/>
        </w:rPr>
        <w:footnoteRef/>
      </w:r>
      <w:r w:rsidRPr="002D3E0E">
        <w:t xml:space="preserve"> </w:t>
      </w:r>
      <w:r w:rsidR="00533561" w:rsidRPr="002D3E0E">
        <w:t xml:space="preserve">Dempsey, ‘When did John Balliol become king of Scots?’. </w:t>
      </w:r>
    </w:p>
  </w:footnote>
  <w:footnote w:id="45">
    <w:p w14:paraId="52763FDD" w14:textId="0F8ED594" w:rsidR="00ED5978" w:rsidRPr="002D3E0E" w:rsidRDefault="00ED5978">
      <w:pPr>
        <w:pStyle w:val="FootnoteText"/>
      </w:pPr>
      <w:r w:rsidRPr="002D3E0E">
        <w:rPr>
          <w:rStyle w:val="FootnoteReference"/>
        </w:rPr>
        <w:footnoteRef/>
      </w:r>
      <w:r w:rsidRPr="002D3E0E">
        <w:t xml:space="preserve"> Yuki Nakagawa, ‘The Regnal Year of Edward Balliol, King of Scots (1332-56)’, </w:t>
      </w:r>
      <w:r w:rsidRPr="002D3E0E">
        <w:rPr>
          <w:i/>
          <w:iCs/>
        </w:rPr>
        <w:t>Scottish Historical Review</w:t>
      </w:r>
      <w:r w:rsidRPr="002D3E0E">
        <w:t xml:space="preserve"> 104 (2025), 118-128.</w:t>
      </w:r>
    </w:p>
  </w:footnote>
  <w:footnote w:id="46">
    <w:p w14:paraId="6976E655" w14:textId="20623FD2" w:rsidR="00282C6F" w:rsidRPr="002D3E0E" w:rsidRDefault="00282C6F">
      <w:pPr>
        <w:pStyle w:val="FootnoteText"/>
      </w:pPr>
      <w:r w:rsidRPr="002D3E0E">
        <w:rPr>
          <w:rStyle w:val="FootnoteReference"/>
        </w:rPr>
        <w:footnoteRef/>
      </w:r>
      <w:r w:rsidRPr="002D3E0E">
        <w:t xml:space="preserve"> John Barbour, </w:t>
      </w:r>
      <w:r w:rsidRPr="002D3E0E">
        <w:rPr>
          <w:i/>
          <w:iCs/>
        </w:rPr>
        <w:t>The Bruce</w:t>
      </w:r>
      <w:r w:rsidRPr="002D3E0E">
        <w:t xml:space="preserve">, </w:t>
      </w:r>
      <w:r w:rsidR="005D2070" w:rsidRPr="002D3E0E">
        <w:t>A.A.M. Duncan</w:t>
      </w:r>
      <w:r w:rsidR="00BC4014" w:rsidRPr="002D3E0E">
        <w:t xml:space="preserve"> (ed.),</w:t>
      </w:r>
      <w:r w:rsidR="005D2070" w:rsidRPr="002D3E0E">
        <w:t xml:space="preserve"> (Edinburgh, 2007), </w:t>
      </w:r>
      <w:r w:rsidR="00D52BCD" w:rsidRPr="002D3E0E">
        <w:t xml:space="preserve">748-9. </w:t>
      </w:r>
    </w:p>
  </w:footnote>
  <w:footnote w:id="47">
    <w:p w14:paraId="7BE1B879" w14:textId="6424686A" w:rsidR="009C46A2" w:rsidRPr="002D3E0E" w:rsidRDefault="009C46A2" w:rsidP="009C46A2">
      <w:pPr>
        <w:pStyle w:val="FootnoteText"/>
      </w:pPr>
      <w:r w:rsidRPr="002D3E0E">
        <w:rPr>
          <w:rStyle w:val="FootnoteReference"/>
        </w:rPr>
        <w:footnoteRef/>
      </w:r>
      <w:r w:rsidRPr="002D3E0E">
        <w:t xml:space="preserve"> Buc, </w:t>
      </w:r>
      <w:r w:rsidRPr="002D3E0E">
        <w:rPr>
          <w:i/>
          <w:iCs/>
        </w:rPr>
        <w:t>Dangers of Ritual</w:t>
      </w:r>
      <w:r w:rsidRPr="002D3E0E">
        <w:t xml:space="preserve">; </w:t>
      </w:r>
      <w:r w:rsidR="006273E1" w:rsidRPr="002D3E0E">
        <w:t xml:space="preserve">P. </w:t>
      </w:r>
      <w:r w:rsidRPr="002D3E0E">
        <w:t xml:space="preserve">Buc, ‘The monster and the critics: a ritual reply’, </w:t>
      </w:r>
      <w:r w:rsidRPr="002D3E0E">
        <w:rPr>
          <w:i/>
          <w:iCs/>
        </w:rPr>
        <w:t xml:space="preserve">Early Medieval Europe </w:t>
      </w:r>
      <w:r w:rsidRPr="002D3E0E">
        <w:t xml:space="preserve">15 (2007), 441-52; G. Koziol, ‘The Dangers of Polemic: is ritual still an interesting topic of historical study?’, </w:t>
      </w:r>
      <w:r w:rsidRPr="002D3E0E">
        <w:rPr>
          <w:i/>
          <w:iCs/>
        </w:rPr>
        <w:t xml:space="preserve">Early Medieval Europe </w:t>
      </w:r>
      <w:r w:rsidRPr="002D3E0E">
        <w:t xml:space="preserve">11 (2002), 367-88; Lars Kjær, ‘Food, drink and ritualised communication in the household of Eleanor de Montfort, February to August 1265, </w:t>
      </w:r>
      <w:r w:rsidRPr="002D3E0E">
        <w:rPr>
          <w:i/>
          <w:iCs/>
        </w:rPr>
        <w:t xml:space="preserve">Journal of Medieval History </w:t>
      </w:r>
      <w:r w:rsidRPr="002D3E0E">
        <w:t xml:space="preserve">37 (2011), 75-89; Janet L. Nelson, </w:t>
      </w:r>
      <w:r w:rsidRPr="002D3E0E">
        <w:rPr>
          <w:i/>
          <w:iCs/>
        </w:rPr>
        <w:t xml:space="preserve">Politics and Ritual in Medieval Europe </w:t>
      </w:r>
      <w:r w:rsidRPr="002D3E0E">
        <w:t>(London, 1986).</w:t>
      </w:r>
    </w:p>
  </w:footnote>
  <w:footnote w:id="48">
    <w:p w14:paraId="66DC2EA3" w14:textId="60FFAE56" w:rsidR="009C46A2" w:rsidRPr="002D3E0E" w:rsidRDefault="009C46A2" w:rsidP="009C46A2">
      <w:pPr>
        <w:pStyle w:val="FootnoteText"/>
      </w:pPr>
      <w:r w:rsidRPr="002D3E0E">
        <w:rPr>
          <w:rStyle w:val="FootnoteReference"/>
        </w:rPr>
        <w:footnoteRef/>
      </w:r>
      <w:r w:rsidRPr="002D3E0E">
        <w:t xml:space="preserve"> Bell, </w:t>
      </w:r>
      <w:r w:rsidRPr="002D3E0E">
        <w:rPr>
          <w:i/>
          <w:iCs/>
        </w:rPr>
        <w:t>Ritual</w:t>
      </w:r>
      <w:r w:rsidRPr="002D3E0E">
        <w:t>, 21.</w:t>
      </w:r>
    </w:p>
  </w:footnote>
  <w:footnote w:id="49">
    <w:p w14:paraId="27F618C8" w14:textId="4FDF4A40" w:rsidR="009C46A2" w:rsidRPr="002D3E0E" w:rsidRDefault="009C46A2" w:rsidP="009C46A2">
      <w:pPr>
        <w:pStyle w:val="FootnoteText"/>
      </w:pPr>
      <w:r w:rsidRPr="002D3E0E">
        <w:rPr>
          <w:rStyle w:val="FootnoteReference"/>
        </w:rPr>
        <w:footnoteRef/>
      </w:r>
      <w:r w:rsidRPr="002D3E0E">
        <w:t xml:space="preserve"> Clifford Geertz, ‘Thick Description: Toward an Interpretive Theory of Culture’, in </w:t>
      </w:r>
      <w:r w:rsidRPr="002D3E0E">
        <w:rPr>
          <w:i/>
          <w:iCs/>
        </w:rPr>
        <w:t xml:space="preserve">The Interpretation of Cultures: Selected Essays </w:t>
      </w:r>
      <w:r w:rsidRPr="002D3E0E">
        <w:t>(New York, 1973), 310-323</w:t>
      </w:r>
      <w:r w:rsidR="00366D2A" w:rsidRPr="002D3E0E">
        <w:t>,</w:t>
      </w:r>
      <w:r w:rsidRPr="002D3E0E">
        <w:t xml:space="preserve"> </w:t>
      </w:r>
      <w:r w:rsidR="00366D2A" w:rsidRPr="002D3E0E">
        <w:t>at</w:t>
      </w:r>
      <w:r w:rsidR="0029336C" w:rsidRPr="002D3E0E">
        <w:t xml:space="preserve"> </w:t>
      </w:r>
      <w:r w:rsidRPr="002D3E0E">
        <w:t>319.</w:t>
      </w:r>
    </w:p>
  </w:footnote>
  <w:footnote w:id="50">
    <w:p w14:paraId="2721724C" w14:textId="7E088AB7" w:rsidR="009C46A2" w:rsidRPr="002D3E0E" w:rsidRDefault="009C46A2" w:rsidP="009C46A2">
      <w:pPr>
        <w:pStyle w:val="FootnoteText"/>
      </w:pPr>
      <w:r w:rsidRPr="002D3E0E">
        <w:rPr>
          <w:rStyle w:val="FootnoteReference"/>
        </w:rPr>
        <w:footnoteRef/>
      </w:r>
      <w:r w:rsidRPr="002D3E0E">
        <w:t xml:space="preserve"> Geertz, ‘Thick Description’, 314.</w:t>
      </w:r>
    </w:p>
  </w:footnote>
  <w:footnote w:id="51">
    <w:p w14:paraId="492A8595" w14:textId="0FB37EE1" w:rsidR="009C46A2" w:rsidRPr="002D3E0E" w:rsidRDefault="009C46A2" w:rsidP="009C46A2">
      <w:pPr>
        <w:pStyle w:val="FootnoteText"/>
        <w:rPr>
          <w:color w:val="FF0000"/>
        </w:rPr>
      </w:pPr>
      <w:r w:rsidRPr="002D3E0E">
        <w:rPr>
          <w:rStyle w:val="FootnoteReference"/>
        </w:rPr>
        <w:footnoteRef/>
      </w:r>
      <w:r w:rsidRPr="002D3E0E">
        <w:t xml:space="preserve"> Buc, </w:t>
      </w:r>
      <w:r w:rsidRPr="002D3E0E">
        <w:rPr>
          <w:i/>
          <w:iCs/>
        </w:rPr>
        <w:t>Dangers of Ritual</w:t>
      </w:r>
      <w:r w:rsidRPr="002D3E0E">
        <w:t>, 79.</w:t>
      </w:r>
    </w:p>
  </w:footnote>
  <w:footnote w:id="52">
    <w:p w14:paraId="7F5372E7" w14:textId="60B90759" w:rsidR="009C46A2" w:rsidRPr="002D3E0E" w:rsidRDefault="009C46A2" w:rsidP="009C46A2">
      <w:pPr>
        <w:pStyle w:val="FootnoteText"/>
      </w:pPr>
      <w:r w:rsidRPr="002D3E0E">
        <w:rPr>
          <w:rStyle w:val="FootnoteReference"/>
        </w:rPr>
        <w:footnoteRef/>
      </w:r>
      <w:r w:rsidRPr="002D3E0E">
        <w:t xml:space="preserve"> Janet Nelson, ‘Review: </w:t>
      </w:r>
      <w:r w:rsidRPr="002D3E0E">
        <w:rPr>
          <w:i/>
          <w:iCs/>
        </w:rPr>
        <w:t>The Dangers of Ritual: Between Early Medieval Text and Social Scientific Theory</w:t>
      </w:r>
      <w:r w:rsidRPr="002D3E0E">
        <w:t xml:space="preserve">’, </w:t>
      </w:r>
      <w:r w:rsidRPr="002D3E0E">
        <w:rPr>
          <w:i/>
          <w:iCs/>
        </w:rPr>
        <w:t>Speculum</w:t>
      </w:r>
      <w:r w:rsidRPr="002D3E0E">
        <w:t xml:space="preserve"> 78 (2003), 847-851</w:t>
      </w:r>
      <w:r w:rsidR="00366D2A" w:rsidRPr="002D3E0E">
        <w:t>,</w:t>
      </w:r>
      <w:r w:rsidRPr="002D3E0E">
        <w:t xml:space="preserve"> </w:t>
      </w:r>
      <w:r w:rsidR="00366D2A" w:rsidRPr="002D3E0E">
        <w:t>at</w:t>
      </w:r>
      <w:r w:rsidR="0029336C" w:rsidRPr="002D3E0E">
        <w:t xml:space="preserve"> </w:t>
      </w:r>
      <w:r w:rsidRPr="002D3E0E">
        <w:t>849.</w:t>
      </w:r>
    </w:p>
  </w:footnote>
  <w:footnote w:id="53">
    <w:p w14:paraId="3F6BF696" w14:textId="1E6A454D" w:rsidR="009C46A2" w:rsidRPr="002D3E0E" w:rsidRDefault="009C46A2" w:rsidP="009C46A2">
      <w:pPr>
        <w:pStyle w:val="FootnoteText"/>
      </w:pPr>
      <w:r w:rsidRPr="002D3E0E">
        <w:rPr>
          <w:rStyle w:val="FootnoteReference"/>
        </w:rPr>
        <w:footnoteRef/>
      </w:r>
      <w:r w:rsidRPr="002D3E0E">
        <w:t xml:space="preserve"> Buc, </w:t>
      </w:r>
      <w:r w:rsidRPr="002D3E0E">
        <w:rPr>
          <w:i/>
          <w:iCs/>
        </w:rPr>
        <w:t>Dangers of Ritual</w:t>
      </w:r>
      <w:r w:rsidRPr="002D3E0E">
        <w:t xml:space="preserve">, 242. </w:t>
      </w:r>
      <w:r w:rsidR="007014A1" w:rsidRPr="002D3E0E">
        <w:t xml:space="preserve">As he notes, diversity of interpretation is something that scholars have often perceived as a post-Renaissance phenomenon. </w:t>
      </w:r>
    </w:p>
  </w:footnote>
  <w:footnote w:id="54">
    <w:p w14:paraId="2BDFBD46" w14:textId="66939D3B" w:rsidR="009C46A2" w:rsidRPr="002D3E0E" w:rsidRDefault="009C46A2" w:rsidP="009C46A2">
      <w:pPr>
        <w:pStyle w:val="FootnoteText"/>
      </w:pPr>
      <w:r w:rsidRPr="002D3E0E">
        <w:rPr>
          <w:rStyle w:val="FootnoteReference"/>
        </w:rPr>
        <w:footnoteRef/>
      </w:r>
      <w:r w:rsidRPr="002D3E0E">
        <w:t xml:space="preserve"> </w:t>
      </w:r>
      <w:r w:rsidR="00676412" w:rsidRPr="002D3E0E">
        <w:t xml:space="preserve">Edward L. </w:t>
      </w:r>
      <w:r w:rsidRPr="002D3E0E">
        <w:t>Schieffelin, ‘Performance</w:t>
      </w:r>
      <w:r w:rsidR="00676412" w:rsidRPr="002D3E0E">
        <w:t xml:space="preserve"> and the Cultural Construction of reality</w:t>
      </w:r>
      <w:r w:rsidRPr="002D3E0E">
        <w:t>’,</w:t>
      </w:r>
      <w:r w:rsidR="00676412" w:rsidRPr="002D3E0E">
        <w:t xml:space="preserve"> </w:t>
      </w:r>
      <w:r w:rsidR="00676412" w:rsidRPr="002D3E0E">
        <w:rPr>
          <w:i/>
          <w:iCs/>
        </w:rPr>
        <w:t>American Anthropologist</w:t>
      </w:r>
      <w:r w:rsidR="00676412" w:rsidRPr="002D3E0E">
        <w:t xml:space="preserve"> 12 (1985), 707-724,</w:t>
      </w:r>
      <w:r w:rsidRPr="002D3E0E">
        <w:t xml:space="preserve"> </w:t>
      </w:r>
      <w:r w:rsidR="00366D2A" w:rsidRPr="002D3E0E">
        <w:t>at</w:t>
      </w:r>
      <w:r w:rsidR="0029336C" w:rsidRPr="002D3E0E">
        <w:t xml:space="preserve"> </w:t>
      </w:r>
      <w:r w:rsidRPr="002D3E0E">
        <w:t xml:space="preserve">720.  </w:t>
      </w:r>
    </w:p>
  </w:footnote>
  <w:footnote w:id="55">
    <w:p w14:paraId="416CE5AB" w14:textId="0C999A6D" w:rsidR="009C46A2" w:rsidRPr="002D3E0E" w:rsidRDefault="009C46A2" w:rsidP="009C46A2">
      <w:pPr>
        <w:pStyle w:val="FootnoteText"/>
      </w:pPr>
      <w:r w:rsidRPr="002D3E0E">
        <w:rPr>
          <w:rStyle w:val="FootnoteReference"/>
        </w:rPr>
        <w:footnoteRef/>
      </w:r>
      <w:r w:rsidRPr="002D3E0E">
        <w:t xml:space="preserve"> Schieffelin, ‘Performance’, 721</w:t>
      </w:r>
      <w:r w:rsidR="00122CB2" w:rsidRPr="002D3E0E">
        <w:t xml:space="preserve">; Della Costa, ‘Ritual as metaphor’, 24. </w:t>
      </w:r>
    </w:p>
  </w:footnote>
  <w:footnote w:id="56">
    <w:p w14:paraId="09B3B6A7" w14:textId="77777777" w:rsidR="009C46A2" w:rsidRPr="002D3E0E" w:rsidRDefault="009C46A2" w:rsidP="009C46A2">
      <w:pPr>
        <w:pStyle w:val="FootnoteText"/>
      </w:pPr>
      <w:r w:rsidRPr="002D3E0E">
        <w:rPr>
          <w:rStyle w:val="FootnoteReference"/>
        </w:rPr>
        <w:footnoteRef/>
      </w:r>
      <w:r w:rsidRPr="002D3E0E">
        <w:t xml:space="preserve"> </w:t>
      </w:r>
      <w:r w:rsidRPr="002D3E0E">
        <w:rPr>
          <w:i/>
          <w:iCs/>
        </w:rPr>
        <w:t>Ibid</w:t>
      </w:r>
      <w:r w:rsidRPr="002D3E0E">
        <w:t xml:space="preserve">. </w:t>
      </w:r>
    </w:p>
  </w:footnote>
  <w:footnote w:id="57">
    <w:p w14:paraId="278FECF8" w14:textId="33B76047" w:rsidR="009C46A2" w:rsidRPr="002D3E0E" w:rsidRDefault="009C46A2" w:rsidP="009C46A2">
      <w:pPr>
        <w:pStyle w:val="FootnoteText"/>
      </w:pPr>
      <w:r w:rsidRPr="002D3E0E">
        <w:rPr>
          <w:rStyle w:val="FootnoteReference"/>
        </w:rPr>
        <w:footnoteRef/>
      </w:r>
      <w:r w:rsidRPr="002D3E0E">
        <w:t xml:space="preserve"> Schieffelin, ‘Performance’, 713.  </w:t>
      </w:r>
    </w:p>
  </w:footnote>
  <w:footnote w:id="58">
    <w:p w14:paraId="5782A209" w14:textId="443FC505" w:rsidR="009C46A2" w:rsidRPr="002D3E0E" w:rsidRDefault="009C46A2" w:rsidP="009C46A2">
      <w:pPr>
        <w:pStyle w:val="FootnoteText"/>
      </w:pPr>
      <w:r w:rsidRPr="002D3E0E">
        <w:rPr>
          <w:rStyle w:val="FootnoteReference"/>
        </w:rPr>
        <w:footnoteRef/>
      </w:r>
      <w:r w:rsidRPr="002D3E0E">
        <w:t xml:space="preserve"> Turner, </w:t>
      </w:r>
      <w:r w:rsidRPr="002D3E0E">
        <w:rPr>
          <w:i/>
          <w:iCs/>
        </w:rPr>
        <w:t>Drama, Fields and Metaphors</w:t>
      </w:r>
      <w:r w:rsidRPr="002D3E0E">
        <w:t xml:space="preserve">, 17; Schieffelin, ‘Performance’, 717.  </w:t>
      </w:r>
    </w:p>
  </w:footnote>
  <w:footnote w:id="59">
    <w:p w14:paraId="498F1919" w14:textId="1BDB6B2A" w:rsidR="009C46A2" w:rsidRPr="002D3E0E" w:rsidRDefault="009C46A2" w:rsidP="009C46A2">
      <w:pPr>
        <w:pStyle w:val="FootnoteText"/>
      </w:pPr>
      <w:r w:rsidRPr="002D3E0E">
        <w:rPr>
          <w:rStyle w:val="FootnoteReference"/>
        </w:rPr>
        <w:footnoteRef/>
      </w:r>
      <w:r w:rsidRPr="002D3E0E">
        <w:t xml:space="preserve"> Schieffelin, ’Performance’, 709.</w:t>
      </w:r>
    </w:p>
  </w:footnote>
  <w:footnote w:id="60">
    <w:p w14:paraId="6B1B61CF" w14:textId="0A75322F" w:rsidR="00826689" w:rsidRPr="002D3E0E" w:rsidRDefault="00826689">
      <w:pPr>
        <w:pStyle w:val="FootnoteText"/>
      </w:pPr>
      <w:r w:rsidRPr="002D3E0E">
        <w:rPr>
          <w:rStyle w:val="FootnoteReference"/>
        </w:rPr>
        <w:footnoteRef/>
      </w:r>
      <w:r w:rsidRPr="002D3E0E">
        <w:t xml:space="preserve"> Andrew Jotischky, ‘Holy Fire and Holy Sepulchre: Ritual and Space in Jerusalem from the Ninth to the Fourteenth Centuries’, in Frances Andrews (ed.), </w:t>
      </w:r>
      <w:r w:rsidRPr="002D3E0E">
        <w:rPr>
          <w:i/>
          <w:iCs/>
        </w:rPr>
        <w:t>Ritual and Space in the Middle Ages: Proceedings of the 2009 Harlaxton Symposium</w:t>
      </w:r>
      <w:r w:rsidRPr="002D3E0E">
        <w:t xml:space="preserve"> (</w:t>
      </w:r>
      <w:proofErr w:type="spellStart"/>
      <w:r w:rsidRPr="002D3E0E">
        <w:t>Donington</w:t>
      </w:r>
      <w:proofErr w:type="spellEnd"/>
      <w:r w:rsidRPr="002D3E0E">
        <w:t xml:space="preserve">, 2011), 44-60, at 45. </w:t>
      </w:r>
    </w:p>
  </w:footnote>
  <w:footnote w:id="61">
    <w:p w14:paraId="11C2A828" w14:textId="678D4653" w:rsidR="009C46A2" w:rsidRPr="002D3E0E" w:rsidRDefault="009C46A2" w:rsidP="009C46A2">
      <w:pPr>
        <w:pStyle w:val="FootnoteText"/>
      </w:pPr>
      <w:r w:rsidRPr="002D3E0E">
        <w:rPr>
          <w:rStyle w:val="FootnoteReference"/>
        </w:rPr>
        <w:footnoteRef/>
      </w:r>
      <w:r w:rsidRPr="002D3E0E">
        <w:t xml:space="preserve"> Turner, </w:t>
      </w:r>
      <w:r w:rsidRPr="002D3E0E">
        <w:rPr>
          <w:i/>
          <w:iCs/>
        </w:rPr>
        <w:t>The Ritual Process</w:t>
      </w:r>
      <w:r w:rsidRPr="002D3E0E">
        <w:t xml:space="preserve">, 95.  </w:t>
      </w:r>
    </w:p>
  </w:footnote>
  <w:footnote w:id="62">
    <w:p w14:paraId="73B9B25D" w14:textId="00B01032" w:rsidR="009C46A2" w:rsidRPr="002D3E0E" w:rsidRDefault="009C46A2" w:rsidP="009C46A2">
      <w:pPr>
        <w:pStyle w:val="FootnoteText"/>
      </w:pPr>
      <w:r w:rsidRPr="002D3E0E">
        <w:rPr>
          <w:rStyle w:val="FootnoteReference"/>
        </w:rPr>
        <w:footnoteRef/>
      </w:r>
      <w:r w:rsidRPr="002D3E0E">
        <w:t xml:space="preserve"> Turner, </w:t>
      </w:r>
      <w:r w:rsidRPr="002D3E0E">
        <w:rPr>
          <w:i/>
          <w:iCs/>
        </w:rPr>
        <w:t>The Ritual Process</w:t>
      </w:r>
      <w:r w:rsidRPr="002D3E0E">
        <w:t xml:space="preserve">, 95.  </w:t>
      </w:r>
    </w:p>
  </w:footnote>
  <w:footnote w:id="63">
    <w:p w14:paraId="35FC7D97" w14:textId="15C82615" w:rsidR="009C46A2" w:rsidRPr="002D3E0E" w:rsidRDefault="009C46A2" w:rsidP="009C46A2">
      <w:pPr>
        <w:pStyle w:val="FootnoteText"/>
      </w:pPr>
      <w:r w:rsidRPr="002D3E0E">
        <w:rPr>
          <w:rStyle w:val="FootnoteReference"/>
        </w:rPr>
        <w:footnoteRef/>
      </w:r>
      <w:r w:rsidRPr="002D3E0E">
        <w:t xml:space="preserve"> Dale, </w:t>
      </w:r>
      <w:r w:rsidRPr="002D3E0E">
        <w:rPr>
          <w:i/>
          <w:iCs/>
        </w:rPr>
        <w:t>Inauguration</w:t>
      </w:r>
      <w:r w:rsidRPr="002D3E0E">
        <w:t xml:space="preserve">, 109. </w:t>
      </w:r>
    </w:p>
  </w:footnote>
  <w:footnote w:id="64">
    <w:p w14:paraId="326AE199" w14:textId="786AB4A5" w:rsidR="009C46A2" w:rsidRPr="002D3E0E" w:rsidRDefault="009C46A2" w:rsidP="009C46A2">
      <w:pPr>
        <w:pStyle w:val="FootnoteText"/>
      </w:pPr>
      <w:r w:rsidRPr="002D3E0E">
        <w:rPr>
          <w:rStyle w:val="FootnoteReference"/>
        </w:rPr>
        <w:footnoteRef/>
      </w:r>
      <w:r w:rsidRPr="002D3E0E">
        <w:t xml:space="preserve"> </w:t>
      </w:r>
      <w:r w:rsidRPr="002D3E0E">
        <w:rPr>
          <w:i/>
          <w:iCs/>
        </w:rPr>
        <w:t xml:space="preserve">Chron. Bower, </w:t>
      </w:r>
      <w:r w:rsidRPr="002D3E0E">
        <w:t>VII, 71.</w:t>
      </w:r>
    </w:p>
  </w:footnote>
  <w:footnote w:id="65">
    <w:p w14:paraId="495D78F5" w14:textId="18AA2AB1" w:rsidR="009C46A2" w:rsidRPr="002D3E0E" w:rsidRDefault="009C46A2" w:rsidP="009C46A2">
      <w:pPr>
        <w:pStyle w:val="FootnoteText"/>
      </w:pPr>
      <w:r w:rsidRPr="002D3E0E">
        <w:rPr>
          <w:rStyle w:val="FootnoteReference"/>
        </w:rPr>
        <w:footnoteRef/>
      </w:r>
      <w:r w:rsidRPr="002D3E0E">
        <w:t xml:space="preserve"> Schieffelin, ‘Performance’, 713.  </w:t>
      </w:r>
    </w:p>
  </w:footnote>
  <w:footnote w:id="66">
    <w:p w14:paraId="21F628B2" w14:textId="77777777" w:rsidR="009C46A2" w:rsidRPr="002D3E0E" w:rsidRDefault="009C46A2" w:rsidP="009C46A2">
      <w:pPr>
        <w:pStyle w:val="FootnoteText"/>
      </w:pPr>
      <w:r w:rsidRPr="002D3E0E">
        <w:rPr>
          <w:rStyle w:val="FootnoteReference"/>
        </w:rPr>
        <w:footnoteRef/>
      </w:r>
      <w:r w:rsidRPr="002D3E0E">
        <w:t xml:space="preserve"> </w:t>
      </w:r>
      <w:r w:rsidRPr="002D3E0E">
        <w:rPr>
          <w:i/>
          <w:iCs/>
        </w:rPr>
        <w:t>Ibid</w:t>
      </w:r>
      <w:r w:rsidRPr="002D3E0E">
        <w:t xml:space="preserve">. </w:t>
      </w:r>
    </w:p>
  </w:footnote>
  <w:footnote w:id="67">
    <w:p w14:paraId="7B83F865" w14:textId="02717AE8" w:rsidR="009C46A2" w:rsidRPr="002D3E0E" w:rsidRDefault="009C46A2" w:rsidP="009C46A2">
      <w:pPr>
        <w:pStyle w:val="FootnoteText"/>
      </w:pPr>
      <w:r w:rsidRPr="002D3E0E">
        <w:rPr>
          <w:rStyle w:val="FootnoteReference"/>
        </w:rPr>
        <w:footnoteRef/>
      </w:r>
      <w:r w:rsidRPr="002D3E0E">
        <w:t xml:space="preserve"> Schieffelin, ‘Performance’, 713.  </w:t>
      </w:r>
    </w:p>
  </w:footnote>
  <w:footnote w:id="68">
    <w:p w14:paraId="1354277E" w14:textId="28E74D0D" w:rsidR="009C46A2" w:rsidRPr="002D3E0E" w:rsidRDefault="009C46A2" w:rsidP="009C46A2">
      <w:pPr>
        <w:pStyle w:val="FootnoteText"/>
      </w:pPr>
      <w:r w:rsidRPr="002D3E0E">
        <w:rPr>
          <w:rStyle w:val="FootnoteReference"/>
        </w:rPr>
        <w:footnoteRef/>
      </w:r>
      <w:r w:rsidRPr="002D3E0E">
        <w:t xml:space="preserve"> </w:t>
      </w:r>
      <w:r w:rsidR="00FE1ED6" w:rsidRPr="002D3E0E">
        <w:t>For example, see Richard II of England’s inauguration in 1377 (</w:t>
      </w:r>
      <w:r w:rsidRPr="002D3E0E">
        <w:rPr>
          <w:i/>
          <w:iCs/>
        </w:rPr>
        <w:t xml:space="preserve">Chron. </w:t>
      </w:r>
      <w:proofErr w:type="spellStart"/>
      <w:r w:rsidRPr="002D3E0E">
        <w:rPr>
          <w:i/>
          <w:iCs/>
        </w:rPr>
        <w:t>Anonimalle</w:t>
      </w:r>
      <w:proofErr w:type="spellEnd"/>
      <w:r w:rsidRPr="002D3E0E">
        <w:rPr>
          <w:i/>
          <w:iCs/>
        </w:rPr>
        <w:t>, 1333 to 1381</w:t>
      </w:r>
      <w:r w:rsidRPr="002D3E0E">
        <w:t>, 109-111</w:t>
      </w:r>
      <w:r w:rsidR="00FE1ED6" w:rsidRPr="002D3E0E">
        <w:t>)</w:t>
      </w:r>
      <w:r w:rsidRPr="002D3E0E">
        <w:t xml:space="preserve">.  </w:t>
      </w:r>
    </w:p>
  </w:footnote>
  <w:footnote w:id="69">
    <w:p w14:paraId="0C88490E" w14:textId="28A3CC14" w:rsidR="009C46A2" w:rsidRPr="002D3E0E" w:rsidRDefault="009C46A2" w:rsidP="009C46A2">
      <w:pPr>
        <w:pStyle w:val="FootnoteText"/>
      </w:pPr>
      <w:r w:rsidRPr="002D3E0E">
        <w:rPr>
          <w:rStyle w:val="FootnoteReference"/>
        </w:rPr>
        <w:footnoteRef/>
      </w:r>
      <w:r w:rsidRPr="002D3E0E">
        <w:t xml:space="preserve"> Nelson, </w:t>
      </w:r>
      <w:r w:rsidRPr="002D3E0E">
        <w:rPr>
          <w:i/>
          <w:iCs/>
        </w:rPr>
        <w:t>Politics and Ritual</w:t>
      </w:r>
      <w:r w:rsidRPr="002D3E0E">
        <w:t xml:space="preserve">, 251-2.  </w:t>
      </w:r>
    </w:p>
  </w:footnote>
  <w:footnote w:id="70">
    <w:p w14:paraId="0E3DACA7" w14:textId="611F5B73" w:rsidR="009C46A2" w:rsidRPr="002D3E0E" w:rsidRDefault="009C46A2" w:rsidP="009C46A2">
      <w:pPr>
        <w:pStyle w:val="FootnoteText"/>
      </w:pPr>
      <w:r w:rsidRPr="002D3E0E">
        <w:rPr>
          <w:rStyle w:val="FootnoteReference"/>
        </w:rPr>
        <w:footnoteRef/>
      </w:r>
      <w:r w:rsidRPr="002D3E0E">
        <w:t xml:space="preserve"> Schieffelin, ‘Performance’, 709. </w:t>
      </w:r>
    </w:p>
  </w:footnote>
  <w:footnote w:id="71">
    <w:p w14:paraId="2FBB8BF2" w14:textId="1654020B" w:rsidR="00AF0958" w:rsidRPr="001C1138" w:rsidRDefault="00AF0958" w:rsidP="00AF0958">
      <w:pPr>
        <w:pStyle w:val="FootnoteText"/>
        <w:rPr>
          <w:lang w:val="it-IT"/>
        </w:rPr>
      </w:pPr>
      <w:r w:rsidRPr="002D3E0E">
        <w:rPr>
          <w:rStyle w:val="FootnoteReference"/>
        </w:rPr>
        <w:footnoteRef/>
      </w:r>
      <w:r w:rsidRPr="001C1138">
        <w:rPr>
          <w:lang w:val="it-IT"/>
        </w:rPr>
        <w:t xml:space="preserve"> Dale, </w:t>
      </w:r>
      <w:r w:rsidRPr="001C1138">
        <w:rPr>
          <w:i/>
          <w:iCs/>
          <w:lang w:val="it-IT"/>
        </w:rPr>
        <w:t>Inauguration</w:t>
      </w:r>
      <w:r w:rsidRPr="001C1138">
        <w:rPr>
          <w:lang w:val="it-IT"/>
        </w:rPr>
        <w:t xml:space="preserve">, 144.  </w:t>
      </w:r>
    </w:p>
  </w:footnote>
  <w:footnote w:id="72">
    <w:p w14:paraId="48F4A166" w14:textId="6DA45A62" w:rsidR="00AF0958" w:rsidRPr="001C1138" w:rsidRDefault="00AF0958" w:rsidP="00AF0958">
      <w:pPr>
        <w:pStyle w:val="FootnoteText"/>
        <w:rPr>
          <w:lang w:val="it-IT"/>
        </w:rPr>
      </w:pPr>
      <w:r w:rsidRPr="002D3E0E">
        <w:rPr>
          <w:rStyle w:val="FootnoteReference"/>
        </w:rPr>
        <w:footnoteRef/>
      </w:r>
      <w:r w:rsidRPr="001C1138">
        <w:rPr>
          <w:lang w:val="it-IT"/>
        </w:rPr>
        <w:t xml:space="preserve"> Dale, </w:t>
      </w:r>
      <w:r w:rsidRPr="001C1138">
        <w:rPr>
          <w:i/>
          <w:iCs/>
          <w:lang w:val="it-IT"/>
        </w:rPr>
        <w:t>Inauguration</w:t>
      </w:r>
      <w:r w:rsidRPr="001C1138">
        <w:rPr>
          <w:lang w:val="it-IT"/>
        </w:rPr>
        <w:t>, 143.</w:t>
      </w:r>
    </w:p>
  </w:footnote>
  <w:footnote w:id="73">
    <w:p w14:paraId="6BE0A1C4" w14:textId="0F4357C7" w:rsidR="00AF0958" w:rsidRPr="001C1138" w:rsidRDefault="00AF0958" w:rsidP="00AF0958">
      <w:pPr>
        <w:pStyle w:val="FootnoteText"/>
        <w:rPr>
          <w:lang w:val="it-IT"/>
        </w:rPr>
      </w:pPr>
      <w:r w:rsidRPr="002D3E0E">
        <w:rPr>
          <w:rStyle w:val="FootnoteReference"/>
        </w:rPr>
        <w:footnoteRef/>
      </w:r>
      <w:r w:rsidRPr="001C1138">
        <w:rPr>
          <w:lang w:val="it-IT"/>
        </w:rPr>
        <w:t xml:space="preserve"> Dale, </w:t>
      </w:r>
      <w:r w:rsidRPr="001C1138">
        <w:rPr>
          <w:i/>
          <w:iCs/>
          <w:lang w:val="it-IT"/>
        </w:rPr>
        <w:t>Inauguration</w:t>
      </w:r>
      <w:r w:rsidRPr="001C1138">
        <w:rPr>
          <w:lang w:val="it-IT"/>
        </w:rPr>
        <w:t>, 143-4.</w:t>
      </w:r>
    </w:p>
  </w:footnote>
  <w:footnote w:id="74">
    <w:p w14:paraId="23AAC2A2" w14:textId="74CEAE14" w:rsidR="00AF0958" w:rsidRPr="002D3E0E" w:rsidRDefault="00AF0958" w:rsidP="00AF0958">
      <w:pPr>
        <w:pStyle w:val="FootnoteText"/>
        <w:rPr>
          <w:b/>
          <w:bCs/>
          <w:color w:val="FF0000"/>
        </w:rPr>
      </w:pPr>
      <w:r w:rsidRPr="002D3E0E">
        <w:rPr>
          <w:rStyle w:val="FootnoteReference"/>
        </w:rPr>
        <w:footnoteRef/>
      </w:r>
      <w:r w:rsidRPr="002D3E0E">
        <w:t xml:space="preserve"> </w:t>
      </w:r>
      <w:r w:rsidR="0079291F" w:rsidRPr="002D3E0E">
        <w:t xml:space="preserve">Lucinda Dean, ‘Crowns, Wedding Rings and Processions: Continuity and Change in the Representations of Scottish Royal Authority in State Ceremony, c.1214 – c.1603’, unpublished PhD thesis </w:t>
      </w:r>
      <w:r w:rsidR="00366D2A" w:rsidRPr="002D3E0E">
        <w:t>(</w:t>
      </w:r>
      <w:r w:rsidR="0079291F" w:rsidRPr="002D3E0E">
        <w:t>Stirling University 2013)</w:t>
      </w:r>
      <w:r w:rsidRPr="002D3E0E">
        <w:t>, 122.</w:t>
      </w:r>
    </w:p>
  </w:footnote>
  <w:footnote w:id="75">
    <w:p w14:paraId="1F198F76" w14:textId="38F1DE23" w:rsidR="00526FB0" w:rsidRPr="002D3E0E" w:rsidRDefault="00526FB0">
      <w:pPr>
        <w:pStyle w:val="FootnoteText"/>
      </w:pPr>
      <w:r w:rsidRPr="002D3E0E">
        <w:rPr>
          <w:rStyle w:val="FootnoteReference"/>
        </w:rPr>
        <w:footnoteRef/>
      </w:r>
      <w:r w:rsidRPr="002D3E0E">
        <w:t xml:space="preserve"> Taylor, ‘Historical writing’, 23-24</w:t>
      </w:r>
      <w:r w:rsidR="005D5C06" w:rsidRPr="002D3E0E">
        <w:t xml:space="preserve">; David Ditchburn, ‘Queen Margaret and Dunfermline: Cult, Court and Community’, in S. Boardman and D. Ditchburn (eds), </w:t>
      </w:r>
      <w:r w:rsidR="005D5C06" w:rsidRPr="002D3E0E">
        <w:rPr>
          <w:i/>
          <w:iCs/>
        </w:rPr>
        <w:t>Kingship, Lordship and Sanctity: Essays in Honour of Alexander Grant</w:t>
      </w:r>
      <w:r w:rsidR="005D5C06" w:rsidRPr="002D3E0E">
        <w:t xml:space="preserve"> (Woodbridge, 2022), 259-284, at 265. </w:t>
      </w:r>
    </w:p>
  </w:footnote>
  <w:footnote w:id="76">
    <w:p w14:paraId="68F98004" w14:textId="399673F7" w:rsidR="00AF0958" w:rsidRPr="002D3E0E" w:rsidRDefault="00AF0958" w:rsidP="00AF0958">
      <w:pPr>
        <w:pStyle w:val="FootnoteText"/>
      </w:pPr>
      <w:r w:rsidRPr="002D3E0E">
        <w:rPr>
          <w:rStyle w:val="FootnoteReference"/>
        </w:rPr>
        <w:footnoteRef/>
      </w:r>
      <w:r w:rsidRPr="002D3E0E">
        <w:t xml:space="preserve"> Tom Turpie, </w:t>
      </w:r>
      <w:r w:rsidRPr="002D3E0E">
        <w:rPr>
          <w:i/>
          <w:iCs/>
        </w:rPr>
        <w:t>Kind Neighbours: Scottish Saints and Society in the Later Middle Ages</w:t>
      </w:r>
      <w:r w:rsidRPr="002D3E0E">
        <w:t xml:space="preserve"> (Leiden, 2015), 28-40. </w:t>
      </w:r>
    </w:p>
  </w:footnote>
  <w:footnote w:id="77">
    <w:p w14:paraId="72C10FDC" w14:textId="6B2C13A4" w:rsidR="00D60002" w:rsidRPr="003421A9" w:rsidRDefault="00D60002">
      <w:pPr>
        <w:pStyle w:val="FootnoteText"/>
      </w:pPr>
      <w:r w:rsidRPr="002D3E0E">
        <w:rPr>
          <w:rStyle w:val="FootnoteReference"/>
        </w:rPr>
        <w:footnoteRef/>
      </w:r>
      <w:r w:rsidRPr="002D3E0E">
        <w:t xml:space="preserve"> H</w:t>
      </w:r>
      <w:r w:rsidRPr="003421A9">
        <w:t xml:space="preserve">. G. Liddell and R. Scott (eds), </w:t>
      </w:r>
      <w:r w:rsidRPr="003421A9">
        <w:rPr>
          <w:i/>
          <w:iCs/>
        </w:rPr>
        <w:t xml:space="preserve">A </w:t>
      </w:r>
      <w:proofErr w:type="gramStart"/>
      <w:r w:rsidRPr="003421A9">
        <w:rPr>
          <w:i/>
          <w:iCs/>
        </w:rPr>
        <w:t>Greek-English</w:t>
      </w:r>
      <w:proofErr w:type="gramEnd"/>
      <w:r w:rsidRPr="003421A9">
        <w:rPr>
          <w:i/>
          <w:iCs/>
        </w:rPr>
        <w:t xml:space="preserve"> Lexicon </w:t>
      </w:r>
      <w:r w:rsidRPr="003421A9">
        <w:t xml:space="preserve">(Oxford, 1940). Accessed via </w:t>
      </w:r>
      <w:proofErr w:type="spellStart"/>
      <w:r w:rsidRPr="003421A9">
        <w:t>Logeion</w:t>
      </w:r>
      <w:proofErr w:type="spellEnd"/>
      <w:r w:rsidRPr="003421A9">
        <w:t xml:space="preserve">, &lt; </w:t>
      </w:r>
      <w:r w:rsidR="001F49D8" w:rsidRPr="003421A9">
        <w:t>https://logeion.uchicago.edu/</w:t>
      </w:r>
      <w:r w:rsidRPr="003421A9">
        <w:t>&gt; [access date 02/09/2025].</w:t>
      </w:r>
      <w:r w:rsidR="00E27EE0" w:rsidRPr="003421A9">
        <w:t xml:space="preserve"> For discussion of the succession prior to David’s birth see, Penman, </w:t>
      </w:r>
      <w:r w:rsidR="00E27EE0" w:rsidRPr="003421A9">
        <w:rPr>
          <w:i/>
          <w:iCs/>
        </w:rPr>
        <w:t>Robert the Bruce</w:t>
      </w:r>
      <w:r w:rsidR="00C711C4" w:rsidRPr="003421A9">
        <w:t xml:space="preserve">, 190-193. </w:t>
      </w:r>
      <w:r w:rsidR="006F36A0" w:rsidRPr="003421A9">
        <w:t xml:space="preserve">Dale has also spotted such linguistic associations in other inaugurations, see Dale, </w:t>
      </w:r>
      <w:r w:rsidR="006F36A0" w:rsidRPr="003421A9">
        <w:rPr>
          <w:i/>
          <w:iCs/>
        </w:rPr>
        <w:t>Inauguration</w:t>
      </w:r>
      <w:r w:rsidR="006F36A0" w:rsidRPr="003421A9">
        <w:t>, 148.</w:t>
      </w:r>
    </w:p>
  </w:footnote>
  <w:footnote w:id="78">
    <w:p w14:paraId="4AD31130" w14:textId="0244A1C0" w:rsidR="003421A9" w:rsidRPr="003421A9" w:rsidRDefault="003421A9">
      <w:pPr>
        <w:pStyle w:val="FootnoteText"/>
      </w:pPr>
      <w:r w:rsidRPr="003421A9">
        <w:rPr>
          <w:rStyle w:val="FootnoteReference"/>
        </w:rPr>
        <w:footnoteRef/>
      </w:r>
      <w:r w:rsidRPr="003421A9">
        <w:t xml:space="preserve"> Dale, </w:t>
      </w:r>
      <w:r w:rsidRPr="003421A9">
        <w:rPr>
          <w:i/>
          <w:iCs/>
        </w:rPr>
        <w:t>Inauguration</w:t>
      </w:r>
      <w:r w:rsidRPr="003421A9">
        <w:t xml:space="preserve">, </w:t>
      </w:r>
      <w:r w:rsidR="00DF5F0F">
        <w:t xml:space="preserve">152. </w:t>
      </w:r>
    </w:p>
  </w:footnote>
  <w:footnote w:id="79">
    <w:p w14:paraId="46B0F803" w14:textId="2E6172FD" w:rsidR="00AF0958" w:rsidRPr="003421A9" w:rsidRDefault="00AF0958" w:rsidP="00AF0958">
      <w:pPr>
        <w:pStyle w:val="FootnoteText"/>
      </w:pPr>
      <w:r w:rsidRPr="003421A9">
        <w:rPr>
          <w:rStyle w:val="FootnoteReference"/>
        </w:rPr>
        <w:footnoteRef/>
      </w:r>
      <w:r w:rsidRPr="003421A9">
        <w:t xml:space="preserve"> Penman, </w:t>
      </w:r>
      <w:r w:rsidRPr="003421A9">
        <w:rPr>
          <w:i/>
          <w:iCs/>
        </w:rPr>
        <w:t>David II</w:t>
      </w:r>
      <w:r w:rsidRPr="003421A9">
        <w:t xml:space="preserve">, 44-8.  </w:t>
      </w:r>
    </w:p>
  </w:footnote>
  <w:footnote w:id="80">
    <w:p w14:paraId="5DEE28E6" w14:textId="252AE638" w:rsidR="00AF0958" w:rsidRPr="002D3E0E" w:rsidRDefault="00AF0958">
      <w:pPr>
        <w:pStyle w:val="FootnoteText"/>
      </w:pPr>
      <w:r w:rsidRPr="002D3E0E">
        <w:rPr>
          <w:rStyle w:val="FootnoteReference"/>
        </w:rPr>
        <w:footnoteRef/>
      </w:r>
      <w:r w:rsidRPr="002D3E0E">
        <w:t xml:space="preserve"> For evidence of regalia being sent to the papal court, see the discussion of regalia below.</w:t>
      </w:r>
    </w:p>
  </w:footnote>
  <w:footnote w:id="81">
    <w:p w14:paraId="0E276DC6" w14:textId="5B76F43F" w:rsidR="00AF0958" w:rsidRPr="002D3E0E" w:rsidRDefault="00AF0958" w:rsidP="000C62D9">
      <w:pPr>
        <w:pStyle w:val="FootnoteText"/>
      </w:pPr>
      <w:r w:rsidRPr="002D3E0E">
        <w:rPr>
          <w:rStyle w:val="FootnoteReference"/>
        </w:rPr>
        <w:footnoteRef/>
      </w:r>
      <w:r w:rsidRPr="002D3E0E">
        <w:t xml:space="preserve"> Dean, ‘Crowning the Child’, 268. Dean bases this on her argument that the anointing oil was linked to St Margaret’s cult</w:t>
      </w:r>
      <w:r w:rsidR="000C62D9" w:rsidRPr="002D3E0E">
        <w:t>; while there was a thirteenth-century connection between unction and Margaret (n. 71), these arguments for the rite were not successful in the 1200s and there is no evidence to tie Margaret to the oil in the 1300s or thereafter.</w:t>
      </w:r>
    </w:p>
  </w:footnote>
  <w:footnote w:id="82">
    <w:p w14:paraId="19AB00E0" w14:textId="272B007C" w:rsidR="00AF0958" w:rsidRPr="002D3E0E" w:rsidRDefault="00AF0958" w:rsidP="00AF0958">
      <w:pPr>
        <w:pStyle w:val="FootnoteText"/>
      </w:pPr>
      <w:r w:rsidRPr="002D3E0E">
        <w:rPr>
          <w:rStyle w:val="FootnoteReference"/>
        </w:rPr>
        <w:footnoteRef/>
      </w:r>
      <w:r w:rsidRPr="002D3E0E">
        <w:t xml:space="preserve"> Penman, </w:t>
      </w:r>
      <w:r w:rsidRPr="002D3E0E">
        <w:rPr>
          <w:i/>
          <w:iCs/>
        </w:rPr>
        <w:t>David II</w:t>
      </w:r>
      <w:r w:rsidRPr="002D3E0E">
        <w:t>, 36</w:t>
      </w:r>
      <w:r w:rsidR="00366D2A" w:rsidRPr="002D3E0E">
        <w:t xml:space="preserve"> and</w:t>
      </w:r>
      <w:r w:rsidRPr="002D3E0E">
        <w:t xml:space="preserve"> 44; Dean, ‘Crowns, Wedding Rings and Processions’, 121</w:t>
      </w:r>
      <w:r w:rsidR="00366D2A" w:rsidRPr="002D3E0E">
        <w:t xml:space="preserve"> and</w:t>
      </w:r>
      <w:r w:rsidRPr="002D3E0E">
        <w:t xml:space="preserve"> 124; Dean, </w:t>
      </w:r>
      <w:r w:rsidRPr="002D3E0E">
        <w:rPr>
          <w:i/>
          <w:iCs/>
        </w:rPr>
        <w:t>Death and the Royal Succession</w:t>
      </w:r>
      <w:r w:rsidRPr="002D3E0E">
        <w:t>, 96-7</w:t>
      </w:r>
      <w:r w:rsidR="00062AFC" w:rsidRPr="002D3E0E">
        <w:t xml:space="preserve">. For a discussion of these age categories see: </w:t>
      </w:r>
      <w:r w:rsidRPr="002D3E0E">
        <w:t>W. Mark Ormrod, ‘Coming to Kingship</w:t>
      </w:r>
      <w:r w:rsidR="00366D2A" w:rsidRPr="002D3E0E">
        <w:t xml:space="preserve">: Boy Kings and the Passage to Power in Fourteenth-Century England’, in Nicola F. McDonald and W. M. Ormrod (eds), </w:t>
      </w:r>
      <w:r w:rsidR="00366D2A" w:rsidRPr="002D3E0E">
        <w:rPr>
          <w:i/>
          <w:iCs/>
        </w:rPr>
        <w:t>Rites of Passage: Cultures of Transition in the Fourteenth Century</w:t>
      </w:r>
      <w:r w:rsidR="00366D2A" w:rsidRPr="002D3E0E">
        <w:t xml:space="preserve"> (Woodbridge, 2004), 31-49, at </w:t>
      </w:r>
      <w:r w:rsidRPr="002D3E0E">
        <w:t>33</w:t>
      </w:r>
      <w:r w:rsidR="00366D2A" w:rsidRPr="002D3E0E">
        <w:t xml:space="preserve"> and</w:t>
      </w:r>
      <w:r w:rsidRPr="002D3E0E">
        <w:t xml:space="preserve"> 36; Emily Joan Ward, </w:t>
      </w:r>
      <w:r w:rsidRPr="002D3E0E">
        <w:rPr>
          <w:i/>
          <w:iCs/>
        </w:rPr>
        <w:t>Royal Childhood and Child Kingship: Boy Kings in England, Scotland, France and Germany, c. 1050-1262</w:t>
      </w:r>
      <w:r w:rsidR="00E45604" w:rsidRPr="002D3E0E">
        <w:rPr>
          <w:i/>
          <w:iCs/>
        </w:rPr>
        <w:t xml:space="preserve"> </w:t>
      </w:r>
      <w:r w:rsidRPr="002D3E0E">
        <w:t>(Cambridge, 2022), 8-9.</w:t>
      </w:r>
    </w:p>
  </w:footnote>
  <w:footnote w:id="83">
    <w:p w14:paraId="504D50D7" w14:textId="4F0F6C13" w:rsidR="00AF0958" w:rsidRPr="002D3E0E" w:rsidRDefault="00AF0958" w:rsidP="00AF0958">
      <w:pPr>
        <w:pStyle w:val="FootnoteText"/>
      </w:pPr>
      <w:r w:rsidRPr="002D3E0E">
        <w:rPr>
          <w:rStyle w:val="FootnoteReference"/>
        </w:rPr>
        <w:footnoteRef/>
      </w:r>
      <w:r w:rsidRPr="002D3E0E">
        <w:t xml:space="preserve"> Dale, </w:t>
      </w:r>
      <w:r w:rsidRPr="002D3E0E">
        <w:rPr>
          <w:i/>
          <w:iCs/>
        </w:rPr>
        <w:t>Inauguration</w:t>
      </w:r>
      <w:r w:rsidRPr="002D3E0E">
        <w:t>, 143-4</w:t>
      </w:r>
      <w:r w:rsidR="00D271A6" w:rsidRPr="002D3E0E">
        <w:t xml:space="preserve">; Dean, </w:t>
      </w:r>
      <w:r w:rsidR="00D271A6" w:rsidRPr="002D3E0E">
        <w:rPr>
          <w:i/>
          <w:iCs/>
        </w:rPr>
        <w:t>Death and the Royal Succession</w:t>
      </w:r>
      <w:r w:rsidR="00D271A6" w:rsidRPr="002D3E0E">
        <w:t>, 155.</w:t>
      </w:r>
    </w:p>
  </w:footnote>
  <w:footnote w:id="84">
    <w:p w14:paraId="7AFCBC8A" w14:textId="16A3C9A1" w:rsidR="00AF0958" w:rsidRPr="002D3E0E" w:rsidRDefault="00AF0958" w:rsidP="00AF0958">
      <w:pPr>
        <w:pStyle w:val="FootnoteText"/>
      </w:pPr>
      <w:r w:rsidRPr="002D3E0E">
        <w:rPr>
          <w:rStyle w:val="FootnoteReference"/>
        </w:rPr>
        <w:footnoteRef/>
      </w:r>
      <w:r w:rsidRPr="002D3E0E">
        <w:t xml:space="preserve"> A.A.M. Duncan, ‘The Early Parliaments of Scotland’, </w:t>
      </w:r>
      <w:r w:rsidRPr="002D3E0E">
        <w:rPr>
          <w:i/>
          <w:iCs/>
        </w:rPr>
        <w:t>S</w:t>
      </w:r>
      <w:r w:rsidR="006273E1" w:rsidRPr="002D3E0E">
        <w:rPr>
          <w:i/>
          <w:iCs/>
        </w:rPr>
        <w:t xml:space="preserve">cottish </w:t>
      </w:r>
      <w:r w:rsidRPr="002D3E0E">
        <w:rPr>
          <w:i/>
          <w:iCs/>
        </w:rPr>
        <w:t>H</w:t>
      </w:r>
      <w:r w:rsidR="006273E1" w:rsidRPr="002D3E0E">
        <w:rPr>
          <w:i/>
          <w:iCs/>
        </w:rPr>
        <w:t xml:space="preserve">istorical </w:t>
      </w:r>
      <w:r w:rsidRPr="002D3E0E">
        <w:rPr>
          <w:i/>
          <w:iCs/>
        </w:rPr>
        <w:t>R</w:t>
      </w:r>
      <w:r w:rsidR="006273E1" w:rsidRPr="002D3E0E">
        <w:rPr>
          <w:i/>
          <w:iCs/>
        </w:rPr>
        <w:t>eview</w:t>
      </w:r>
      <w:r w:rsidRPr="002D3E0E">
        <w:rPr>
          <w:i/>
          <w:iCs/>
        </w:rPr>
        <w:t xml:space="preserve"> </w:t>
      </w:r>
      <w:r w:rsidRPr="002D3E0E">
        <w:t xml:space="preserve">45 (1966), 36-58, </w:t>
      </w:r>
      <w:r w:rsidR="00E45604" w:rsidRPr="002D3E0E">
        <w:t>at</w:t>
      </w:r>
      <w:r w:rsidR="0029336C" w:rsidRPr="002D3E0E">
        <w:t xml:space="preserve"> </w:t>
      </w:r>
      <w:r w:rsidRPr="002D3E0E">
        <w:t>56-7.</w:t>
      </w:r>
    </w:p>
  </w:footnote>
  <w:footnote w:id="85">
    <w:p w14:paraId="48DF471F" w14:textId="27648081" w:rsidR="00D271A6" w:rsidRPr="002D3E0E" w:rsidRDefault="00D271A6">
      <w:pPr>
        <w:pStyle w:val="FootnoteText"/>
      </w:pPr>
      <w:r w:rsidRPr="002D3E0E">
        <w:rPr>
          <w:rStyle w:val="FootnoteReference"/>
        </w:rPr>
        <w:footnoteRef/>
      </w:r>
      <w:r w:rsidRPr="002D3E0E">
        <w:t xml:space="preserve"> John Stuart and George Burnett (eds), </w:t>
      </w:r>
      <w:r w:rsidRPr="002D3E0E">
        <w:rPr>
          <w:i/>
          <w:iCs/>
        </w:rPr>
        <w:t>The Exchequer Rolls of Scotland</w:t>
      </w:r>
      <w:r w:rsidRPr="002D3E0E">
        <w:t xml:space="preserve"> (Edinburgh, 1878), I, 403. </w:t>
      </w:r>
    </w:p>
  </w:footnote>
  <w:footnote w:id="86">
    <w:p w14:paraId="4CDA044D" w14:textId="38039F1A" w:rsidR="00AF0958" w:rsidRPr="002D3E0E" w:rsidRDefault="00AF0958" w:rsidP="00AF0958">
      <w:pPr>
        <w:pStyle w:val="FootnoteText"/>
      </w:pPr>
      <w:r w:rsidRPr="002D3E0E">
        <w:rPr>
          <w:rStyle w:val="FootnoteReference"/>
        </w:rPr>
        <w:footnoteRef/>
      </w:r>
      <w:r w:rsidRPr="002D3E0E">
        <w:t xml:space="preserve"> </w:t>
      </w:r>
      <w:r w:rsidR="00D271A6" w:rsidRPr="002D3E0E">
        <w:t>Duncan, ‘The Early Parliaments’, 56-7</w:t>
      </w:r>
      <w:r w:rsidRPr="002D3E0E">
        <w:t xml:space="preserve">. Elsewhere, Duncan notes that the Scots had to pay 12,000 florins to the pope for the bull. The Scots were perhaps unable to pay for this privilege until the terms of the treaty were fulfilled (Duncan, </w:t>
      </w:r>
      <w:r w:rsidRPr="002D3E0E">
        <w:rPr>
          <w:i/>
          <w:iCs/>
        </w:rPr>
        <w:t>Kingship of the Scots</w:t>
      </w:r>
      <w:r w:rsidRPr="002D3E0E">
        <w:t>, 329).</w:t>
      </w:r>
    </w:p>
  </w:footnote>
  <w:footnote w:id="87">
    <w:p w14:paraId="62E3D5B6" w14:textId="054A0CDF" w:rsidR="00AF0958" w:rsidRPr="002D3E0E" w:rsidRDefault="00AF0958" w:rsidP="00AF0958">
      <w:pPr>
        <w:pStyle w:val="FootnoteText"/>
      </w:pPr>
      <w:r w:rsidRPr="002D3E0E">
        <w:rPr>
          <w:rStyle w:val="FootnoteReference"/>
        </w:rPr>
        <w:footnoteRef/>
      </w:r>
      <w:r w:rsidRPr="002D3E0E">
        <w:t xml:space="preserve"> Dean, </w:t>
      </w:r>
      <w:r w:rsidRPr="002D3E0E">
        <w:rPr>
          <w:i/>
          <w:iCs/>
        </w:rPr>
        <w:t>Death and the Royal Succession</w:t>
      </w:r>
      <w:r w:rsidRPr="002D3E0E">
        <w:t xml:space="preserve">, 97. </w:t>
      </w:r>
    </w:p>
  </w:footnote>
  <w:footnote w:id="88">
    <w:p w14:paraId="2B84D4FA" w14:textId="75E7D14E" w:rsidR="00AF0958" w:rsidRPr="002D3E0E" w:rsidRDefault="00AF0958" w:rsidP="00AF0958">
      <w:pPr>
        <w:pStyle w:val="FootnoteText"/>
      </w:pPr>
      <w:r w:rsidRPr="002D3E0E">
        <w:rPr>
          <w:rStyle w:val="FootnoteReference"/>
        </w:rPr>
        <w:footnoteRef/>
      </w:r>
      <w:r w:rsidRPr="002D3E0E">
        <w:rPr>
          <w:lang w:val="fr-FR"/>
        </w:rPr>
        <w:t xml:space="preserve"> Richard A. Jackson, </w:t>
      </w:r>
      <w:r w:rsidRPr="002D3E0E">
        <w:rPr>
          <w:i/>
          <w:iCs/>
          <w:lang w:val="fr-FR"/>
        </w:rPr>
        <w:t xml:space="preserve">Vive le </w:t>
      </w:r>
      <w:proofErr w:type="gramStart"/>
      <w:r w:rsidRPr="002D3E0E">
        <w:rPr>
          <w:i/>
          <w:iCs/>
          <w:lang w:val="fr-FR"/>
        </w:rPr>
        <w:t>Roi!</w:t>
      </w:r>
      <w:proofErr w:type="gramEnd"/>
      <w:r w:rsidRPr="002D3E0E">
        <w:rPr>
          <w:i/>
          <w:iCs/>
          <w:lang w:val="fr-FR"/>
        </w:rPr>
        <w:t xml:space="preserve"> </w:t>
      </w:r>
      <w:r w:rsidRPr="002D3E0E">
        <w:rPr>
          <w:i/>
          <w:iCs/>
        </w:rPr>
        <w:t xml:space="preserve">A History of the French Coronation from Charles V to Charles X </w:t>
      </w:r>
      <w:r w:rsidRPr="002D3E0E">
        <w:t xml:space="preserve">(London, 1984), 24; Janet Nelson, ‘The Rites of the Conqueror’, </w:t>
      </w:r>
      <w:r w:rsidRPr="002D3E0E">
        <w:rPr>
          <w:i/>
          <w:iCs/>
        </w:rPr>
        <w:t xml:space="preserve">Anglo-Norman Studies </w:t>
      </w:r>
      <w:r w:rsidRPr="002D3E0E">
        <w:t>4 (1982), 117-32</w:t>
      </w:r>
      <w:r w:rsidR="00E45604" w:rsidRPr="002D3E0E">
        <w:t>, at</w:t>
      </w:r>
      <w:r w:rsidR="0029336C" w:rsidRPr="002D3E0E">
        <w:t xml:space="preserve"> </w:t>
      </w:r>
      <w:r w:rsidRPr="002D3E0E">
        <w:t>122.</w:t>
      </w:r>
    </w:p>
  </w:footnote>
  <w:footnote w:id="89">
    <w:p w14:paraId="21EB3CE9" w14:textId="41EEED79" w:rsidR="00AF0958" w:rsidRPr="002D3E0E" w:rsidRDefault="00AF0958" w:rsidP="00AF0958">
      <w:pPr>
        <w:pStyle w:val="FootnoteText"/>
      </w:pPr>
      <w:r w:rsidRPr="002D3E0E">
        <w:rPr>
          <w:rStyle w:val="FootnoteReference"/>
        </w:rPr>
        <w:footnoteRef/>
      </w:r>
      <w:r w:rsidRPr="002D3E0E">
        <w:t xml:space="preserve"> Jackson, </w:t>
      </w:r>
      <w:proofErr w:type="spellStart"/>
      <w:r w:rsidRPr="002D3E0E">
        <w:rPr>
          <w:i/>
          <w:iCs/>
        </w:rPr>
        <w:t>Vive</w:t>
      </w:r>
      <w:proofErr w:type="spellEnd"/>
      <w:r w:rsidRPr="002D3E0E">
        <w:rPr>
          <w:i/>
          <w:iCs/>
        </w:rPr>
        <w:t xml:space="preserve"> le </w:t>
      </w:r>
      <w:proofErr w:type="gramStart"/>
      <w:r w:rsidRPr="002D3E0E">
        <w:rPr>
          <w:i/>
          <w:iCs/>
        </w:rPr>
        <w:t>Roi!</w:t>
      </w:r>
      <w:r w:rsidRPr="002D3E0E">
        <w:t>,</w:t>
      </w:r>
      <w:proofErr w:type="gramEnd"/>
      <w:r w:rsidRPr="002D3E0E">
        <w:t xml:space="preserve"> 24.</w:t>
      </w:r>
    </w:p>
  </w:footnote>
  <w:footnote w:id="90">
    <w:p w14:paraId="588C7210" w14:textId="53A77927" w:rsidR="00AF0958" w:rsidRPr="002D3E0E" w:rsidRDefault="00AF0958" w:rsidP="00AF0958">
      <w:pPr>
        <w:pStyle w:val="FootnoteText"/>
      </w:pPr>
      <w:r w:rsidRPr="002D3E0E">
        <w:rPr>
          <w:rStyle w:val="FootnoteReference"/>
        </w:rPr>
        <w:footnoteRef/>
      </w:r>
      <w:r w:rsidRPr="002D3E0E">
        <w:t xml:space="preserve"> Roderick J. Lyall, ‘The Medieval Scottish Coronation Service: Some Seventeenth-century Evidence’, </w:t>
      </w:r>
      <w:r w:rsidRPr="002D3E0E">
        <w:rPr>
          <w:i/>
          <w:iCs/>
        </w:rPr>
        <w:t>I</w:t>
      </w:r>
      <w:r w:rsidR="006273E1" w:rsidRPr="002D3E0E">
        <w:rPr>
          <w:i/>
          <w:iCs/>
        </w:rPr>
        <w:t xml:space="preserve">nnes </w:t>
      </w:r>
      <w:r w:rsidRPr="002D3E0E">
        <w:rPr>
          <w:i/>
          <w:iCs/>
        </w:rPr>
        <w:t>R</w:t>
      </w:r>
      <w:r w:rsidR="006273E1" w:rsidRPr="002D3E0E">
        <w:rPr>
          <w:i/>
          <w:iCs/>
        </w:rPr>
        <w:t>eview</w:t>
      </w:r>
      <w:r w:rsidRPr="002D3E0E">
        <w:rPr>
          <w:i/>
          <w:iCs/>
        </w:rPr>
        <w:t xml:space="preserve"> </w:t>
      </w:r>
      <w:r w:rsidRPr="002D3E0E">
        <w:t>28</w:t>
      </w:r>
      <w:r w:rsidR="008D3DDB" w:rsidRPr="002D3E0E">
        <w:t xml:space="preserve"> </w:t>
      </w:r>
      <w:r w:rsidRPr="002D3E0E">
        <w:t>(2010), 3-21</w:t>
      </w:r>
      <w:r w:rsidR="008D3DDB" w:rsidRPr="002D3E0E">
        <w:t>, at</w:t>
      </w:r>
      <w:r w:rsidR="0029336C" w:rsidRPr="002D3E0E">
        <w:t xml:space="preserve"> </w:t>
      </w:r>
      <w:r w:rsidRPr="002D3E0E">
        <w:t>3.</w:t>
      </w:r>
    </w:p>
  </w:footnote>
  <w:footnote w:id="91">
    <w:p w14:paraId="1F00AB3A" w14:textId="79D86902" w:rsidR="00AF0958" w:rsidRPr="002D3E0E" w:rsidRDefault="00AF0958" w:rsidP="00AF0958">
      <w:pPr>
        <w:pStyle w:val="FootnoteText"/>
      </w:pPr>
      <w:r w:rsidRPr="002D3E0E">
        <w:rPr>
          <w:rStyle w:val="FootnoteReference"/>
        </w:rPr>
        <w:footnoteRef/>
      </w:r>
      <w:r w:rsidRPr="002D3E0E">
        <w:t xml:space="preserve"> Dean, ‘Crowns, Wedding Rings and Processions’, 125; Dean, </w:t>
      </w:r>
      <w:r w:rsidRPr="002D3E0E">
        <w:rPr>
          <w:i/>
          <w:iCs/>
        </w:rPr>
        <w:t>Death and the Royal Succession</w:t>
      </w:r>
      <w:r w:rsidRPr="002D3E0E">
        <w:t xml:space="preserve">, 102.   </w:t>
      </w:r>
    </w:p>
  </w:footnote>
  <w:footnote w:id="92">
    <w:p w14:paraId="61B54117" w14:textId="4E307FD8" w:rsidR="00225270" w:rsidRPr="002D3E0E" w:rsidRDefault="00225270">
      <w:pPr>
        <w:pStyle w:val="FootnoteText"/>
      </w:pPr>
      <w:r w:rsidRPr="002D3E0E">
        <w:rPr>
          <w:rStyle w:val="FootnoteReference"/>
        </w:rPr>
        <w:footnoteRef/>
      </w:r>
      <w:r w:rsidRPr="002D3E0E">
        <w:t xml:space="preserve"> Erich Hoffman, ‘Coronation and Coronation Ordines in Medieval Scandinavia’, in János M. Bak (ed.), </w:t>
      </w:r>
      <w:r w:rsidRPr="002D3E0E">
        <w:rPr>
          <w:i/>
          <w:iCs/>
        </w:rPr>
        <w:t>Coronations: Medieval and Early Modern Monarchic Ritual</w:t>
      </w:r>
      <w:r w:rsidRPr="002D3E0E">
        <w:t xml:space="preserve"> (Oxford, 1990), 125-143, at 127.</w:t>
      </w:r>
    </w:p>
  </w:footnote>
  <w:footnote w:id="93">
    <w:p w14:paraId="77B59A9F" w14:textId="3AEDC5B3" w:rsidR="00AF0958" w:rsidRPr="002D3E0E" w:rsidRDefault="00AF0958" w:rsidP="00AF0958">
      <w:pPr>
        <w:pStyle w:val="FootnoteText"/>
      </w:pPr>
      <w:r w:rsidRPr="002D3E0E">
        <w:rPr>
          <w:rStyle w:val="FootnoteReference"/>
        </w:rPr>
        <w:footnoteRef/>
      </w:r>
      <w:r w:rsidRPr="002D3E0E">
        <w:t xml:space="preserve"> </w:t>
      </w:r>
      <w:r w:rsidRPr="002D3E0E">
        <w:rPr>
          <w:i/>
          <w:iCs/>
        </w:rPr>
        <w:t xml:space="preserve">Chron. </w:t>
      </w:r>
      <w:proofErr w:type="spellStart"/>
      <w:r w:rsidRPr="002D3E0E">
        <w:rPr>
          <w:i/>
          <w:iCs/>
        </w:rPr>
        <w:t>Anonimalle</w:t>
      </w:r>
      <w:proofErr w:type="spellEnd"/>
      <w:r w:rsidRPr="002D3E0E">
        <w:rPr>
          <w:i/>
          <w:iCs/>
        </w:rPr>
        <w:t xml:space="preserve"> 1333 to 1381</w:t>
      </w:r>
      <w:r w:rsidRPr="002D3E0E">
        <w:t>, 109-11.</w:t>
      </w:r>
    </w:p>
  </w:footnote>
  <w:footnote w:id="94">
    <w:p w14:paraId="0CF9BBB4" w14:textId="3707791B" w:rsidR="00AF0958" w:rsidRPr="002D3E0E" w:rsidRDefault="00AF0958" w:rsidP="00AF0958">
      <w:pPr>
        <w:pStyle w:val="FootnoteText"/>
      </w:pPr>
      <w:r w:rsidRPr="002D3E0E">
        <w:rPr>
          <w:rStyle w:val="FootnoteReference"/>
        </w:rPr>
        <w:footnoteRef/>
      </w:r>
      <w:r w:rsidRPr="002D3E0E">
        <w:t xml:space="preserve"> Jackson, </w:t>
      </w:r>
      <w:proofErr w:type="spellStart"/>
      <w:r w:rsidRPr="002D3E0E">
        <w:rPr>
          <w:i/>
          <w:iCs/>
        </w:rPr>
        <w:t>Vive</w:t>
      </w:r>
      <w:proofErr w:type="spellEnd"/>
      <w:r w:rsidRPr="002D3E0E">
        <w:rPr>
          <w:i/>
          <w:iCs/>
        </w:rPr>
        <w:t xml:space="preserve"> le </w:t>
      </w:r>
      <w:proofErr w:type="gramStart"/>
      <w:r w:rsidRPr="002D3E0E">
        <w:rPr>
          <w:i/>
          <w:iCs/>
        </w:rPr>
        <w:t>Roi!</w:t>
      </w:r>
      <w:r w:rsidRPr="002D3E0E">
        <w:t>,</w:t>
      </w:r>
      <w:proofErr w:type="gramEnd"/>
      <w:r w:rsidRPr="002D3E0E">
        <w:t xml:space="preserve"> 24</w:t>
      </w:r>
      <w:r w:rsidRPr="002D3E0E">
        <w:rPr>
          <w:i/>
          <w:iCs/>
        </w:rPr>
        <w:t xml:space="preserve">; </w:t>
      </w:r>
      <w:r w:rsidRPr="002D3E0E">
        <w:t xml:space="preserve">Dale, </w:t>
      </w:r>
      <w:r w:rsidRPr="002D3E0E">
        <w:rPr>
          <w:i/>
          <w:iCs/>
        </w:rPr>
        <w:t>Inauguration</w:t>
      </w:r>
      <w:r w:rsidRPr="002D3E0E">
        <w:t>, 26-67.</w:t>
      </w:r>
    </w:p>
  </w:footnote>
  <w:footnote w:id="95">
    <w:p w14:paraId="1EF960AA" w14:textId="77777777" w:rsidR="008E3344" w:rsidRPr="002D3E0E" w:rsidRDefault="008E3344" w:rsidP="008E3344">
      <w:pPr>
        <w:pStyle w:val="FootnoteText"/>
      </w:pPr>
      <w:r w:rsidRPr="002D3E0E">
        <w:rPr>
          <w:rStyle w:val="FootnoteReference"/>
        </w:rPr>
        <w:footnoteRef/>
      </w:r>
      <w:r w:rsidRPr="002D3E0E">
        <w:t xml:space="preserve"> </w:t>
      </w:r>
      <w:proofErr w:type="spellStart"/>
      <w:r w:rsidRPr="002D3E0E">
        <w:t>Dauvit</w:t>
      </w:r>
      <w:proofErr w:type="spellEnd"/>
      <w:r w:rsidRPr="002D3E0E">
        <w:t xml:space="preserve"> Broun, ‘A new look at </w:t>
      </w:r>
      <w:proofErr w:type="spellStart"/>
      <w:r w:rsidRPr="002D3E0E">
        <w:rPr>
          <w:i/>
          <w:iCs/>
        </w:rPr>
        <w:t>Gesta</w:t>
      </w:r>
      <w:proofErr w:type="spellEnd"/>
      <w:r w:rsidRPr="002D3E0E">
        <w:rPr>
          <w:i/>
          <w:iCs/>
        </w:rPr>
        <w:t xml:space="preserve"> Annalia </w:t>
      </w:r>
      <w:r w:rsidRPr="002D3E0E">
        <w:t xml:space="preserve">attributed to John of Fordun’, in B. E. Crawford (ed.), </w:t>
      </w:r>
      <w:r w:rsidRPr="002D3E0E">
        <w:rPr>
          <w:i/>
          <w:iCs/>
        </w:rPr>
        <w:t xml:space="preserve">Church, Chronicle and Learning in Medieval and Early Renaissance Scotland: essays presented to Donald Watt on the completion of the publication of Bower’s </w:t>
      </w:r>
      <w:proofErr w:type="spellStart"/>
      <w:r w:rsidRPr="002D3E0E">
        <w:rPr>
          <w:i/>
          <w:iCs/>
        </w:rPr>
        <w:t>Scotichronicon</w:t>
      </w:r>
      <w:proofErr w:type="spellEnd"/>
      <w:r w:rsidRPr="002D3E0E">
        <w:t xml:space="preserve"> (Edinburgh, 1999), 9-30, at 15. </w:t>
      </w:r>
    </w:p>
  </w:footnote>
  <w:footnote w:id="96">
    <w:p w14:paraId="349C6E69" w14:textId="06D809F5" w:rsidR="00B543F5" w:rsidRPr="002D3E0E" w:rsidRDefault="000D5730">
      <w:pPr>
        <w:pStyle w:val="FootnoteText"/>
      </w:pPr>
      <w:r w:rsidRPr="002D3E0E">
        <w:rPr>
          <w:rStyle w:val="FootnoteReference"/>
        </w:rPr>
        <w:footnoteRef/>
      </w:r>
      <w:r w:rsidRPr="002D3E0E">
        <w:t xml:space="preserve"> </w:t>
      </w:r>
      <w:r w:rsidRPr="002D3E0E">
        <w:rPr>
          <w:i/>
          <w:iCs/>
        </w:rPr>
        <w:t>ER</w:t>
      </w:r>
      <w:r w:rsidRPr="002D3E0E">
        <w:t xml:space="preserve">, </w:t>
      </w:r>
      <w:proofErr w:type="spellStart"/>
      <w:r w:rsidRPr="002D3E0E">
        <w:t>i</w:t>
      </w:r>
      <w:proofErr w:type="spellEnd"/>
      <w:r w:rsidRPr="002D3E0E">
        <w:t>, 380-1, 384-5, 402-3</w:t>
      </w:r>
      <w:r w:rsidR="00B543F5" w:rsidRPr="002D3E0E">
        <w:t xml:space="preserve">; </w:t>
      </w:r>
      <w:r w:rsidRPr="002D3E0E">
        <w:t>Dean, ‘Crowning the Child’, 264</w:t>
      </w:r>
      <w:r w:rsidR="00B543F5" w:rsidRPr="002D3E0E">
        <w:t xml:space="preserve">; Penman, </w:t>
      </w:r>
      <w:r w:rsidR="00B543F5" w:rsidRPr="002D3E0E">
        <w:rPr>
          <w:i/>
          <w:iCs/>
        </w:rPr>
        <w:t>David II</w:t>
      </w:r>
      <w:r w:rsidR="00B543F5" w:rsidRPr="002D3E0E">
        <w:t xml:space="preserve">, 45. </w:t>
      </w:r>
    </w:p>
  </w:footnote>
  <w:footnote w:id="97">
    <w:p w14:paraId="1DC2AB1A" w14:textId="66824D49" w:rsidR="00BA658B" w:rsidRPr="002D3E0E" w:rsidRDefault="00BA658B" w:rsidP="00BA658B">
      <w:pPr>
        <w:pStyle w:val="FootnoteText"/>
      </w:pPr>
      <w:r w:rsidRPr="002D3E0E">
        <w:rPr>
          <w:rStyle w:val="FootnoteReference"/>
        </w:rPr>
        <w:footnoteRef/>
      </w:r>
      <w:r w:rsidRPr="002D3E0E">
        <w:t xml:space="preserve"> Enright, </w:t>
      </w:r>
      <w:r w:rsidRPr="002D3E0E">
        <w:rPr>
          <w:i/>
          <w:iCs/>
        </w:rPr>
        <w:t>Iona, Tara, and Soissons</w:t>
      </w:r>
      <w:r w:rsidRPr="002D3E0E">
        <w:t xml:space="preserve">, 10-17.  </w:t>
      </w:r>
    </w:p>
  </w:footnote>
  <w:footnote w:id="98">
    <w:p w14:paraId="502AB406" w14:textId="6AE0EF2E" w:rsidR="00BA658B" w:rsidRPr="002D3E0E" w:rsidRDefault="00BA658B" w:rsidP="00BA658B">
      <w:pPr>
        <w:pStyle w:val="FootnoteText"/>
      </w:pPr>
      <w:r w:rsidRPr="002D3E0E">
        <w:rPr>
          <w:rStyle w:val="FootnoteReference"/>
        </w:rPr>
        <w:footnoteRef/>
      </w:r>
      <w:r w:rsidRPr="002D3E0E">
        <w:t xml:space="preserve"> A.</w:t>
      </w:r>
      <w:r w:rsidR="008D3DDB" w:rsidRPr="002D3E0E">
        <w:t xml:space="preserve"> </w:t>
      </w:r>
      <w:r w:rsidRPr="002D3E0E">
        <w:t>A.</w:t>
      </w:r>
      <w:r w:rsidR="008D3DDB" w:rsidRPr="002D3E0E">
        <w:t xml:space="preserve"> </w:t>
      </w:r>
      <w:r w:rsidRPr="002D3E0E">
        <w:t xml:space="preserve">M. Duncan, </w:t>
      </w:r>
      <w:r w:rsidRPr="002D3E0E">
        <w:rPr>
          <w:i/>
          <w:iCs/>
        </w:rPr>
        <w:t xml:space="preserve">Scotland: The Making of the Kingdom </w:t>
      </w:r>
      <w:r w:rsidRPr="002D3E0E">
        <w:t xml:space="preserve">(Edinburgh, 1975), 555. </w:t>
      </w:r>
    </w:p>
  </w:footnote>
  <w:footnote w:id="99">
    <w:p w14:paraId="11493122" w14:textId="179652DB" w:rsidR="00BA658B" w:rsidRPr="002D3E0E" w:rsidRDefault="00BA658B" w:rsidP="00BA658B">
      <w:pPr>
        <w:pStyle w:val="FootnoteText"/>
      </w:pPr>
      <w:r w:rsidRPr="002D3E0E">
        <w:rPr>
          <w:rStyle w:val="FootnoteReference"/>
        </w:rPr>
        <w:footnoteRef/>
      </w:r>
      <w:r w:rsidRPr="002D3E0E">
        <w:t xml:space="preserve"> Broun, </w:t>
      </w:r>
      <w:r w:rsidRPr="002D3E0E">
        <w:rPr>
          <w:i/>
          <w:iCs/>
        </w:rPr>
        <w:t>Scottish Independence</w:t>
      </w:r>
      <w:r w:rsidRPr="002D3E0E">
        <w:t>, 172.</w:t>
      </w:r>
    </w:p>
  </w:footnote>
  <w:footnote w:id="100">
    <w:p w14:paraId="3FEEAEDB" w14:textId="55D44F20" w:rsidR="00BA658B" w:rsidRPr="002D3E0E" w:rsidRDefault="00BA658B" w:rsidP="00BA658B">
      <w:pPr>
        <w:pStyle w:val="FootnoteText"/>
      </w:pPr>
      <w:r w:rsidRPr="002D3E0E">
        <w:rPr>
          <w:rStyle w:val="FootnoteReference"/>
        </w:rPr>
        <w:footnoteRef/>
      </w:r>
      <w:r w:rsidRPr="002D3E0E">
        <w:t xml:space="preserve"> Richard Oram, </w:t>
      </w:r>
      <w:r w:rsidRPr="002D3E0E">
        <w:rPr>
          <w:i/>
          <w:iCs/>
        </w:rPr>
        <w:t xml:space="preserve">Domination and Lordship: Scotland, 1070 – 1230 </w:t>
      </w:r>
      <w:r w:rsidRPr="002D3E0E">
        <w:t xml:space="preserve">(Edinburgh, 2011), 65. Notably, this characterisation comes from the English chronicler Aelred of Rievaulx. </w:t>
      </w:r>
    </w:p>
  </w:footnote>
  <w:footnote w:id="101">
    <w:p w14:paraId="42B6E8AA" w14:textId="3C68313A" w:rsidR="00BA658B" w:rsidRPr="002D3E0E" w:rsidRDefault="00BA658B" w:rsidP="00BA658B">
      <w:pPr>
        <w:pStyle w:val="FootnoteText"/>
      </w:pPr>
      <w:r w:rsidRPr="002D3E0E">
        <w:rPr>
          <w:rStyle w:val="FootnoteReference"/>
        </w:rPr>
        <w:footnoteRef/>
      </w:r>
      <w:r w:rsidRPr="002D3E0E">
        <w:t xml:space="preserve"> Duncan, </w:t>
      </w:r>
      <w:r w:rsidRPr="002D3E0E">
        <w:rPr>
          <w:i/>
          <w:iCs/>
        </w:rPr>
        <w:t>Making of the Kingdom</w:t>
      </w:r>
      <w:r w:rsidRPr="002D3E0E">
        <w:t xml:space="preserve">, 553-4.  </w:t>
      </w:r>
    </w:p>
  </w:footnote>
  <w:footnote w:id="102">
    <w:p w14:paraId="7E08AB2E" w14:textId="241D42F2" w:rsidR="00BA658B" w:rsidRPr="002D3E0E" w:rsidRDefault="00BA658B" w:rsidP="00BA658B">
      <w:pPr>
        <w:pStyle w:val="FootnoteText"/>
      </w:pPr>
      <w:r w:rsidRPr="002D3E0E">
        <w:rPr>
          <w:rStyle w:val="FootnoteReference"/>
        </w:rPr>
        <w:footnoteRef/>
      </w:r>
      <w:r w:rsidRPr="002D3E0E">
        <w:t xml:space="preserve"> Duncan, </w:t>
      </w:r>
      <w:r w:rsidRPr="002D3E0E">
        <w:rPr>
          <w:i/>
          <w:iCs/>
        </w:rPr>
        <w:t>Making of the Kingdom</w:t>
      </w:r>
      <w:r w:rsidRPr="002D3E0E">
        <w:t xml:space="preserve">, 554.  </w:t>
      </w:r>
    </w:p>
  </w:footnote>
  <w:footnote w:id="103">
    <w:p w14:paraId="2D9BF35B" w14:textId="3819436F" w:rsidR="00BA658B" w:rsidRPr="002D3E0E" w:rsidRDefault="00BA658B" w:rsidP="00BA658B">
      <w:pPr>
        <w:pStyle w:val="FootnoteText"/>
      </w:pPr>
      <w:r w:rsidRPr="002D3E0E">
        <w:rPr>
          <w:rStyle w:val="FootnoteReference"/>
        </w:rPr>
        <w:footnoteRef/>
      </w:r>
      <w:r w:rsidRPr="002D3E0E">
        <w:t xml:space="preserve"> Duncan, </w:t>
      </w:r>
      <w:r w:rsidRPr="002D3E0E">
        <w:rPr>
          <w:i/>
          <w:iCs/>
        </w:rPr>
        <w:t>Making of the Kingdom</w:t>
      </w:r>
      <w:r w:rsidRPr="002D3E0E">
        <w:t xml:space="preserve">, 554-5; Broun, </w:t>
      </w:r>
      <w:r w:rsidRPr="002D3E0E">
        <w:rPr>
          <w:i/>
          <w:iCs/>
        </w:rPr>
        <w:t>Scottish Independence</w:t>
      </w:r>
      <w:r w:rsidRPr="002D3E0E">
        <w:t>, 171</w:t>
      </w:r>
      <w:r w:rsidR="008D3DDB" w:rsidRPr="002D3E0E">
        <w:t xml:space="preserve"> and</w:t>
      </w:r>
      <w:r w:rsidRPr="002D3E0E">
        <w:t xml:space="preserve"> 179.</w:t>
      </w:r>
      <w:r w:rsidR="006E509E" w:rsidRPr="002D3E0E">
        <w:t xml:space="preserve"> Based on Broun’s recent revised dating for </w:t>
      </w:r>
      <w:proofErr w:type="spellStart"/>
      <w:r w:rsidR="006E509E" w:rsidRPr="002D3E0E">
        <w:rPr>
          <w:i/>
          <w:iCs/>
        </w:rPr>
        <w:t>Gesta</w:t>
      </w:r>
      <w:proofErr w:type="spellEnd"/>
      <w:r w:rsidR="006E509E" w:rsidRPr="002D3E0E">
        <w:rPr>
          <w:i/>
          <w:iCs/>
        </w:rPr>
        <w:t xml:space="preserve"> Annalia I </w:t>
      </w:r>
      <w:r w:rsidR="006E509E" w:rsidRPr="002D3E0E">
        <w:t>to c.1320s (n. 7), it is possible that ‘consecrated’ is a piece of political propaganda by the Bruce government seeking to underline that the Scottish king ruled with divine blessing</w:t>
      </w:r>
      <w:r w:rsidR="00A84691" w:rsidRPr="002D3E0E">
        <w:t>. Such allusions are</w:t>
      </w:r>
      <w:r w:rsidR="006E509E" w:rsidRPr="002D3E0E">
        <w:t xml:space="preserve"> also found in texts such as </w:t>
      </w:r>
      <w:proofErr w:type="spellStart"/>
      <w:r w:rsidR="006E509E" w:rsidRPr="002D3E0E">
        <w:rPr>
          <w:i/>
          <w:iCs/>
        </w:rPr>
        <w:t>Regiam</w:t>
      </w:r>
      <w:proofErr w:type="spellEnd"/>
      <w:r w:rsidR="006E509E" w:rsidRPr="002D3E0E">
        <w:rPr>
          <w:i/>
          <w:iCs/>
        </w:rPr>
        <w:t xml:space="preserve"> </w:t>
      </w:r>
      <w:proofErr w:type="spellStart"/>
      <w:r w:rsidR="006E509E" w:rsidRPr="002D3E0E">
        <w:rPr>
          <w:i/>
          <w:iCs/>
        </w:rPr>
        <w:t>maiestatem</w:t>
      </w:r>
      <w:proofErr w:type="spellEnd"/>
      <w:r w:rsidR="006E509E" w:rsidRPr="002D3E0E">
        <w:rPr>
          <w:i/>
          <w:iCs/>
        </w:rPr>
        <w:t xml:space="preserve"> </w:t>
      </w:r>
      <w:r w:rsidR="006E509E" w:rsidRPr="002D3E0E">
        <w:t>and the Declaration of Arbroath</w:t>
      </w:r>
      <w:r w:rsidR="00A84691" w:rsidRPr="002D3E0E">
        <w:t xml:space="preserve"> dating to the same period. </w:t>
      </w:r>
    </w:p>
  </w:footnote>
  <w:footnote w:id="104">
    <w:p w14:paraId="52D3B669" w14:textId="2BCEFC5B" w:rsidR="00BA658B" w:rsidRPr="002D3E0E" w:rsidRDefault="00BA658B" w:rsidP="00BA658B">
      <w:pPr>
        <w:pStyle w:val="FootnoteText"/>
      </w:pPr>
      <w:r w:rsidRPr="002D3E0E">
        <w:rPr>
          <w:rStyle w:val="FootnoteReference"/>
        </w:rPr>
        <w:footnoteRef/>
      </w:r>
      <w:r w:rsidRPr="002D3E0E">
        <w:t xml:space="preserve"> Broun, </w:t>
      </w:r>
      <w:r w:rsidRPr="002D3E0E">
        <w:rPr>
          <w:i/>
          <w:iCs/>
        </w:rPr>
        <w:t>Scottish Independence</w:t>
      </w:r>
      <w:r w:rsidRPr="002D3E0E">
        <w:t>, 171</w:t>
      </w:r>
      <w:r w:rsidR="008D3DDB" w:rsidRPr="002D3E0E">
        <w:t xml:space="preserve"> and</w:t>
      </w:r>
      <w:r w:rsidRPr="002D3E0E">
        <w:t xml:space="preserve"> 179; Duncan, </w:t>
      </w:r>
      <w:r w:rsidRPr="002D3E0E">
        <w:rPr>
          <w:i/>
          <w:iCs/>
        </w:rPr>
        <w:t>Making of the Kingdom</w:t>
      </w:r>
      <w:r w:rsidRPr="002D3E0E">
        <w:t>, 557.</w:t>
      </w:r>
    </w:p>
  </w:footnote>
  <w:footnote w:id="105">
    <w:p w14:paraId="1F09B782" w14:textId="53B4D4B5" w:rsidR="00BA658B" w:rsidRPr="002D3E0E" w:rsidRDefault="00BA658B" w:rsidP="00BA658B">
      <w:pPr>
        <w:pStyle w:val="FootnoteText"/>
      </w:pPr>
      <w:r w:rsidRPr="002D3E0E">
        <w:rPr>
          <w:rStyle w:val="FootnoteReference"/>
        </w:rPr>
        <w:footnoteRef/>
      </w:r>
      <w:r w:rsidRPr="002D3E0E">
        <w:t xml:space="preserve"> Norman Reid, </w:t>
      </w:r>
      <w:r w:rsidRPr="002D3E0E">
        <w:rPr>
          <w:i/>
          <w:iCs/>
        </w:rPr>
        <w:t xml:space="preserve">Alexander III 1249-1286: First Among Equals </w:t>
      </w:r>
      <w:r w:rsidRPr="002D3E0E">
        <w:t xml:space="preserve">(Edinburgh, 2019), 17; Broun, </w:t>
      </w:r>
      <w:r w:rsidRPr="002D3E0E">
        <w:rPr>
          <w:i/>
          <w:iCs/>
        </w:rPr>
        <w:t>Scottish Independence</w:t>
      </w:r>
      <w:r w:rsidRPr="002D3E0E">
        <w:t xml:space="preserve">, 181; Duncan, </w:t>
      </w:r>
      <w:r w:rsidRPr="002D3E0E">
        <w:rPr>
          <w:i/>
          <w:iCs/>
        </w:rPr>
        <w:t>Kingship of the Scots</w:t>
      </w:r>
      <w:r w:rsidRPr="002D3E0E">
        <w:t xml:space="preserve">, 149.  </w:t>
      </w:r>
    </w:p>
  </w:footnote>
  <w:footnote w:id="106">
    <w:p w14:paraId="52D1B624" w14:textId="6AAEAD2C" w:rsidR="00BA658B" w:rsidRPr="002D3E0E" w:rsidRDefault="00BA658B" w:rsidP="00BA658B">
      <w:pPr>
        <w:pStyle w:val="FootnoteText"/>
      </w:pPr>
      <w:r w:rsidRPr="002D3E0E">
        <w:rPr>
          <w:rStyle w:val="FootnoteReference"/>
        </w:rPr>
        <w:footnoteRef/>
      </w:r>
      <w:r w:rsidRPr="002D3E0E">
        <w:t xml:space="preserve"> Broun, </w:t>
      </w:r>
      <w:r w:rsidRPr="002D3E0E">
        <w:rPr>
          <w:i/>
          <w:iCs/>
        </w:rPr>
        <w:t xml:space="preserve">Scottish Independence, </w:t>
      </w:r>
      <w:r w:rsidRPr="002D3E0E">
        <w:t xml:space="preserve">172-3.  </w:t>
      </w:r>
    </w:p>
  </w:footnote>
  <w:footnote w:id="107">
    <w:p w14:paraId="52455A98" w14:textId="3E24C50C" w:rsidR="00BA658B" w:rsidRPr="002D3E0E" w:rsidRDefault="00BA658B" w:rsidP="00BA658B">
      <w:pPr>
        <w:pStyle w:val="FootnoteText"/>
      </w:pPr>
      <w:r w:rsidRPr="002D3E0E">
        <w:rPr>
          <w:rStyle w:val="FootnoteReference"/>
        </w:rPr>
        <w:footnoteRef/>
      </w:r>
      <w:r w:rsidRPr="002D3E0E">
        <w:t xml:space="preserve"> </w:t>
      </w:r>
      <w:r w:rsidRPr="002D3E0E">
        <w:rPr>
          <w:i/>
          <w:iCs/>
        </w:rPr>
        <w:t>Chron. Wyntoun</w:t>
      </w:r>
      <w:r w:rsidRPr="002D3E0E">
        <w:t xml:space="preserve">, </w:t>
      </w:r>
      <w:r w:rsidR="008D3DDB" w:rsidRPr="002D3E0E">
        <w:t>v</w:t>
      </w:r>
      <w:r w:rsidRPr="002D3E0E">
        <w:t xml:space="preserve">, 384-5. </w:t>
      </w:r>
    </w:p>
  </w:footnote>
  <w:footnote w:id="108">
    <w:p w14:paraId="1405CE26" w14:textId="2D0F2B3F" w:rsidR="00325BCE" w:rsidRPr="002D3E0E" w:rsidRDefault="00325BCE">
      <w:pPr>
        <w:pStyle w:val="FootnoteText"/>
      </w:pPr>
      <w:r w:rsidRPr="002D3E0E">
        <w:rPr>
          <w:rStyle w:val="FootnoteReference"/>
        </w:rPr>
        <w:footnoteRef/>
      </w:r>
      <w:r w:rsidRPr="002D3E0E">
        <w:t xml:space="preserve"> In August 1315, there was still a connection between the earldom of Fife and the right to enthrone the king as detailed by an indenture (</w:t>
      </w:r>
      <w:r w:rsidRPr="002D3E0E">
        <w:rPr>
          <w:i/>
          <w:iCs/>
        </w:rPr>
        <w:t>RRS</w:t>
      </w:r>
      <w:r w:rsidRPr="002D3E0E">
        <w:t>, v, 72)</w:t>
      </w:r>
      <w:r w:rsidR="00F21DE8" w:rsidRPr="002D3E0E">
        <w:t xml:space="preserve">. It is tempting to point to Bower’s account of </w:t>
      </w:r>
      <w:r w:rsidR="00CA04D4" w:rsidRPr="002D3E0E">
        <w:t>the D</w:t>
      </w:r>
      <w:r w:rsidR="00F21DE8" w:rsidRPr="002D3E0E">
        <w:t xml:space="preserve">uke </w:t>
      </w:r>
      <w:r w:rsidR="00CA04D4" w:rsidRPr="002D3E0E">
        <w:t>o</w:t>
      </w:r>
      <w:r w:rsidR="00F21DE8" w:rsidRPr="002D3E0E">
        <w:t>f Albany installing James I on the throne in 1424 as evidence of a continued tradition</w:t>
      </w:r>
      <w:r w:rsidR="00846C16" w:rsidRPr="002D3E0E">
        <w:t xml:space="preserve"> (</w:t>
      </w:r>
      <w:r w:rsidR="00846C16" w:rsidRPr="002D3E0E">
        <w:rPr>
          <w:i/>
          <w:iCs/>
        </w:rPr>
        <w:t>Chron. Bower</w:t>
      </w:r>
      <w:r w:rsidR="00846C16" w:rsidRPr="002D3E0E">
        <w:t>, viii, 221). However,</w:t>
      </w:r>
      <w:r w:rsidR="00F21DE8" w:rsidRPr="002D3E0E">
        <w:t xml:space="preserve"> Fife’s </w:t>
      </w:r>
      <w:r w:rsidR="00CA04D4" w:rsidRPr="002D3E0E">
        <w:t xml:space="preserve">traditional </w:t>
      </w:r>
      <w:r w:rsidR="00F21DE8" w:rsidRPr="002D3E0E">
        <w:t>role is on</w:t>
      </w:r>
      <w:r w:rsidR="00846C16" w:rsidRPr="002D3E0E">
        <w:t>ly</w:t>
      </w:r>
      <w:r w:rsidR="00F21DE8" w:rsidRPr="002D3E0E">
        <w:t xml:space="preserve"> mentioned in relation to the inaugurations of Robert I (when it was performed by a Countess Isabella of Buchan)</w:t>
      </w:r>
      <w:r w:rsidR="00CA04D4" w:rsidRPr="002D3E0E">
        <w:t xml:space="preserve"> in 1306</w:t>
      </w:r>
      <w:r w:rsidR="00F21DE8" w:rsidRPr="002D3E0E">
        <w:t xml:space="preserve"> and Edward Balliol</w:t>
      </w:r>
      <w:r w:rsidR="00CA04D4" w:rsidRPr="002D3E0E">
        <w:t xml:space="preserve"> in 1332</w:t>
      </w:r>
      <w:r w:rsidR="00F21DE8" w:rsidRPr="002D3E0E">
        <w:t xml:space="preserve">. Balliol’s inauguration </w:t>
      </w:r>
      <w:r w:rsidR="00846C16" w:rsidRPr="002D3E0E">
        <w:t xml:space="preserve">in 1332 </w:t>
      </w:r>
      <w:r w:rsidR="00F21DE8" w:rsidRPr="002D3E0E">
        <w:t>seems to have returned to the earlier kingmaking ritual</w:t>
      </w:r>
      <w:r w:rsidR="00CA04D4" w:rsidRPr="002D3E0E">
        <w:t xml:space="preserve"> and probably</w:t>
      </w:r>
      <w:r w:rsidR="00F21DE8" w:rsidRPr="002D3E0E">
        <w:t xml:space="preserve"> did not include unction (McHugh, </w:t>
      </w:r>
      <w:r w:rsidR="00846C16" w:rsidRPr="002D3E0E">
        <w:t>‘</w:t>
      </w:r>
      <w:proofErr w:type="spellStart"/>
      <w:r w:rsidR="00846C16" w:rsidRPr="002D3E0E">
        <w:rPr>
          <w:i/>
          <w:iCs/>
        </w:rPr>
        <w:t>Foi</w:t>
      </w:r>
      <w:proofErr w:type="spellEnd"/>
      <w:r w:rsidR="00846C16" w:rsidRPr="002D3E0E">
        <w:rPr>
          <w:i/>
          <w:iCs/>
        </w:rPr>
        <w:t xml:space="preserve"> e </w:t>
      </w:r>
      <w:proofErr w:type="spellStart"/>
      <w:r w:rsidR="00846C16" w:rsidRPr="002D3E0E">
        <w:rPr>
          <w:i/>
          <w:iCs/>
        </w:rPr>
        <w:t>Leuté</w:t>
      </w:r>
      <w:proofErr w:type="spellEnd"/>
      <w:r w:rsidR="00846C16" w:rsidRPr="002D3E0E">
        <w:t xml:space="preserve">’, 72-75. </w:t>
      </w:r>
    </w:p>
  </w:footnote>
  <w:footnote w:id="109">
    <w:p w14:paraId="49B1590D" w14:textId="0F7BEB9E" w:rsidR="00BA658B" w:rsidRPr="002D3E0E" w:rsidRDefault="00BA658B" w:rsidP="00BA658B">
      <w:pPr>
        <w:pStyle w:val="FootnoteText"/>
      </w:pPr>
      <w:r w:rsidRPr="002D3E0E">
        <w:rPr>
          <w:rStyle w:val="FootnoteReference"/>
        </w:rPr>
        <w:footnoteRef/>
      </w:r>
      <w:r w:rsidRPr="002D3E0E">
        <w:t xml:space="preserve"> Nelson, </w:t>
      </w:r>
      <w:r w:rsidRPr="002D3E0E">
        <w:rPr>
          <w:i/>
          <w:iCs/>
        </w:rPr>
        <w:t>Politics and Ritual</w:t>
      </w:r>
      <w:r w:rsidRPr="002D3E0E">
        <w:t>, 251-2.</w:t>
      </w:r>
    </w:p>
  </w:footnote>
  <w:footnote w:id="110">
    <w:p w14:paraId="33B22DC7" w14:textId="5EF7863E" w:rsidR="00BA658B" w:rsidRPr="002D3E0E" w:rsidRDefault="00BA658B" w:rsidP="00BA658B">
      <w:pPr>
        <w:pStyle w:val="FootnoteText"/>
      </w:pPr>
      <w:r w:rsidRPr="002D3E0E">
        <w:rPr>
          <w:rStyle w:val="FootnoteReference"/>
        </w:rPr>
        <w:footnoteRef/>
      </w:r>
      <w:r w:rsidRPr="002D3E0E">
        <w:t xml:space="preserve"> Jaume Aurell, ‘Strategies of Royal Self-fashioning: Iberian Kings’ Self-coronations’, in </w:t>
      </w:r>
      <w:r w:rsidR="008D3DDB" w:rsidRPr="002D3E0E">
        <w:t xml:space="preserve">Laura </w:t>
      </w:r>
      <w:proofErr w:type="spellStart"/>
      <w:r w:rsidR="008D3DDB" w:rsidRPr="002D3E0E">
        <w:t>Delbrugge</w:t>
      </w:r>
      <w:proofErr w:type="spellEnd"/>
      <w:r w:rsidR="008D3DDB" w:rsidRPr="002D3E0E">
        <w:t xml:space="preserve"> (ed.), </w:t>
      </w:r>
      <w:r w:rsidRPr="002D3E0E">
        <w:rPr>
          <w:i/>
          <w:iCs/>
        </w:rPr>
        <w:t>Self-Fashioning and Assumptions of Identity in Medieval and Early Modern Iberia</w:t>
      </w:r>
      <w:r w:rsidR="008D3DDB" w:rsidRPr="002D3E0E">
        <w:rPr>
          <w:i/>
          <w:iCs/>
        </w:rPr>
        <w:t xml:space="preserve"> </w:t>
      </w:r>
      <w:r w:rsidRPr="002D3E0E">
        <w:t xml:space="preserve">(Leiden, 2015), 18-45. </w:t>
      </w:r>
    </w:p>
  </w:footnote>
  <w:footnote w:id="111">
    <w:p w14:paraId="5592EDE7" w14:textId="60114AF8" w:rsidR="00BA658B" w:rsidRPr="002D3E0E" w:rsidRDefault="00BA658B" w:rsidP="00BA658B">
      <w:pPr>
        <w:pStyle w:val="FootnoteText"/>
      </w:pPr>
      <w:r w:rsidRPr="002D3E0E">
        <w:rPr>
          <w:rStyle w:val="FootnoteReference"/>
        </w:rPr>
        <w:footnoteRef/>
      </w:r>
      <w:r w:rsidRPr="002D3E0E">
        <w:t xml:space="preserve"> Dale, </w:t>
      </w:r>
      <w:r w:rsidRPr="002D3E0E">
        <w:rPr>
          <w:i/>
          <w:iCs/>
        </w:rPr>
        <w:t>Inaugurations</w:t>
      </w:r>
      <w:r w:rsidRPr="002D3E0E">
        <w:t xml:space="preserve">, 111. </w:t>
      </w:r>
    </w:p>
  </w:footnote>
  <w:footnote w:id="112">
    <w:p w14:paraId="00BDA31E" w14:textId="77777777" w:rsidR="00BA658B" w:rsidRPr="002D3E0E" w:rsidRDefault="00BA658B" w:rsidP="00BA658B">
      <w:pPr>
        <w:pStyle w:val="FootnoteText"/>
      </w:pPr>
      <w:r w:rsidRPr="002D3E0E">
        <w:rPr>
          <w:rStyle w:val="FootnoteReference"/>
        </w:rPr>
        <w:footnoteRef/>
      </w:r>
      <w:r w:rsidRPr="002D3E0E">
        <w:t xml:space="preserve"> </w:t>
      </w:r>
      <w:r w:rsidRPr="002D3E0E">
        <w:rPr>
          <w:i/>
          <w:iCs/>
        </w:rPr>
        <w:t>Ibid</w:t>
      </w:r>
      <w:r w:rsidRPr="002D3E0E">
        <w:t xml:space="preserve">. </w:t>
      </w:r>
    </w:p>
  </w:footnote>
  <w:footnote w:id="113">
    <w:p w14:paraId="06277478" w14:textId="17A392EF" w:rsidR="00BA658B" w:rsidRPr="002D3E0E" w:rsidRDefault="00BA658B" w:rsidP="00BA658B">
      <w:pPr>
        <w:pStyle w:val="FootnoteText"/>
        <w:rPr>
          <w:b/>
          <w:bCs/>
        </w:rPr>
      </w:pPr>
      <w:r w:rsidRPr="002D3E0E">
        <w:rPr>
          <w:rStyle w:val="FootnoteReference"/>
        </w:rPr>
        <w:footnoteRef/>
      </w:r>
      <w:r w:rsidRPr="002D3E0E">
        <w:t xml:space="preserve"> </w:t>
      </w:r>
      <w:r w:rsidR="005F4C23" w:rsidRPr="002D3E0E">
        <w:t xml:space="preserve">Augustinus Theiner (ed.), </w:t>
      </w:r>
      <w:proofErr w:type="spellStart"/>
      <w:r w:rsidR="00883220" w:rsidRPr="002D3E0E">
        <w:rPr>
          <w:i/>
          <w:iCs/>
        </w:rPr>
        <w:t>Vetera</w:t>
      </w:r>
      <w:proofErr w:type="spellEnd"/>
      <w:r w:rsidR="00883220" w:rsidRPr="002D3E0E">
        <w:rPr>
          <w:i/>
          <w:iCs/>
        </w:rPr>
        <w:t xml:space="preserve"> </w:t>
      </w:r>
      <w:proofErr w:type="spellStart"/>
      <w:r w:rsidR="00883220" w:rsidRPr="002D3E0E">
        <w:rPr>
          <w:i/>
          <w:iCs/>
        </w:rPr>
        <w:t>Monumenta</w:t>
      </w:r>
      <w:proofErr w:type="spellEnd"/>
      <w:r w:rsidR="00883220" w:rsidRPr="002D3E0E">
        <w:rPr>
          <w:i/>
          <w:iCs/>
        </w:rPr>
        <w:t xml:space="preserve"> </w:t>
      </w:r>
      <w:proofErr w:type="spellStart"/>
      <w:r w:rsidR="00883220" w:rsidRPr="002D3E0E">
        <w:rPr>
          <w:i/>
          <w:iCs/>
        </w:rPr>
        <w:t>Hibernorum</w:t>
      </w:r>
      <w:proofErr w:type="spellEnd"/>
      <w:r w:rsidR="00883220" w:rsidRPr="002D3E0E">
        <w:rPr>
          <w:i/>
          <w:iCs/>
        </w:rPr>
        <w:t xml:space="preserve"> et </w:t>
      </w:r>
      <w:proofErr w:type="spellStart"/>
      <w:r w:rsidR="00883220" w:rsidRPr="002D3E0E">
        <w:rPr>
          <w:i/>
          <w:iCs/>
        </w:rPr>
        <w:t>Scotorum</w:t>
      </w:r>
      <w:proofErr w:type="spellEnd"/>
      <w:r w:rsidR="00883220" w:rsidRPr="002D3E0E">
        <w:rPr>
          <w:i/>
          <w:iCs/>
        </w:rPr>
        <w:t xml:space="preserve"> </w:t>
      </w:r>
      <w:proofErr w:type="spellStart"/>
      <w:r w:rsidR="00883220" w:rsidRPr="002D3E0E">
        <w:rPr>
          <w:i/>
          <w:iCs/>
        </w:rPr>
        <w:t>Historiam</w:t>
      </w:r>
      <w:proofErr w:type="spellEnd"/>
      <w:r w:rsidR="00883220" w:rsidRPr="002D3E0E">
        <w:rPr>
          <w:i/>
          <w:iCs/>
        </w:rPr>
        <w:t xml:space="preserve"> </w:t>
      </w:r>
      <w:proofErr w:type="spellStart"/>
      <w:r w:rsidR="00883220" w:rsidRPr="002D3E0E">
        <w:rPr>
          <w:i/>
          <w:iCs/>
        </w:rPr>
        <w:t>Illustrantia</w:t>
      </w:r>
      <w:proofErr w:type="spellEnd"/>
      <w:r w:rsidR="00883220" w:rsidRPr="002D3E0E">
        <w:rPr>
          <w:i/>
          <w:iCs/>
        </w:rPr>
        <w:t xml:space="preserve"> </w:t>
      </w:r>
      <w:proofErr w:type="spellStart"/>
      <w:r w:rsidR="00883220" w:rsidRPr="002D3E0E">
        <w:rPr>
          <w:i/>
          <w:iCs/>
        </w:rPr>
        <w:t>quae</w:t>
      </w:r>
      <w:proofErr w:type="spellEnd"/>
      <w:r w:rsidR="00883220" w:rsidRPr="002D3E0E">
        <w:rPr>
          <w:i/>
          <w:iCs/>
        </w:rPr>
        <w:t xml:space="preserve"> ex </w:t>
      </w:r>
      <w:proofErr w:type="spellStart"/>
      <w:r w:rsidR="00883220" w:rsidRPr="002D3E0E">
        <w:rPr>
          <w:i/>
          <w:iCs/>
        </w:rPr>
        <w:t>Vaticani</w:t>
      </w:r>
      <w:proofErr w:type="spellEnd"/>
      <w:r w:rsidR="00883220" w:rsidRPr="002D3E0E">
        <w:rPr>
          <w:i/>
          <w:iCs/>
        </w:rPr>
        <w:t xml:space="preserve">, Neapolis ac </w:t>
      </w:r>
      <w:proofErr w:type="spellStart"/>
      <w:r w:rsidR="00883220" w:rsidRPr="002D3E0E">
        <w:rPr>
          <w:i/>
          <w:iCs/>
        </w:rPr>
        <w:t>Florentiae</w:t>
      </w:r>
      <w:proofErr w:type="spellEnd"/>
      <w:r w:rsidR="00883220" w:rsidRPr="002D3E0E">
        <w:rPr>
          <w:i/>
          <w:iCs/>
        </w:rPr>
        <w:t xml:space="preserve"> </w:t>
      </w:r>
      <w:proofErr w:type="spellStart"/>
      <w:r w:rsidR="00883220" w:rsidRPr="002D3E0E">
        <w:rPr>
          <w:i/>
          <w:iCs/>
        </w:rPr>
        <w:t>Tabulariis</w:t>
      </w:r>
      <w:proofErr w:type="spellEnd"/>
      <w:r w:rsidR="00883220" w:rsidRPr="002D3E0E">
        <w:rPr>
          <w:i/>
          <w:iCs/>
        </w:rPr>
        <w:t xml:space="preserve"> </w:t>
      </w:r>
      <w:proofErr w:type="spellStart"/>
      <w:r w:rsidR="00883220" w:rsidRPr="002D3E0E">
        <w:rPr>
          <w:i/>
          <w:iCs/>
        </w:rPr>
        <w:t>deprompsit</w:t>
      </w:r>
      <w:proofErr w:type="spellEnd"/>
      <w:r w:rsidR="00883220" w:rsidRPr="002D3E0E">
        <w:rPr>
          <w:i/>
          <w:iCs/>
        </w:rPr>
        <w:t xml:space="preserve"> et </w:t>
      </w:r>
      <w:proofErr w:type="spellStart"/>
      <w:r w:rsidR="00883220" w:rsidRPr="002D3E0E">
        <w:rPr>
          <w:i/>
          <w:iCs/>
        </w:rPr>
        <w:t>ordine</w:t>
      </w:r>
      <w:proofErr w:type="spellEnd"/>
      <w:r w:rsidR="00883220" w:rsidRPr="002D3E0E">
        <w:rPr>
          <w:i/>
          <w:iCs/>
        </w:rPr>
        <w:t xml:space="preserve"> </w:t>
      </w:r>
      <w:proofErr w:type="spellStart"/>
      <w:r w:rsidR="00883220" w:rsidRPr="002D3E0E">
        <w:rPr>
          <w:i/>
          <w:iCs/>
        </w:rPr>
        <w:t>chronologico</w:t>
      </w:r>
      <w:proofErr w:type="spellEnd"/>
      <w:r w:rsidR="00883220" w:rsidRPr="002D3E0E">
        <w:rPr>
          <w:i/>
          <w:iCs/>
        </w:rPr>
        <w:t xml:space="preserve"> </w:t>
      </w:r>
      <w:proofErr w:type="spellStart"/>
      <w:r w:rsidR="00883220" w:rsidRPr="002D3E0E">
        <w:rPr>
          <w:i/>
          <w:iCs/>
        </w:rPr>
        <w:t>disposuit</w:t>
      </w:r>
      <w:proofErr w:type="spellEnd"/>
      <w:r w:rsidR="00883220" w:rsidRPr="002D3E0E">
        <w:t xml:space="preserve"> (Rome, 1864), </w:t>
      </w:r>
      <w:r w:rsidRPr="002D3E0E">
        <w:t>CCCCLXXX.</w:t>
      </w:r>
    </w:p>
  </w:footnote>
  <w:footnote w:id="114">
    <w:p w14:paraId="216FEA98" w14:textId="4C838411" w:rsidR="00FE4107" w:rsidRPr="002D3E0E" w:rsidRDefault="00FE4107">
      <w:pPr>
        <w:pStyle w:val="FootnoteText"/>
      </w:pPr>
      <w:r w:rsidRPr="002D3E0E">
        <w:rPr>
          <w:rStyle w:val="FootnoteReference"/>
        </w:rPr>
        <w:footnoteRef/>
      </w:r>
      <w:r w:rsidRPr="002D3E0E">
        <w:t xml:space="preserve"> D. E. R. Watt, </w:t>
      </w:r>
      <w:r w:rsidRPr="002D3E0E">
        <w:rPr>
          <w:i/>
          <w:iCs/>
        </w:rPr>
        <w:t xml:space="preserve">A Biographical Dictionary of Scottish Graduates to A.D. 1410 </w:t>
      </w:r>
      <w:r w:rsidRPr="002D3E0E">
        <w:t xml:space="preserve">(Oxford, 1977), 36-7. </w:t>
      </w:r>
    </w:p>
  </w:footnote>
  <w:footnote w:id="115">
    <w:p w14:paraId="076D1079" w14:textId="3F9A9744" w:rsidR="00880CDC" w:rsidRPr="002D3E0E" w:rsidRDefault="00880CDC">
      <w:pPr>
        <w:pStyle w:val="FootnoteText"/>
      </w:pPr>
      <w:r w:rsidRPr="002D3E0E">
        <w:rPr>
          <w:rStyle w:val="FootnoteReference"/>
        </w:rPr>
        <w:footnoteRef/>
      </w:r>
      <w:r w:rsidRPr="002D3E0E">
        <w:t xml:space="preserve"> </w:t>
      </w:r>
      <w:r w:rsidRPr="002D3E0E">
        <w:rPr>
          <w:i/>
          <w:iCs/>
        </w:rPr>
        <w:t>Ibid</w:t>
      </w:r>
      <w:r w:rsidRPr="002D3E0E">
        <w:t xml:space="preserve">. </w:t>
      </w:r>
    </w:p>
  </w:footnote>
  <w:footnote w:id="116">
    <w:p w14:paraId="762B12EE" w14:textId="77777777" w:rsidR="00880CDC" w:rsidRPr="002D3E0E" w:rsidRDefault="00880CDC" w:rsidP="00880CDC">
      <w:pPr>
        <w:pStyle w:val="FootnoteText"/>
        <w:rPr>
          <w:b/>
          <w:bCs/>
        </w:rPr>
      </w:pPr>
      <w:r w:rsidRPr="002D3E0E">
        <w:rPr>
          <w:rStyle w:val="FootnoteReference"/>
        </w:rPr>
        <w:footnoteRef/>
      </w:r>
      <w:r w:rsidRPr="002D3E0E">
        <w:t xml:space="preserve"> G.W.S. Barrow, ‘The Scottish Clergy in the War of Independence’, </w:t>
      </w:r>
      <w:r w:rsidRPr="002D3E0E">
        <w:rPr>
          <w:i/>
          <w:iCs/>
        </w:rPr>
        <w:t>Scottish Historical Review</w:t>
      </w:r>
      <w:r w:rsidRPr="002D3E0E">
        <w:t xml:space="preserve"> 41 (1962), 1-22, at 4); Broun, </w:t>
      </w:r>
      <w:r w:rsidRPr="002D3E0E">
        <w:rPr>
          <w:i/>
          <w:iCs/>
        </w:rPr>
        <w:t>Scottish Independence</w:t>
      </w:r>
      <w:r w:rsidRPr="002D3E0E">
        <w:t>, 15-18.</w:t>
      </w:r>
      <w:r w:rsidRPr="002D3E0E">
        <w:rPr>
          <w:b/>
          <w:bCs/>
        </w:rPr>
        <w:t xml:space="preserve">  </w:t>
      </w:r>
    </w:p>
  </w:footnote>
  <w:footnote w:id="117">
    <w:p w14:paraId="02E76C91" w14:textId="5A0D0B07" w:rsidR="00BA658B" w:rsidRPr="002D3E0E" w:rsidRDefault="00BA658B" w:rsidP="00BA658B">
      <w:pPr>
        <w:pStyle w:val="FootnoteText"/>
        <w:rPr>
          <w:b/>
          <w:bCs/>
        </w:rPr>
      </w:pPr>
      <w:r w:rsidRPr="002D3E0E">
        <w:rPr>
          <w:rStyle w:val="FootnoteReference"/>
        </w:rPr>
        <w:footnoteRef/>
      </w:r>
      <w:r w:rsidRPr="002D3E0E">
        <w:t xml:space="preserve"> </w:t>
      </w:r>
      <w:r w:rsidRPr="002D3E0E">
        <w:rPr>
          <w:i/>
          <w:iCs/>
        </w:rPr>
        <w:t>Vet. Mon.</w:t>
      </w:r>
      <w:r w:rsidRPr="002D3E0E">
        <w:t>, CCCCLXXX.</w:t>
      </w:r>
    </w:p>
  </w:footnote>
  <w:footnote w:id="118">
    <w:p w14:paraId="175CEC7C" w14:textId="36541A99" w:rsidR="003C5364" w:rsidRPr="002D3E0E" w:rsidRDefault="003C5364">
      <w:pPr>
        <w:pStyle w:val="FootnoteText"/>
      </w:pPr>
      <w:r w:rsidRPr="002D3E0E">
        <w:rPr>
          <w:rStyle w:val="FootnoteReference"/>
        </w:rPr>
        <w:footnoteRef/>
      </w:r>
      <w:r w:rsidRPr="002D3E0E">
        <w:t xml:space="preserve"> ‘</w:t>
      </w:r>
      <w:proofErr w:type="gramStart"/>
      <w:r w:rsidRPr="002D3E0E">
        <w:t>by</w:t>
      </w:r>
      <w:proofErr w:type="gramEnd"/>
      <w:r w:rsidRPr="002D3E0E">
        <w:t xml:space="preserve"> </w:t>
      </w:r>
      <w:proofErr w:type="gramStart"/>
      <w:r w:rsidRPr="002D3E0E">
        <w:t>a number of</w:t>
      </w:r>
      <w:proofErr w:type="gramEnd"/>
      <w:r w:rsidRPr="002D3E0E">
        <w:t xml:space="preserve"> appropriate </w:t>
      </w:r>
      <w:proofErr w:type="gramStart"/>
      <w:r w:rsidRPr="002D3E0E">
        <w:t>bishops’</w:t>
      </w:r>
      <w:proofErr w:type="gramEnd"/>
      <w:r w:rsidRPr="002D3E0E">
        <w:t xml:space="preserve">. </w:t>
      </w:r>
    </w:p>
  </w:footnote>
  <w:footnote w:id="119">
    <w:p w14:paraId="425C9470" w14:textId="67C0B3F9" w:rsidR="008E0C87" w:rsidRPr="002D3E0E" w:rsidRDefault="008E0C87">
      <w:pPr>
        <w:pStyle w:val="FootnoteText"/>
      </w:pPr>
      <w:r w:rsidRPr="002D3E0E">
        <w:rPr>
          <w:rStyle w:val="FootnoteReference"/>
        </w:rPr>
        <w:footnoteRef/>
      </w:r>
      <w:r w:rsidRPr="002D3E0E">
        <w:t xml:space="preserve"> Bishop Ben fled Fife in the night for Bruges </w:t>
      </w:r>
      <w:r w:rsidR="002D76EB" w:rsidRPr="002D3E0E">
        <w:t>in September 1332 in response to Balliol’s invasion of Scotland (</w:t>
      </w:r>
      <w:r w:rsidR="002D76EB" w:rsidRPr="002D3E0E">
        <w:rPr>
          <w:i/>
          <w:iCs/>
        </w:rPr>
        <w:t>Chron. Bower</w:t>
      </w:r>
      <w:r w:rsidR="002D76EB" w:rsidRPr="002D3E0E">
        <w:t xml:space="preserve">, </w:t>
      </w:r>
      <w:r w:rsidR="005F4C23" w:rsidRPr="002D3E0E">
        <w:t>iii</w:t>
      </w:r>
      <w:r w:rsidR="002D76EB" w:rsidRPr="002D3E0E">
        <w:t>, 405; McHugh, ‘</w:t>
      </w:r>
      <w:proofErr w:type="spellStart"/>
      <w:r w:rsidR="002D76EB" w:rsidRPr="002D3E0E">
        <w:rPr>
          <w:i/>
          <w:iCs/>
        </w:rPr>
        <w:t>Foi</w:t>
      </w:r>
      <w:proofErr w:type="spellEnd"/>
      <w:r w:rsidR="002D76EB" w:rsidRPr="002D3E0E">
        <w:rPr>
          <w:i/>
          <w:iCs/>
        </w:rPr>
        <w:t xml:space="preserve"> e </w:t>
      </w:r>
      <w:proofErr w:type="spellStart"/>
      <w:r w:rsidR="002D76EB" w:rsidRPr="002D3E0E">
        <w:rPr>
          <w:i/>
          <w:iCs/>
        </w:rPr>
        <w:t>Leuté</w:t>
      </w:r>
      <w:proofErr w:type="spellEnd"/>
      <w:r w:rsidR="002D76EB" w:rsidRPr="002D3E0E">
        <w:t xml:space="preserve">’, 136). </w:t>
      </w:r>
    </w:p>
  </w:footnote>
  <w:footnote w:id="120">
    <w:p w14:paraId="68F7376E" w14:textId="0A61AA3D" w:rsidR="002D3E0E" w:rsidRPr="002D3E0E" w:rsidRDefault="002D3E0E">
      <w:pPr>
        <w:pStyle w:val="FootnoteText"/>
      </w:pPr>
      <w:r w:rsidRPr="002D3E0E">
        <w:rPr>
          <w:rStyle w:val="FootnoteReference"/>
        </w:rPr>
        <w:footnoteRef/>
      </w:r>
      <w:r w:rsidRPr="002D3E0E">
        <w:t xml:space="preserve"> See various chapters in Frances </w:t>
      </w:r>
      <w:r>
        <w:t xml:space="preserve">Andrews (ed.), </w:t>
      </w:r>
      <w:r>
        <w:rPr>
          <w:i/>
          <w:iCs/>
        </w:rPr>
        <w:t>Ritual and Space in the Middle Ages: Proceedings of the 2009 Harlaxton Symposium</w:t>
      </w:r>
      <w:r>
        <w:t xml:space="preserve"> (</w:t>
      </w:r>
      <w:proofErr w:type="spellStart"/>
      <w:r>
        <w:t>Donington</w:t>
      </w:r>
      <w:proofErr w:type="spellEnd"/>
      <w:r>
        <w:t xml:space="preserve">, 2011). </w:t>
      </w:r>
    </w:p>
  </w:footnote>
  <w:footnote w:id="121">
    <w:p w14:paraId="21711E00" w14:textId="0946AE28" w:rsidR="000E39A6" w:rsidRPr="000E39A6" w:rsidRDefault="000E39A6">
      <w:pPr>
        <w:pStyle w:val="FootnoteText"/>
      </w:pPr>
      <w:r>
        <w:rPr>
          <w:rStyle w:val="FootnoteReference"/>
        </w:rPr>
        <w:footnoteRef/>
      </w:r>
      <w:r>
        <w:t xml:space="preserve"> </w:t>
      </w:r>
      <w:r w:rsidR="00C54BBA">
        <w:t>The Moot Hill is discussed further below. Bannerman argues that the church at Scone had historic ties to the king’s poet who traditionally read the king’s genealogy at the inauguration (</w:t>
      </w:r>
      <w:r>
        <w:t xml:space="preserve">John Bannerman, ‘The King’s Poet and the Inauguration of Alexander III’, </w:t>
      </w:r>
      <w:r>
        <w:rPr>
          <w:i/>
          <w:iCs/>
        </w:rPr>
        <w:t>Scottish Historical Review</w:t>
      </w:r>
      <w:r>
        <w:t xml:space="preserve"> 68 (1989), 120-149, at 145</w:t>
      </w:r>
      <w:r w:rsidR="00C54BBA">
        <w:t>)</w:t>
      </w:r>
      <w:r>
        <w:t xml:space="preserve">. </w:t>
      </w:r>
    </w:p>
  </w:footnote>
  <w:footnote w:id="122">
    <w:p w14:paraId="5237ACAE" w14:textId="6EF87E0E" w:rsidR="002D76EB" w:rsidRPr="002D3E0E" w:rsidRDefault="002D76EB" w:rsidP="002D76EB">
      <w:pPr>
        <w:pStyle w:val="FootnoteText"/>
      </w:pPr>
      <w:r w:rsidRPr="002D3E0E">
        <w:rPr>
          <w:rStyle w:val="FootnoteReference"/>
        </w:rPr>
        <w:footnoteRef/>
      </w:r>
      <w:r w:rsidRPr="002D3E0E">
        <w:t xml:space="preserve"> Duncan, </w:t>
      </w:r>
      <w:r w:rsidRPr="002D3E0E">
        <w:rPr>
          <w:i/>
          <w:iCs/>
        </w:rPr>
        <w:t>The Making of the Kingdom</w:t>
      </w:r>
      <w:r w:rsidRPr="002D3E0E">
        <w:t xml:space="preserve">, 556.  </w:t>
      </w:r>
    </w:p>
  </w:footnote>
  <w:footnote w:id="123">
    <w:p w14:paraId="50039A32" w14:textId="31AA52B6" w:rsidR="002D76EB" w:rsidRPr="002D3E0E" w:rsidRDefault="002D76EB" w:rsidP="002D76EB">
      <w:pPr>
        <w:pStyle w:val="FootnoteText"/>
      </w:pPr>
      <w:r w:rsidRPr="002D3E0E">
        <w:rPr>
          <w:rStyle w:val="FootnoteReference"/>
        </w:rPr>
        <w:footnoteRef/>
      </w:r>
      <w:r w:rsidRPr="002D3E0E">
        <w:t xml:space="preserve"> Norman Reid, </w:t>
      </w:r>
      <w:r w:rsidRPr="002D3E0E">
        <w:rPr>
          <w:i/>
          <w:iCs/>
        </w:rPr>
        <w:t xml:space="preserve">Alexander III 1249-1286: First Among Equals </w:t>
      </w:r>
      <w:r w:rsidRPr="002D3E0E">
        <w:t xml:space="preserve">(Edinburgh, 2019), 17; Broun, </w:t>
      </w:r>
      <w:r w:rsidRPr="002D3E0E">
        <w:rPr>
          <w:i/>
          <w:iCs/>
        </w:rPr>
        <w:t>Scottish Independence</w:t>
      </w:r>
      <w:r w:rsidRPr="002D3E0E">
        <w:t xml:space="preserve">, 181; Duncan, </w:t>
      </w:r>
      <w:r w:rsidRPr="002D3E0E">
        <w:rPr>
          <w:i/>
          <w:iCs/>
        </w:rPr>
        <w:t>Kingship of the Scots</w:t>
      </w:r>
      <w:r w:rsidRPr="002D3E0E">
        <w:t xml:space="preserve">, 149.  </w:t>
      </w:r>
    </w:p>
  </w:footnote>
  <w:footnote w:id="124">
    <w:p w14:paraId="3CE87809" w14:textId="333D84FD" w:rsidR="002D76EB" w:rsidRPr="002D3E0E" w:rsidRDefault="002D76EB" w:rsidP="002D76EB">
      <w:pPr>
        <w:pStyle w:val="FootnoteText"/>
      </w:pPr>
      <w:r w:rsidRPr="002D3E0E">
        <w:rPr>
          <w:rStyle w:val="FootnoteReference"/>
        </w:rPr>
        <w:footnoteRef/>
      </w:r>
      <w:r w:rsidRPr="002D3E0E">
        <w:t xml:space="preserve"> </w:t>
      </w:r>
      <w:r w:rsidRPr="002D3E0E">
        <w:rPr>
          <w:i/>
          <w:iCs/>
        </w:rPr>
        <w:t>Chron. Bower</w:t>
      </w:r>
      <w:r w:rsidRPr="002D3E0E">
        <w:t>,</w:t>
      </w:r>
      <w:r w:rsidR="005F4C23" w:rsidRPr="002D3E0E">
        <w:t xml:space="preserve"> vii</w:t>
      </w:r>
      <w:r w:rsidRPr="002D3E0E">
        <w:t xml:space="preserve">, 71; </w:t>
      </w:r>
      <w:r w:rsidRPr="002D3E0E">
        <w:rPr>
          <w:i/>
          <w:iCs/>
        </w:rPr>
        <w:t>Chron. Fordun</w:t>
      </w:r>
      <w:r w:rsidRPr="002D3E0E">
        <w:t xml:space="preserve">, </w:t>
      </w:r>
      <w:r w:rsidR="005F4C23" w:rsidRPr="002D3E0E">
        <w:t>ii</w:t>
      </w:r>
      <w:r w:rsidRPr="002D3E0E">
        <w:t xml:space="preserve">, 346; </w:t>
      </w:r>
      <w:r w:rsidRPr="002D3E0E">
        <w:rPr>
          <w:i/>
          <w:iCs/>
        </w:rPr>
        <w:t>Chron. Wyntoun</w:t>
      </w:r>
      <w:r w:rsidRPr="002D3E0E">
        <w:t xml:space="preserve">, </w:t>
      </w:r>
      <w:r w:rsidR="005F4C23" w:rsidRPr="002D3E0E">
        <w:t>v</w:t>
      </w:r>
      <w:r w:rsidRPr="002D3E0E">
        <w:t>, 382.</w:t>
      </w:r>
    </w:p>
  </w:footnote>
  <w:footnote w:id="125">
    <w:p w14:paraId="3D51CF88" w14:textId="6D441F8A" w:rsidR="002D76EB" w:rsidRPr="002D3E0E" w:rsidRDefault="002D76EB" w:rsidP="002D76EB">
      <w:pPr>
        <w:pStyle w:val="FootnoteText"/>
      </w:pPr>
      <w:r w:rsidRPr="002D3E0E">
        <w:rPr>
          <w:rStyle w:val="FootnoteReference"/>
        </w:rPr>
        <w:footnoteRef/>
      </w:r>
      <w:r w:rsidRPr="002D3E0E">
        <w:t xml:space="preserve"> </w:t>
      </w:r>
      <w:r w:rsidR="003C5364" w:rsidRPr="002D3E0E">
        <w:t>‘</w:t>
      </w:r>
      <w:proofErr w:type="gramStart"/>
      <w:r w:rsidR="003C5364" w:rsidRPr="002D3E0E">
        <w:t>was</w:t>
      </w:r>
      <w:proofErr w:type="gramEnd"/>
      <w:r w:rsidR="003C5364" w:rsidRPr="002D3E0E">
        <w:t xml:space="preserve"> situated next to the great altar in the church of the monks at Scone’ (</w:t>
      </w:r>
      <w:r w:rsidRPr="002D3E0E">
        <w:rPr>
          <w:i/>
          <w:iCs/>
        </w:rPr>
        <w:t>Chron. Melsa</w:t>
      </w:r>
      <w:r w:rsidRPr="002D3E0E">
        <w:t xml:space="preserve">, </w:t>
      </w:r>
      <w:r w:rsidR="005F4C23" w:rsidRPr="002D3E0E">
        <w:t>ii</w:t>
      </w:r>
      <w:r w:rsidRPr="002D3E0E">
        <w:t>, 361-2</w:t>
      </w:r>
      <w:r w:rsidR="003C5364" w:rsidRPr="002D3E0E">
        <w:t>)</w:t>
      </w:r>
      <w:r w:rsidRPr="002D3E0E">
        <w:t xml:space="preserve">. </w:t>
      </w:r>
    </w:p>
  </w:footnote>
  <w:footnote w:id="126">
    <w:p w14:paraId="06935B38" w14:textId="050BC430" w:rsidR="002D76EB" w:rsidRPr="002D3E0E" w:rsidRDefault="002D76EB" w:rsidP="002D76EB">
      <w:pPr>
        <w:pStyle w:val="FootnoteText"/>
      </w:pPr>
      <w:r w:rsidRPr="002D3E0E">
        <w:rPr>
          <w:rStyle w:val="FootnoteReference"/>
        </w:rPr>
        <w:footnoteRef/>
      </w:r>
      <w:r w:rsidRPr="002D3E0E">
        <w:t xml:space="preserve"> A.</w:t>
      </w:r>
      <w:r w:rsidR="005F4C23" w:rsidRPr="002D3E0E">
        <w:t xml:space="preserve"> </w:t>
      </w:r>
      <w:r w:rsidRPr="002D3E0E">
        <w:t>A.</w:t>
      </w:r>
      <w:r w:rsidR="005F4C23" w:rsidRPr="002D3E0E">
        <w:t xml:space="preserve"> </w:t>
      </w:r>
      <w:r w:rsidRPr="002D3E0E">
        <w:t>M. Duncan, ‘Before Coronation: Making a King at Scone in the Thirteenth Century’, in</w:t>
      </w:r>
      <w:r w:rsidR="005F4C23" w:rsidRPr="002D3E0E">
        <w:t xml:space="preserve"> R. Welander, D.J. Breeze and T. Clancy (eds), </w:t>
      </w:r>
      <w:r w:rsidRPr="002D3E0E">
        <w:rPr>
          <w:i/>
          <w:iCs/>
        </w:rPr>
        <w:t>The Stone of Destiny: Artefact and Icon</w:t>
      </w:r>
      <w:r w:rsidRPr="002D3E0E">
        <w:t xml:space="preserve"> (Edinburgh, 2003), 139-168</w:t>
      </w:r>
      <w:r w:rsidR="005F4C23" w:rsidRPr="002D3E0E">
        <w:t>, at</w:t>
      </w:r>
      <w:r w:rsidR="0029336C" w:rsidRPr="002D3E0E">
        <w:t xml:space="preserve"> </w:t>
      </w:r>
      <w:r w:rsidRPr="002D3E0E">
        <w:t>147.</w:t>
      </w:r>
    </w:p>
  </w:footnote>
  <w:footnote w:id="127">
    <w:p w14:paraId="5E1F1968" w14:textId="1A9DB9E5" w:rsidR="002D76EB" w:rsidRPr="002D3E0E" w:rsidRDefault="002D76EB" w:rsidP="002D76EB">
      <w:pPr>
        <w:pStyle w:val="FootnoteText"/>
      </w:pPr>
      <w:r w:rsidRPr="002D3E0E">
        <w:rPr>
          <w:rStyle w:val="FootnoteReference"/>
        </w:rPr>
        <w:footnoteRef/>
      </w:r>
      <w:r w:rsidRPr="002D3E0E">
        <w:t xml:space="preserve"> </w:t>
      </w:r>
      <w:r w:rsidRPr="002D3E0E">
        <w:rPr>
          <w:i/>
          <w:iCs/>
        </w:rPr>
        <w:t xml:space="preserve">Chron. </w:t>
      </w:r>
      <w:proofErr w:type="spellStart"/>
      <w:r w:rsidRPr="002D3E0E">
        <w:rPr>
          <w:i/>
          <w:iCs/>
        </w:rPr>
        <w:t>Anonimalle</w:t>
      </w:r>
      <w:proofErr w:type="spellEnd"/>
      <w:r w:rsidRPr="002D3E0E">
        <w:rPr>
          <w:i/>
          <w:iCs/>
        </w:rPr>
        <w:t>, 1333-1381</w:t>
      </w:r>
      <w:r w:rsidRPr="002D3E0E">
        <w:t xml:space="preserve">, 111; Nigel Saul, </w:t>
      </w:r>
      <w:r w:rsidRPr="002D3E0E">
        <w:rPr>
          <w:i/>
          <w:iCs/>
        </w:rPr>
        <w:t>Richard II</w:t>
      </w:r>
      <w:r w:rsidRPr="002D3E0E">
        <w:t xml:space="preserve"> (London, 1999), 26.</w:t>
      </w:r>
    </w:p>
  </w:footnote>
  <w:footnote w:id="128">
    <w:p w14:paraId="6A1E8F1C" w14:textId="2E02BB3B" w:rsidR="002D76EB" w:rsidRPr="002D3E0E" w:rsidRDefault="002D76EB" w:rsidP="002D76EB">
      <w:pPr>
        <w:pStyle w:val="FootnoteText"/>
      </w:pPr>
      <w:r w:rsidRPr="002D3E0E">
        <w:rPr>
          <w:rStyle w:val="FootnoteReference"/>
        </w:rPr>
        <w:footnoteRef/>
      </w:r>
      <w:r w:rsidRPr="002D3E0E">
        <w:t xml:space="preserve"> Broun, </w:t>
      </w:r>
      <w:r w:rsidRPr="002D3E0E">
        <w:rPr>
          <w:i/>
          <w:iCs/>
        </w:rPr>
        <w:t>Scottish Independence</w:t>
      </w:r>
      <w:r w:rsidRPr="002D3E0E">
        <w:t>, 181.</w:t>
      </w:r>
    </w:p>
  </w:footnote>
  <w:footnote w:id="129">
    <w:p w14:paraId="38156FAC" w14:textId="77777777" w:rsidR="000E39A6" w:rsidRPr="002D3E0E" w:rsidRDefault="000E39A6" w:rsidP="000E39A6">
      <w:pPr>
        <w:pStyle w:val="FootnoteText"/>
      </w:pPr>
      <w:r w:rsidRPr="002D3E0E">
        <w:rPr>
          <w:rStyle w:val="FootnoteReference"/>
        </w:rPr>
        <w:footnoteRef/>
      </w:r>
      <w:r w:rsidRPr="002D3E0E">
        <w:t xml:space="preserve"> Bell, </w:t>
      </w:r>
      <w:r w:rsidRPr="002D3E0E">
        <w:rPr>
          <w:i/>
          <w:iCs/>
        </w:rPr>
        <w:t>Ritual perspectives</w:t>
      </w:r>
      <w:r w:rsidRPr="002D3E0E">
        <w:t xml:space="preserve">, 122. </w:t>
      </w:r>
    </w:p>
  </w:footnote>
  <w:footnote w:id="130">
    <w:p w14:paraId="5A89B80E" w14:textId="16741177" w:rsidR="007175DF" w:rsidRPr="007175DF" w:rsidRDefault="007175DF">
      <w:pPr>
        <w:pStyle w:val="FootnoteText"/>
      </w:pPr>
      <w:r>
        <w:rPr>
          <w:rStyle w:val="FootnoteReference"/>
        </w:rPr>
        <w:footnoteRef/>
      </w:r>
      <w:r>
        <w:t xml:space="preserve"> Andrews, ‘Ritual and Space’, 17. See also Rob </w:t>
      </w:r>
      <w:proofErr w:type="spellStart"/>
      <w:r>
        <w:t>Meens</w:t>
      </w:r>
      <w:proofErr w:type="spellEnd"/>
      <w:r>
        <w:t xml:space="preserve">, ‘Violence at the Altar: the Sacred Space around the Grave of St Martin of Tours and the Practice of Sanctuary in the Early Middle Ages’, in Frances (ed.), </w:t>
      </w:r>
      <w:r>
        <w:rPr>
          <w:i/>
          <w:iCs/>
        </w:rPr>
        <w:t>Ritual and Space</w:t>
      </w:r>
      <w:r>
        <w:t xml:space="preserve">, 71-89; Katherine Harvey, ‘Blood, Sex and Holy Water: </w:t>
      </w:r>
      <w:r w:rsidRPr="007175DF">
        <w:t>Reconciling Churches and Churchyards in the Medieval Diocese of York’</w:t>
      </w:r>
      <w:r>
        <w:t xml:space="preserve">, in P. Dryburgh and S. Rees Jones (ed.), </w:t>
      </w:r>
      <w:r>
        <w:rPr>
          <w:i/>
          <w:iCs/>
        </w:rPr>
        <w:t xml:space="preserve">The Church and Northern English Society in the Fourteenth Century </w:t>
      </w:r>
      <w:r>
        <w:t xml:space="preserve">(Woodbridge, 2024), 191-207. </w:t>
      </w:r>
    </w:p>
  </w:footnote>
  <w:footnote w:id="131">
    <w:p w14:paraId="18326CFF" w14:textId="5087E7F1" w:rsidR="00F725F5" w:rsidRPr="00F725F5" w:rsidRDefault="00F725F5">
      <w:pPr>
        <w:pStyle w:val="FootnoteText"/>
      </w:pPr>
      <w:r>
        <w:rPr>
          <w:rStyle w:val="FootnoteReference"/>
        </w:rPr>
        <w:footnoteRef/>
      </w:r>
      <w:r>
        <w:t xml:space="preserve"> Dean, </w:t>
      </w:r>
      <w:r>
        <w:rPr>
          <w:i/>
          <w:iCs/>
        </w:rPr>
        <w:t>Death and the Royal Succession</w:t>
      </w:r>
      <w:r>
        <w:t>, 259. Angus was also joined by an unknown companion (</w:t>
      </w:r>
      <w:r>
        <w:rPr>
          <w:i/>
          <w:iCs/>
        </w:rPr>
        <w:t>ER</w:t>
      </w:r>
      <w:r>
        <w:t xml:space="preserve">, </w:t>
      </w:r>
      <w:proofErr w:type="spellStart"/>
      <w:r>
        <w:t>i</w:t>
      </w:r>
      <w:proofErr w:type="spellEnd"/>
      <w:r>
        <w:t xml:space="preserve">, 398). </w:t>
      </w:r>
    </w:p>
  </w:footnote>
  <w:footnote w:id="132">
    <w:p w14:paraId="1D46AF12" w14:textId="516D5B97" w:rsidR="00F725F5" w:rsidRPr="00F725F5" w:rsidRDefault="00F725F5">
      <w:pPr>
        <w:pStyle w:val="FootnoteText"/>
      </w:pPr>
      <w:r>
        <w:rPr>
          <w:rStyle w:val="FootnoteReference"/>
        </w:rPr>
        <w:footnoteRef/>
      </w:r>
      <w:r>
        <w:t xml:space="preserve"> </w:t>
      </w:r>
      <w:r>
        <w:rPr>
          <w:i/>
          <w:iCs/>
        </w:rPr>
        <w:t>ER</w:t>
      </w:r>
      <w:r>
        <w:t xml:space="preserve">, </w:t>
      </w:r>
      <w:proofErr w:type="spellStart"/>
      <w:r>
        <w:t>i</w:t>
      </w:r>
      <w:proofErr w:type="spellEnd"/>
      <w:r>
        <w:t xml:space="preserve">, 376-7. </w:t>
      </w:r>
    </w:p>
  </w:footnote>
  <w:footnote w:id="133">
    <w:p w14:paraId="0D41A264" w14:textId="50212BC5" w:rsidR="00F725F5" w:rsidRPr="00F725F5" w:rsidRDefault="00F725F5">
      <w:pPr>
        <w:pStyle w:val="FootnoteText"/>
      </w:pPr>
      <w:r>
        <w:rPr>
          <w:rStyle w:val="FootnoteReference"/>
        </w:rPr>
        <w:footnoteRef/>
      </w:r>
      <w:r>
        <w:t xml:space="preserve"> </w:t>
      </w:r>
      <w:r>
        <w:rPr>
          <w:i/>
          <w:iCs/>
        </w:rPr>
        <w:t>ER</w:t>
      </w:r>
      <w:r>
        <w:t xml:space="preserve">, </w:t>
      </w:r>
      <w:proofErr w:type="spellStart"/>
      <w:r>
        <w:t>i</w:t>
      </w:r>
      <w:proofErr w:type="spellEnd"/>
      <w:r>
        <w:t xml:space="preserve">, 380-5. </w:t>
      </w:r>
    </w:p>
  </w:footnote>
  <w:footnote w:id="134">
    <w:p w14:paraId="27B34AA6" w14:textId="77777777" w:rsidR="00F725F5" w:rsidRPr="002D3E0E" w:rsidRDefault="00F725F5" w:rsidP="00F725F5">
      <w:pPr>
        <w:pStyle w:val="FootnoteText"/>
        <w:rPr>
          <w:color w:val="FF0000"/>
        </w:rPr>
      </w:pPr>
      <w:r w:rsidRPr="002D3E0E">
        <w:rPr>
          <w:rStyle w:val="FootnoteReference"/>
        </w:rPr>
        <w:footnoteRef/>
      </w:r>
      <w:r w:rsidRPr="002D3E0E">
        <w:t xml:space="preserve"> K. M. Brown et al (eds), </w:t>
      </w:r>
      <w:r w:rsidRPr="002D3E0E">
        <w:rPr>
          <w:i/>
          <w:iCs/>
        </w:rPr>
        <w:t>The Records of the Parliaments of Scotland to 1707</w:t>
      </w:r>
      <w:r w:rsidRPr="002D3E0E">
        <w:t xml:space="preserve"> (St Andrews, 2007-2024), A1331/1, &lt;http://www.rps.ac.uk/mss/A1331/1&gt; [accessed 03.09.2024]; T. Thomson and C. Innes (eds), </w:t>
      </w:r>
      <w:r w:rsidRPr="002D3E0E">
        <w:rPr>
          <w:i/>
          <w:iCs/>
        </w:rPr>
        <w:t>The Acts of the Parliaments of Scotland</w:t>
      </w:r>
      <w:r w:rsidRPr="002D3E0E">
        <w:t xml:space="preserve">, 12 vols (London,1844-75), </w:t>
      </w:r>
      <w:proofErr w:type="spellStart"/>
      <w:r w:rsidRPr="002D3E0E">
        <w:t>i</w:t>
      </w:r>
      <w:proofErr w:type="spellEnd"/>
      <w:r w:rsidRPr="002D3E0E">
        <w:t xml:space="preserve">, 511-2. </w:t>
      </w:r>
    </w:p>
  </w:footnote>
  <w:footnote w:id="135">
    <w:p w14:paraId="7186D3D7" w14:textId="731760EF" w:rsidR="00FF0EEC" w:rsidRPr="002D3E0E" w:rsidRDefault="00FF0EEC" w:rsidP="00FF0EEC">
      <w:pPr>
        <w:pStyle w:val="FootnoteText"/>
      </w:pPr>
      <w:r w:rsidRPr="002D3E0E">
        <w:rPr>
          <w:rStyle w:val="FootnoteReference"/>
        </w:rPr>
        <w:footnoteRef/>
      </w:r>
      <w:r w:rsidRPr="002D3E0E">
        <w:t xml:space="preserve"> Dale, </w:t>
      </w:r>
      <w:r w:rsidRPr="002D3E0E">
        <w:rPr>
          <w:i/>
          <w:iCs/>
        </w:rPr>
        <w:t>Inaugurations</w:t>
      </w:r>
      <w:r w:rsidRPr="002D3E0E">
        <w:t>, 134.</w:t>
      </w:r>
    </w:p>
  </w:footnote>
  <w:footnote w:id="136">
    <w:p w14:paraId="75E29231" w14:textId="1AB977F2" w:rsidR="004E54D7" w:rsidRPr="002D3E0E" w:rsidRDefault="004E54D7" w:rsidP="004E54D7">
      <w:pPr>
        <w:pStyle w:val="FootnoteText"/>
      </w:pPr>
      <w:r w:rsidRPr="002D3E0E">
        <w:rPr>
          <w:rStyle w:val="FootnoteReference"/>
        </w:rPr>
        <w:footnoteRef/>
      </w:r>
      <w:r w:rsidRPr="002D3E0E">
        <w:t xml:space="preserve"> When describing the knighting of Amaury de Montfort (1213), Peter of les Vaux-de-</w:t>
      </w:r>
      <w:proofErr w:type="spellStart"/>
      <w:r w:rsidRPr="002D3E0E">
        <w:t>Cernay</w:t>
      </w:r>
      <w:proofErr w:type="spellEnd"/>
      <w:r w:rsidRPr="002D3E0E">
        <w:t xml:space="preserve"> used the phrase ‘</w:t>
      </w:r>
      <w:proofErr w:type="spellStart"/>
      <w:r w:rsidRPr="002D3E0E">
        <w:rPr>
          <w:i/>
          <w:iCs/>
        </w:rPr>
        <w:t>cinxerunt</w:t>
      </w:r>
      <w:proofErr w:type="spellEnd"/>
      <w:r w:rsidRPr="002D3E0E">
        <w:rPr>
          <w:i/>
          <w:iCs/>
        </w:rPr>
        <w:t xml:space="preserve"> </w:t>
      </w:r>
      <w:proofErr w:type="spellStart"/>
      <w:r w:rsidRPr="002D3E0E">
        <w:rPr>
          <w:i/>
          <w:iCs/>
        </w:rPr>
        <w:t>puerium</w:t>
      </w:r>
      <w:proofErr w:type="spellEnd"/>
      <w:r w:rsidRPr="002D3E0E">
        <w:rPr>
          <w:i/>
          <w:iCs/>
        </w:rPr>
        <w:t xml:space="preserve"> </w:t>
      </w:r>
      <w:proofErr w:type="spellStart"/>
      <w:r w:rsidRPr="002D3E0E">
        <w:rPr>
          <w:i/>
          <w:iCs/>
        </w:rPr>
        <w:t>cingulo</w:t>
      </w:r>
      <w:proofErr w:type="spellEnd"/>
      <w:r w:rsidRPr="002D3E0E">
        <w:rPr>
          <w:i/>
          <w:iCs/>
        </w:rPr>
        <w:t xml:space="preserve"> </w:t>
      </w:r>
      <w:proofErr w:type="spellStart"/>
      <w:r w:rsidRPr="002D3E0E">
        <w:rPr>
          <w:i/>
          <w:iCs/>
        </w:rPr>
        <w:t>militari</w:t>
      </w:r>
      <w:proofErr w:type="spellEnd"/>
      <w:r w:rsidRPr="002D3E0E">
        <w:t>’ (L</w:t>
      </w:r>
      <w:r w:rsidR="00C7169B">
        <w:t>ouis</w:t>
      </w:r>
      <w:r w:rsidRPr="002D3E0E">
        <w:t xml:space="preserve"> Pulford, </w:t>
      </w:r>
      <w:r w:rsidR="00C7169B">
        <w:t xml:space="preserve">‘Order from Chaos: Reappraising the </w:t>
      </w:r>
      <w:r w:rsidR="00C7169B">
        <w:rPr>
          <w:i/>
          <w:iCs/>
        </w:rPr>
        <w:t xml:space="preserve">Historia </w:t>
      </w:r>
      <w:proofErr w:type="spellStart"/>
      <w:r w:rsidR="00C7169B">
        <w:rPr>
          <w:i/>
          <w:iCs/>
        </w:rPr>
        <w:t>Albigensis</w:t>
      </w:r>
      <w:proofErr w:type="spellEnd"/>
      <w:r w:rsidR="00C7169B">
        <w:rPr>
          <w:i/>
          <w:iCs/>
        </w:rPr>
        <w:t xml:space="preserve"> </w:t>
      </w:r>
      <w:r w:rsidR="00C7169B">
        <w:t>of Peter of les Vaux-de-</w:t>
      </w:r>
      <w:proofErr w:type="spellStart"/>
      <w:r w:rsidR="00C7169B">
        <w:t>Cernay</w:t>
      </w:r>
      <w:proofErr w:type="spellEnd"/>
      <w:r w:rsidR="00C7169B">
        <w:t xml:space="preserve">’, </w:t>
      </w:r>
      <w:r w:rsidR="00C7169B" w:rsidRPr="002D3E0E">
        <w:t xml:space="preserve">unpublished Ph.D. thesis (Lancaster University, 2023), </w:t>
      </w:r>
      <w:r w:rsidR="00C7169B">
        <w:t xml:space="preserve">163-170; </w:t>
      </w:r>
      <w:r w:rsidRPr="002D3E0E">
        <w:t xml:space="preserve"> Peter of les Vaux-de-</w:t>
      </w:r>
      <w:proofErr w:type="spellStart"/>
      <w:r w:rsidRPr="002D3E0E">
        <w:t>Cernay</w:t>
      </w:r>
      <w:proofErr w:type="spellEnd"/>
      <w:r w:rsidRPr="002D3E0E">
        <w:t xml:space="preserve">, </w:t>
      </w:r>
      <w:r w:rsidRPr="002D3E0E">
        <w:rPr>
          <w:i/>
          <w:iCs/>
        </w:rPr>
        <w:t>The History of the Albigensian Crusade: Peter of Les Vaux-de-</w:t>
      </w:r>
      <w:proofErr w:type="spellStart"/>
      <w:r w:rsidRPr="002D3E0E">
        <w:rPr>
          <w:i/>
          <w:iCs/>
        </w:rPr>
        <w:t>Cernay</w:t>
      </w:r>
      <w:proofErr w:type="spellEnd"/>
      <w:r w:rsidRPr="002D3E0E">
        <w:t xml:space="preserve">, W.A. </w:t>
      </w:r>
      <w:proofErr w:type="spellStart"/>
      <w:r w:rsidRPr="002D3E0E">
        <w:t>Sibly</w:t>
      </w:r>
      <w:proofErr w:type="spellEnd"/>
      <w:r w:rsidRPr="002D3E0E">
        <w:t xml:space="preserve"> and M.D. </w:t>
      </w:r>
      <w:proofErr w:type="spellStart"/>
      <w:r w:rsidRPr="002D3E0E">
        <w:t>Sibly</w:t>
      </w:r>
      <w:proofErr w:type="spellEnd"/>
      <w:r w:rsidR="0077275A" w:rsidRPr="002D3E0E">
        <w:t xml:space="preserve"> (trans),</w:t>
      </w:r>
      <w:r w:rsidRPr="002D3E0E">
        <w:t xml:space="preserve"> (Woodbridge, 2002), 197). </w:t>
      </w:r>
      <w:proofErr w:type="spellStart"/>
      <w:r w:rsidRPr="002D3E0E">
        <w:rPr>
          <w:i/>
          <w:iCs/>
        </w:rPr>
        <w:t>Cinxerunt</w:t>
      </w:r>
      <w:proofErr w:type="spellEnd"/>
      <w:r w:rsidRPr="002D3E0E">
        <w:rPr>
          <w:i/>
          <w:iCs/>
        </w:rPr>
        <w:t xml:space="preserve"> </w:t>
      </w:r>
      <w:r w:rsidRPr="002D3E0E">
        <w:t xml:space="preserve">and </w:t>
      </w:r>
      <w:proofErr w:type="spellStart"/>
      <w:r w:rsidRPr="002D3E0E">
        <w:rPr>
          <w:i/>
          <w:iCs/>
        </w:rPr>
        <w:t>cingitur</w:t>
      </w:r>
      <w:proofErr w:type="spellEnd"/>
      <w:r w:rsidRPr="002D3E0E">
        <w:rPr>
          <w:i/>
          <w:iCs/>
        </w:rPr>
        <w:t xml:space="preserve"> </w:t>
      </w:r>
      <w:r w:rsidRPr="002D3E0E">
        <w:t xml:space="preserve">(the verb used in the anonymous poem), stem from </w:t>
      </w:r>
      <w:proofErr w:type="spellStart"/>
      <w:r w:rsidRPr="002D3E0E">
        <w:rPr>
          <w:i/>
          <w:iCs/>
        </w:rPr>
        <w:t>cingere</w:t>
      </w:r>
      <w:proofErr w:type="spellEnd"/>
      <w:r w:rsidRPr="002D3E0E">
        <w:rPr>
          <w:i/>
          <w:iCs/>
        </w:rPr>
        <w:t xml:space="preserve"> </w:t>
      </w:r>
      <w:r w:rsidRPr="002D3E0E">
        <w:t>meaning to gird.</w:t>
      </w:r>
    </w:p>
  </w:footnote>
  <w:footnote w:id="137">
    <w:p w14:paraId="100F5F89" w14:textId="24C1E82E" w:rsidR="004E54D7" w:rsidRPr="002D3E0E" w:rsidRDefault="004E54D7" w:rsidP="004E54D7">
      <w:pPr>
        <w:pStyle w:val="FootnoteText"/>
      </w:pPr>
      <w:r w:rsidRPr="002D3E0E">
        <w:rPr>
          <w:rStyle w:val="FootnoteReference"/>
        </w:rPr>
        <w:footnoteRef/>
      </w:r>
      <w:r w:rsidRPr="002D3E0E">
        <w:t xml:space="preserve"> Maurice Keen, </w:t>
      </w:r>
      <w:r w:rsidRPr="002D3E0E">
        <w:rPr>
          <w:i/>
          <w:iCs/>
        </w:rPr>
        <w:t xml:space="preserve">Chivalry </w:t>
      </w:r>
      <w:r w:rsidRPr="002D3E0E">
        <w:t>(New Haven, 1984), 67.</w:t>
      </w:r>
    </w:p>
  </w:footnote>
  <w:footnote w:id="138">
    <w:p w14:paraId="38D0B674" w14:textId="6E8C36EB" w:rsidR="004E54D7" w:rsidRPr="002D3E0E" w:rsidRDefault="004E54D7" w:rsidP="004E54D7">
      <w:pPr>
        <w:pStyle w:val="FootnoteText"/>
      </w:pPr>
      <w:r w:rsidRPr="002D3E0E">
        <w:rPr>
          <w:rStyle w:val="FootnoteReference"/>
        </w:rPr>
        <w:footnoteRef/>
      </w:r>
      <w:r w:rsidRPr="002D3E0E">
        <w:t xml:space="preserve"> Ward, </w:t>
      </w:r>
      <w:r w:rsidRPr="002D3E0E">
        <w:rPr>
          <w:i/>
          <w:iCs/>
        </w:rPr>
        <w:t>Royal Childhood</w:t>
      </w:r>
      <w:r w:rsidRPr="002D3E0E">
        <w:t>, 255.</w:t>
      </w:r>
    </w:p>
  </w:footnote>
  <w:footnote w:id="139">
    <w:p w14:paraId="39F45602" w14:textId="5BF55CC6" w:rsidR="004E54D7" w:rsidRPr="002D3E0E" w:rsidRDefault="004E54D7" w:rsidP="004E54D7">
      <w:pPr>
        <w:pStyle w:val="FootnoteText"/>
      </w:pPr>
      <w:r w:rsidRPr="002D3E0E">
        <w:rPr>
          <w:rStyle w:val="FootnoteReference"/>
        </w:rPr>
        <w:footnoteRef/>
      </w:r>
      <w:r w:rsidRPr="002D3E0E">
        <w:t xml:space="preserve"> Ward, </w:t>
      </w:r>
      <w:r w:rsidRPr="002D3E0E">
        <w:rPr>
          <w:i/>
          <w:iCs/>
        </w:rPr>
        <w:t>Royal Childhood</w:t>
      </w:r>
      <w:r w:rsidRPr="002D3E0E">
        <w:t>, 252</w:t>
      </w:r>
      <w:r w:rsidR="0077275A" w:rsidRPr="002D3E0E">
        <w:t xml:space="preserve"> and</w:t>
      </w:r>
      <w:r w:rsidRPr="002D3E0E">
        <w:t xml:space="preserve"> 256. Alexander II, as Broun notes, was not a ‘boy king’ in the same manner as David, Máel Coluim IV, and Alexander III because he acceded aged sixteen. Therefore, he was knighted before his inauguration (</w:t>
      </w:r>
      <w:proofErr w:type="spellStart"/>
      <w:r w:rsidRPr="002D3E0E">
        <w:t>Dauvit</w:t>
      </w:r>
      <w:proofErr w:type="spellEnd"/>
      <w:r w:rsidRPr="002D3E0E">
        <w:t xml:space="preserve"> Broun, ‘Contemporary Perspectives on Alexander II’s Succession: </w:t>
      </w:r>
      <w:proofErr w:type="gramStart"/>
      <w:r w:rsidRPr="002D3E0E">
        <w:t>the</w:t>
      </w:r>
      <w:proofErr w:type="gramEnd"/>
      <w:r w:rsidRPr="002D3E0E">
        <w:t xml:space="preserve"> Evidence of King-lists’, in</w:t>
      </w:r>
      <w:r w:rsidR="0077275A" w:rsidRPr="002D3E0E">
        <w:t xml:space="preserve"> R. Oram (ed.), </w:t>
      </w:r>
      <w:r w:rsidRPr="002D3E0E">
        <w:rPr>
          <w:i/>
          <w:iCs/>
        </w:rPr>
        <w:t>The Reign of Alexander II, 1214-49</w:t>
      </w:r>
      <w:r w:rsidRPr="002D3E0E">
        <w:t xml:space="preserve"> (Leiden, 2005), 79-98</w:t>
      </w:r>
      <w:r w:rsidR="0077275A" w:rsidRPr="002D3E0E">
        <w:t>, at</w:t>
      </w:r>
      <w:r w:rsidRPr="002D3E0E">
        <w:t xml:space="preserve"> 81).</w:t>
      </w:r>
    </w:p>
  </w:footnote>
  <w:footnote w:id="140">
    <w:p w14:paraId="057CA51C" w14:textId="6365F15C" w:rsidR="004E54D7" w:rsidRPr="002D3E0E" w:rsidRDefault="004E54D7" w:rsidP="004E54D7">
      <w:pPr>
        <w:pStyle w:val="FootnoteText"/>
      </w:pPr>
      <w:r w:rsidRPr="002D3E0E">
        <w:rPr>
          <w:rStyle w:val="FootnoteReference"/>
        </w:rPr>
        <w:footnoteRef/>
      </w:r>
      <w:r w:rsidRPr="002D3E0E">
        <w:t xml:space="preserve"> Ward, </w:t>
      </w:r>
      <w:r w:rsidRPr="002D3E0E">
        <w:rPr>
          <w:i/>
          <w:iCs/>
        </w:rPr>
        <w:t>Royal Childhood</w:t>
      </w:r>
      <w:r w:rsidRPr="002D3E0E">
        <w:rPr>
          <w:iCs/>
        </w:rPr>
        <w:t xml:space="preserve">, 252 </w:t>
      </w:r>
      <w:r w:rsidR="0077275A" w:rsidRPr="002D3E0E">
        <w:rPr>
          <w:iCs/>
        </w:rPr>
        <w:t xml:space="preserve">and </w:t>
      </w:r>
      <w:r w:rsidRPr="002D3E0E">
        <w:rPr>
          <w:iCs/>
        </w:rPr>
        <w:t>256-7.</w:t>
      </w:r>
    </w:p>
  </w:footnote>
  <w:footnote w:id="141">
    <w:p w14:paraId="19D6C9B0" w14:textId="3D749DEE" w:rsidR="004E54D7" w:rsidRPr="002D3E0E" w:rsidRDefault="004E54D7" w:rsidP="004E54D7">
      <w:pPr>
        <w:pStyle w:val="FootnoteText"/>
      </w:pPr>
      <w:r w:rsidRPr="002D3E0E">
        <w:rPr>
          <w:rStyle w:val="FootnoteReference"/>
        </w:rPr>
        <w:footnoteRef/>
      </w:r>
      <w:r w:rsidRPr="002D3E0E">
        <w:t xml:space="preserve"> Keen, </w:t>
      </w:r>
      <w:r w:rsidRPr="002D3E0E">
        <w:rPr>
          <w:i/>
          <w:iCs/>
        </w:rPr>
        <w:t>Chivalry</w:t>
      </w:r>
      <w:r w:rsidRPr="002D3E0E">
        <w:t xml:space="preserve">, 68. </w:t>
      </w:r>
    </w:p>
  </w:footnote>
  <w:footnote w:id="142">
    <w:p w14:paraId="60042659" w14:textId="12684C3D" w:rsidR="004E54D7" w:rsidRPr="002D3E0E" w:rsidRDefault="004E54D7" w:rsidP="004E54D7">
      <w:pPr>
        <w:pStyle w:val="FootnoteText"/>
      </w:pPr>
      <w:r w:rsidRPr="002D3E0E">
        <w:rPr>
          <w:rStyle w:val="FootnoteReference"/>
        </w:rPr>
        <w:footnoteRef/>
      </w:r>
      <w:r w:rsidRPr="002D3E0E">
        <w:t xml:space="preserve"> D.</w:t>
      </w:r>
      <w:r w:rsidR="0077275A" w:rsidRPr="002D3E0E">
        <w:t xml:space="preserve"> </w:t>
      </w:r>
      <w:r w:rsidRPr="002D3E0E">
        <w:t>E.</w:t>
      </w:r>
      <w:r w:rsidR="0077275A" w:rsidRPr="002D3E0E">
        <w:t xml:space="preserve"> </w:t>
      </w:r>
      <w:r w:rsidRPr="002D3E0E">
        <w:t xml:space="preserve">R. Watt, ‘The Minority of Alexander III of Scotland’, </w:t>
      </w:r>
      <w:r w:rsidRPr="002D3E0E">
        <w:rPr>
          <w:i/>
          <w:iCs/>
        </w:rPr>
        <w:t>Transactions of the Royal Historical Society</w:t>
      </w:r>
      <w:r w:rsidRPr="002D3E0E">
        <w:t xml:space="preserve"> 21 (1971), 1-23</w:t>
      </w:r>
      <w:r w:rsidR="0077275A" w:rsidRPr="002D3E0E">
        <w:t>, at</w:t>
      </w:r>
      <w:r w:rsidRPr="002D3E0E">
        <w:t xml:space="preserve"> 7.</w:t>
      </w:r>
    </w:p>
  </w:footnote>
  <w:footnote w:id="143">
    <w:p w14:paraId="0CB364D8" w14:textId="2F0283B8" w:rsidR="001A2CAB" w:rsidRPr="002D3E0E" w:rsidRDefault="001A2CAB">
      <w:pPr>
        <w:pStyle w:val="FootnoteText"/>
      </w:pPr>
      <w:r w:rsidRPr="002D3E0E">
        <w:rPr>
          <w:rStyle w:val="FootnoteReference"/>
        </w:rPr>
        <w:footnoteRef/>
      </w:r>
      <w:r w:rsidRPr="002D3E0E">
        <w:t xml:space="preserve"> Penman, </w:t>
      </w:r>
      <w:r w:rsidRPr="002D3E0E">
        <w:rPr>
          <w:i/>
          <w:iCs/>
        </w:rPr>
        <w:t xml:space="preserve">Robert the Bruce, </w:t>
      </w:r>
      <w:r w:rsidRPr="002D3E0E">
        <w:t xml:space="preserve">268-9. </w:t>
      </w:r>
    </w:p>
  </w:footnote>
  <w:footnote w:id="144">
    <w:p w14:paraId="1A401421" w14:textId="2F01949F" w:rsidR="004E54D7" w:rsidRPr="002D3E0E" w:rsidRDefault="004E54D7" w:rsidP="004E54D7">
      <w:pPr>
        <w:pStyle w:val="FootnoteText"/>
      </w:pPr>
      <w:r w:rsidRPr="002D3E0E">
        <w:rPr>
          <w:rStyle w:val="FootnoteReference"/>
        </w:rPr>
        <w:footnoteRef/>
      </w:r>
      <w:r w:rsidRPr="002D3E0E">
        <w:t xml:space="preserve"> </w:t>
      </w:r>
      <w:r w:rsidRPr="002D3E0E">
        <w:rPr>
          <w:i/>
          <w:iCs/>
        </w:rPr>
        <w:t>Chron. Bower</w:t>
      </w:r>
      <w:r w:rsidRPr="002D3E0E">
        <w:t xml:space="preserve">, </w:t>
      </w:r>
      <w:r w:rsidR="0077275A" w:rsidRPr="002D3E0E">
        <w:t>vii</w:t>
      </w:r>
      <w:r w:rsidRPr="002D3E0E">
        <w:t>, 71.</w:t>
      </w:r>
      <w:r w:rsidR="00965DCB">
        <w:t xml:space="preserve"> This is verified by the exchequer rolls (</w:t>
      </w:r>
      <w:r w:rsidR="00965DCB">
        <w:rPr>
          <w:i/>
          <w:iCs/>
        </w:rPr>
        <w:t>ER</w:t>
      </w:r>
      <w:r w:rsidR="00965DCB">
        <w:t xml:space="preserve">, </w:t>
      </w:r>
      <w:proofErr w:type="spellStart"/>
      <w:r w:rsidR="00965DCB">
        <w:t>i</w:t>
      </w:r>
      <w:proofErr w:type="spellEnd"/>
      <w:r w:rsidR="00965DCB">
        <w:t xml:space="preserve">, 398). </w:t>
      </w:r>
    </w:p>
  </w:footnote>
  <w:footnote w:id="145">
    <w:p w14:paraId="2750E9C4" w14:textId="177A4E55" w:rsidR="004E54D7" w:rsidRPr="002D3E0E" w:rsidRDefault="004E54D7" w:rsidP="004E54D7">
      <w:pPr>
        <w:pStyle w:val="FootnoteText"/>
      </w:pPr>
      <w:r w:rsidRPr="002D3E0E">
        <w:rPr>
          <w:rStyle w:val="FootnoteReference"/>
        </w:rPr>
        <w:footnoteRef/>
      </w:r>
      <w:r w:rsidRPr="002D3E0E">
        <w:t xml:space="preserve"> Keen, </w:t>
      </w:r>
      <w:r w:rsidRPr="002D3E0E">
        <w:rPr>
          <w:i/>
          <w:iCs/>
        </w:rPr>
        <w:t>Chivalry</w:t>
      </w:r>
      <w:r w:rsidRPr="002D3E0E">
        <w:t>, 69.</w:t>
      </w:r>
    </w:p>
  </w:footnote>
  <w:footnote w:id="146">
    <w:p w14:paraId="6624CB62" w14:textId="40C96424" w:rsidR="004E54D7" w:rsidRPr="002D3E0E" w:rsidRDefault="004E54D7" w:rsidP="004E54D7">
      <w:pPr>
        <w:pStyle w:val="FootnoteText"/>
      </w:pPr>
      <w:r w:rsidRPr="002D3E0E">
        <w:rPr>
          <w:rStyle w:val="FootnoteReference"/>
        </w:rPr>
        <w:footnoteRef/>
      </w:r>
      <w:r w:rsidRPr="002D3E0E">
        <w:t xml:space="preserve"> Weiler, </w:t>
      </w:r>
      <w:r w:rsidRPr="002D3E0E">
        <w:rPr>
          <w:i/>
          <w:iCs/>
        </w:rPr>
        <w:t>Paths to Kingship</w:t>
      </w:r>
      <w:r w:rsidRPr="002D3E0E">
        <w:t>, 325.</w:t>
      </w:r>
    </w:p>
  </w:footnote>
  <w:footnote w:id="147">
    <w:p w14:paraId="557804E3" w14:textId="450AB54D" w:rsidR="00AC3FC8" w:rsidRPr="002D3E0E" w:rsidRDefault="00AC3FC8" w:rsidP="00AC3FC8">
      <w:pPr>
        <w:pStyle w:val="FootnoteText"/>
      </w:pPr>
      <w:r w:rsidRPr="002D3E0E">
        <w:rPr>
          <w:rStyle w:val="FootnoteReference"/>
        </w:rPr>
        <w:footnoteRef/>
      </w:r>
      <w:r w:rsidRPr="002D3E0E">
        <w:t xml:space="preserve"> Ramon Llull, </w:t>
      </w:r>
      <w:r w:rsidRPr="002D3E0E">
        <w:rPr>
          <w:i/>
          <w:iCs/>
        </w:rPr>
        <w:t xml:space="preserve">The Book of the Order of Chivalry, </w:t>
      </w:r>
      <w:r w:rsidRPr="002D3E0E">
        <w:t>Noel Fallows</w:t>
      </w:r>
      <w:r w:rsidR="0077275A" w:rsidRPr="002D3E0E">
        <w:t xml:space="preserve"> (trans.),</w:t>
      </w:r>
      <w:r w:rsidRPr="002D3E0E">
        <w:t xml:space="preserve"> (Woodbridge, 2013), 65.</w:t>
      </w:r>
    </w:p>
  </w:footnote>
  <w:footnote w:id="148">
    <w:p w14:paraId="786054A0" w14:textId="60185482" w:rsidR="00AC3FC8" w:rsidRPr="002D3E0E" w:rsidRDefault="00AC3FC8" w:rsidP="00AC3FC8">
      <w:pPr>
        <w:pStyle w:val="FootnoteText"/>
      </w:pPr>
      <w:r w:rsidRPr="002D3E0E">
        <w:rPr>
          <w:rStyle w:val="FootnoteReference"/>
        </w:rPr>
        <w:footnoteRef/>
      </w:r>
      <w:r w:rsidRPr="002D3E0E">
        <w:t xml:space="preserve"> Roger of Howden, ‘The Order of Coronation of Richard I, 1189’, </w:t>
      </w:r>
      <w:r w:rsidRPr="002D3E0E">
        <w:rPr>
          <w:i/>
          <w:iCs/>
        </w:rPr>
        <w:t>Medieval Sourcebook</w:t>
      </w:r>
      <w:r w:rsidRPr="002D3E0E">
        <w:t xml:space="preserve">, &lt;https://sourcebooks.fordham.edu/source/hoveden1189a.asp&gt; [accessed 6 January 2022]); </w:t>
      </w:r>
      <w:r w:rsidRPr="002D3E0E">
        <w:rPr>
          <w:i/>
          <w:iCs/>
        </w:rPr>
        <w:t xml:space="preserve">Chron. </w:t>
      </w:r>
      <w:proofErr w:type="spellStart"/>
      <w:r w:rsidRPr="002D3E0E">
        <w:rPr>
          <w:i/>
          <w:iCs/>
        </w:rPr>
        <w:t>Anonimalle</w:t>
      </w:r>
      <w:proofErr w:type="spellEnd"/>
      <w:r w:rsidRPr="002D3E0E">
        <w:rPr>
          <w:i/>
          <w:iCs/>
        </w:rPr>
        <w:t xml:space="preserve"> 1333 to 1381</w:t>
      </w:r>
      <w:r w:rsidRPr="002D3E0E">
        <w:t>, 109-11.</w:t>
      </w:r>
    </w:p>
  </w:footnote>
  <w:footnote w:id="149">
    <w:p w14:paraId="229B6800" w14:textId="5933F2B0" w:rsidR="00AC3FC8" w:rsidRPr="002D3E0E" w:rsidRDefault="00AC3FC8" w:rsidP="00AC3FC8">
      <w:pPr>
        <w:pStyle w:val="FootnoteText"/>
      </w:pPr>
      <w:r w:rsidRPr="002D3E0E">
        <w:rPr>
          <w:rStyle w:val="FootnoteReference"/>
        </w:rPr>
        <w:footnoteRef/>
      </w:r>
      <w:r w:rsidRPr="002D3E0E">
        <w:t xml:space="preserve"> Lindy Grant, </w:t>
      </w:r>
      <w:r w:rsidRPr="002D3E0E">
        <w:rPr>
          <w:i/>
          <w:iCs/>
        </w:rPr>
        <w:t xml:space="preserve">Blanche of Castile </w:t>
      </w:r>
      <w:r w:rsidRPr="002D3E0E">
        <w:t>(London, 2016), 62.</w:t>
      </w:r>
    </w:p>
  </w:footnote>
  <w:footnote w:id="150">
    <w:p w14:paraId="21ED1B3C" w14:textId="42ABF66C" w:rsidR="00530395" w:rsidRDefault="00530395">
      <w:pPr>
        <w:pStyle w:val="FootnoteText"/>
      </w:pPr>
      <w:r>
        <w:rPr>
          <w:rStyle w:val="FootnoteReference"/>
        </w:rPr>
        <w:footnoteRef/>
      </w:r>
      <w:r>
        <w:t xml:space="preserve"> </w:t>
      </w:r>
      <w:r w:rsidR="0060111D">
        <w:t xml:space="preserve">Hoffman, ‘Coronation and Coronation Ordines’, 128. </w:t>
      </w:r>
    </w:p>
  </w:footnote>
  <w:footnote w:id="151">
    <w:p w14:paraId="3EF194CD" w14:textId="77777777" w:rsidR="00AC3FC8" w:rsidRPr="002D3E0E" w:rsidRDefault="00AC3FC8" w:rsidP="00AC3FC8">
      <w:pPr>
        <w:pStyle w:val="FootnoteText"/>
      </w:pPr>
      <w:r w:rsidRPr="002D3E0E">
        <w:rPr>
          <w:rStyle w:val="FootnoteReference"/>
        </w:rPr>
        <w:footnoteRef/>
      </w:r>
      <w:r w:rsidRPr="002D3E0E">
        <w:t xml:space="preserve"> 1 Samuel 10:5.</w:t>
      </w:r>
    </w:p>
  </w:footnote>
  <w:footnote w:id="152">
    <w:p w14:paraId="67CA79D6" w14:textId="522A709A" w:rsidR="003A646C" w:rsidRPr="003A646C" w:rsidRDefault="003A646C">
      <w:pPr>
        <w:pStyle w:val="FootnoteText"/>
      </w:pPr>
      <w:r>
        <w:rPr>
          <w:rStyle w:val="FootnoteReference"/>
        </w:rPr>
        <w:footnoteRef/>
      </w:r>
      <w:r>
        <w:t xml:space="preserve"> John J. McGavin, ‘Robert II’s “Rough Music”: Charivari and Diplomacy in a Medieval Scottish Court’, </w:t>
      </w:r>
      <w:r>
        <w:rPr>
          <w:i/>
          <w:iCs/>
        </w:rPr>
        <w:t>Scottish Historical Review</w:t>
      </w:r>
      <w:r>
        <w:t xml:space="preserve"> 74 (1995), 144-158. </w:t>
      </w:r>
    </w:p>
  </w:footnote>
  <w:footnote w:id="153">
    <w:p w14:paraId="3AE0A38E" w14:textId="26B4E343" w:rsidR="00D04861" w:rsidRDefault="00D04861">
      <w:pPr>
        <w:pStyle w:val="FootnoteText"/>
      </w:pPr>
      <w:r>
        <w:rPr>
          <w:rStyle w:val="FootnoteReference"/>
        </w:rPr>
        <w:footnoteRef/>
      </w:r>
      <w:r>
        <w:t xml:space="preserve"> See previous discussion.</w:t>
      </w:r>
    </w:p>
  </w:footnote>
  <w:footnote w:id="154">
    <w:p w14:paraId="574CE252" w14:textId="4722CAD6" w:rsidR="00AC3FC8" w:rsidRPr="002D3E0E" w:rsidRDefault="00AC3FC8" w:rsidP="00AC3FC8">
      <w:pPr>
        <w:pStyle w:val="FootnoteText"/>
        <w:rPr>
          <w:color w:val="FF0000"/>
        </w:rPr>
      </w:pPr>
      <w:r w:rsidRPr="002D3E0E">
        <w:rPr>
          <w:rStyle w:val="FootnoteReference"/>
        </w:rPr>
        <w:footnoteRef/>
      </w:r>
      <w:r w:rsidRPr="002D3E0E">
        <w:t xml:space="preserve"> Watt,</w:t>
      </w:r>
      <w:r w:rsidR="00FB2A48" w:rsidRPr="002D3E0E">
        <w:t xml:space="preserve"> </w:t>
      </w:r>
      <w:r w:rsidR="00FB2A48" w:rsidRPr="002D3E0E">
        <w:rPr>
          <w:i/>
          <w:iCs/>
        </w:rPr>
        <w:t>Dictionary</w:t>
      </w:r>
      <w:r w:rsidR="00FB2A48" w:rsidRPr="002D3E0E">
        <w:t xml:space="preserve">, </w:t>
      </w:r>
      <w:r w:rsidRPr="002D3E0E">
        <w:t>38-9.</w:t>
      </w:r>
    </w:p>
  </w:footnote>
  <w:footnote w:id="155">
    <w:p w14:paraId="3B9350A9" w14:textId="1C7D3F7D" w:rsidR="00AC3FC8" w:rsidRPr="002D3E0E" w:rsidRDefault="00AC3FC8" w:rsidP="00AC3FC8">
      <w:pPr>
        <w:pStyle w:val="FootnoteText"/>
      </w:pPr>
      <w:r w:rsidRPr="002D3E0E">
        <w:rPr>
          <w:rStyle w:val="FootnoteReference"/>
        </w:rPr>
        <w:footnoteRef/>
      </w:r>
      <w:r w:rsidRPr="002D3E0E">
        <w:t xml:space="preserve"> </w:t>
      </w:r>
      <w:r w:rsidRPr="002D3E0E">
        <w:rPr>
          <w:i/>
          <w:iCs/>
        </w:rPr>
        <w:t xml:space="preserve">Chron. </w:t>
      </w:r>
      <w:proofErr w:type="spellStart"/>
      <w:r w:rsidRPr="002D3E0E">
        <w:rPr>
          <w:i/>
          <w:iCs/>
        </w:rPr>
        <w:t>Anonimalle</w:t>
      </w:r>
      <w:proofErr w:type="spellEnd"/>
      <w:r w:rsidRPr="002D3E0E">
        <w:rPr>
          <w:i/>
          <w:iCs/>
        </w:rPr>
        <w:t>, 1333-1381</w:t>
      </w:r>
      <w:r w:rsidRPr="002D3E0E">
        <w:t xml:space="preserve">, 110-111; Saul, </w:t>
      </w:r>
      <w:r w:rsidRPr="002D3E0E">
        <w:rPr>
          <w:i/>
          <w:iCs/>
        </w:rPr>
        <w:t>Richard II</w:t>
      </w:r>
      <w:r w:rsidRPr="002D3E0E">
        <w:t>, 16-17.</w:t>
      </w:r>
    </w:p>
  </w:footnote>
  <w:footnote w:id="156">
    <w:p w14:paraId="1D8A3A50" w14:textId="757D9C84" w:rsidR="00AC3FC8" w:rsidRPr="002D3E0E" w:rsidRDefault="00AC3FC8" w:rsidP="00AC3FC8">
      <w:pPr>
        <w:pStyle w:val="FootnoteText"/>
      </w:pPr>
      <w:r w:rsidRPr="002D3E0E">
        <w:rPr>
          <w:rStyle w:val="FootnoteReference"/>
        </w:rPr>
        <w:footnoteRef/>
      </w:r>
      <w:r w:rsidRPr="002D3E0E">
        <w:t xml:space="preserve"> Dean, ‘Crowns, Wedding Rings and Processions’, 110, 132; Duncan, </w:t>
      </w:r>
      <w:r w:rsidRPr="002D3E0E">
        <w:rPr>
          <w:i/>
          <w:iCs/>
        </w:rPr>
        <w:t>Kingship of the Scots</w:t>
      </w:r>
      <w:r w:rsidRPr="002D3E0E">
        <w:t xml:space="preserve">, 137. </w:t>
      </w:r>
    </w:p>
  </w:footnote>
  <w:footnote w:id="157">
    <w:p w14:paraId="5AEBDD83" w14:textId="4A9CE7FC" w:rsidR="00AC3FC8" w:rsidRPr="002D3E0E" w:rsidRDefault="00AC3FC8" w:rsidP="00AC3FC8">
      <w:pPr>
        <w:pStyle w:val="FootnoteText"/>
      </w:pPr>
      <w:r w:rsidRPr="002D3E0E">
        <w:rPr>
          <w:rStyle w:val="FootnoteReference"/>
        </w:rPr>
        <w:footnoteRef/>
      </w:r>
      <w:r w:rsidRPr="002D3E0E">
        <w:t xml:space="preserve"> </w:t>
      </w:r>
      <w:r w:rsidR="003C5364" w:rsidRPr="002D3E0E">
        <w:t>‘</w:t>
      </w:r>
      <w:proofErr w:type="gramStart"/>
      <w:r w:rsidR="003C5364" w:rsidRPr="002D3E0E">
        <w:t>they</w:t>
      </w:r>
      <w:proofErr w:type="gramEnd"/>
      <w:r w:rsidR="003C5364" w:rsidRPr="002D3E0E">
        <w:t xml:space="preserve"> will not presume to injure ecclesiastical liberties and immunities or reduce them or others, in fact they will protect and preserve the same unharmed, and they will make their subjects observe them inviolably’ (</w:t>
      </w:r>
      <w:r w:rsidRPr="002D3E0E">
        <w:rPr>
          <w:i/>
          <w:iCs/>
        </w:rPr>
        <w:t>Vet. Mon.</w:t>
      </w:r>
      <w:r w:rsidRPr="002D3E0E">
        <w:t>, CCCCLXXX</w:t>
      </w:r>
      <w:r w:rsidR="003C5364" w:rsidRPr="002D3E0E">
        <w:t>)</w:t>
      </w:r>
      <w:r w:rsidRPr="002D3E0E">
        <w:t xml:space="preserve">. </w:t>
      </w:r>
    </w:p>
  </w:footnote>
  <w:footnote w:id="158">
    <w:p w14:paraId="0F74B624" w14:textId="190545B8" w:rsidR="0053504B" w:rsidRPr="0053504B" w:rsidRDefault="0053504B">
      <w:pPr>
        <w:pStyle w:val="FootnoteText"/>
      </w:pPr>
      <w:r>
        <w:rPr>
          <w:rStyle w:val="FootnoteReference"/>
        </w:rPr>
        <w:footnoteRef/>
      </w:r>
      <w:r>
        <w:t xml:space="preserve"> Duncan suggests Bishop Robert Wishart obtained this commitment from Robert I in 1306, inspired by the </w:t>
      </w:r>
      <w:r>
        <w:rPr>
          <w:i/>
          <w:iCs/>
        </w:rPr>
        <w:t>Life of Kentigern</w:t>
      </w:r>
      <w:r>
        <w:t xml:space="preserve">’s account of King </w:t>
      </w:r>
      <w:proofErr w:type="spellStart"/>
      <w:r>
        <w:t>Rederech</w:t>
      </w:r>
      <w:proofErr w:type="spellEnd"/>
      <w:r>
        <w:t xml:space="preserve"> subjecting himself to Kentigern (A.A.M. Duncan, ‘Wishart, Robert’, </w:t>
      </w:r>
      <w:r>
        <w:rPr>
          <w:i/>
          <w:iCs/>
        </w:rPr>
        <w:t>Oxford Dictionary of National Biography</w:t>
      </w:r>
      <w:r>
        <w:t>, &lt;</w:t>
      </w:r>
      <w:r w:rsidRPr="0053504B">
        <w:t>https://www-oxforddnb-com /view/10.1093/ref:odnb/9780198614128.001.0001/odnb-9780198614128-e-29797</w:t>
      </w:r>
      <w:r>
        <w:t>&gt; [accessed 17.09.2025]</w:t>
      </w:r>
      <w:r w:rsidR="000F4803">
        <w:t xml:space="preserve">; Jocelyn, </w:t>
      </w:r>
      <w:r w:rsidR="000F4803">
        <w:rPr>
          <w:i/>
          <w:iCs/>
        </w:rPr>
        <w:t>The Life of Kentigern</w:t>
      </w:r>
      <w:r w:rsidR="000F4803">
        <w:t xml:space="preserve">, Cynthia Whiddon Green (trans.), </w:t>
      </w:r>
      <w:r w:rsidR="000F4803">
        <w:rPr>
          <w:i/>
          <w:iCs/>
        </w:rPr>
        <w:t>Internet Medieval Sourcebook</w:t>
      </w:r>
      <w:r w:rsidR="000F4803">
        <w:t>, c. xxxiii,</w:t>
      </w:r>
      <w:r w:rsidR="000F4803">
        <w:rPr>
          <w:i/>
          <w:iCs/>
        </w:rPr>
        <w:t xml:space="preserve"> </w:t>
      </w:r>
      <w:r w:rsidR="000F4803">
        <w:t>&lt;</w:t>
      </w:r>
      <w:r w:rsidR="000F4803" w:rsidRPr="000F4803">
        <w:t>https://sourcebooks.fordham.edu/basis/jocelyn-lifeofkentigern.asp</w:t>
      </w:r>
      <w:r w:rsidR="000F4803">
        <w:t>&gt; [accessed 17.09.2025]</w:t>
      </w:r>
      <w:r>
        <w:t xml:space="preserve">. </w:t>
      </w:r>
    </w:p>
  </w:footnote>
  <w:footnote w:id="159">
    <w:p w14:paraId="259DCB40" w14:textId="0971298E" w:rsidR="00AC3FC8" w:rsidRPr="002D3E0E" w:rsidRDefault="00AC3FC8" w:rsidP="00AC3FC8">
      <w:pPr>
        <w:pStyle w:val="FootnoteText"/>
        <w:rPr>
          <w:color w:val="FF0000"/>
        </w:rPr>
      </w:pPr>
      <w:r w:rsidRPr="002D3E0E">
        <w:rPr>
          <w:rStyle w:val="FootnoteReference"/>
        </w:rPr>
        <w:footnoteRef/>
      </w:r>
      <w:r w:rsidR="003C5364" w:rsidRPr="002D3E0E">
        <w:t xml:space="preserve"> ‘And that the lord king shall renew the oath [that] was furnished by him in another place at his coronation, namely that he shall not alienate his lands, dominions, possessions, or any rents however small pertaining to the crown’ (</w:t>
      </w:r>
      <w:r w:rsidRPr="002D3E0E">
        <w:rPr>
          <w:i/>
          <w:iCs/>
        </w:rPr>
        <w:t>RPS</w:t>
      </w:r>
      <w:r w:rsidRPr="002D3E0E">
        <w:t>, 1357/11/9</w:t>
      </w:r>
      <w:r w:rsidR="00883220" w:rsidRPr="002D3E0E">
        <w:t>, &lt;http://www.rps.ac.uk/mss/1357/11/9&gt; [accessed 03.09.2024]</w:t>
      </w:r>
      <w:r w:rsidR="00373ED7" w:rsidRPr="002D3E0E">
        <w:t xml:space="preserve">; </w:t>
      </w:r>
      <w:r w:rsidR="00373ED7" w:rsidRPr="002D3E0E">
        <w:rPr>
          <w:i/>
          <w:iCs/>
        </w:rPr>
        <w:t>APS</w:t>
      </w:r>
      <w:r w:rsidR="00373ED7" w:rsidRPr="002D3E0E">
        <w:t xml:space="preserve">, </w:t>
      </w:r>
      <w:proofErr w:type="spellStart"/>
      <w:r w:rsidR="00FA78A2" w:rsidRPr="002D3E0E">
        <w:t>i</w:t>
      </w:r>
      <w:proofErr w:type="spellEnd"/>
      <w:r w:rsidR="00373ED7" w:rsidRPr="002D3E0E">
        <w:t>, 492</w:t>
      </w:r>
      <w:r w:rsidR="003C5364" w:rsidRPr="002D3E0E">
        <w:t>)</w:t>
      </w:r>
      <w:r w:rsidR="00373ED7" w:rsidRPr="002D3E0E">
        <w:t>.</w:t>
      </w:r>
    </w:p>
  </w:footnote>
  <w:footnote w:id="160">
    <w:p w14:paraId="318B15DE" w14:textId="71DE191C" w:rsidR="00AC3FC8" w:rsidRPr="002D3E0E" w:rsidRDefault="00AC3FC8" w:rsidP="00AC3FC8">
      <w:pPr>
        <w:pStyle w:val="FootnoteText"/>
      </w:pPr>
      <w:r w:rsidRPr="002D3E0E">
        <w:rPr>
          <w:rStyle w:val="FootnoteReference"/>
        </w:rPr>
        <w:footnoteRef/>
      </w:r>
      <w:r w:rsidRPr="002D3E0E">
        <w:t xml:space="preserve"> Dean, ‘Crowns’, 106</w:t>
      </w:r>
      <w:r w:rsidR="00FA78A2" w:rsidRPr="002D3E0E">
        <w:t xml:space="preserve"> and</w:t>
      </w:r>
      <w:r w:rsidRPr="002D3E0E">
        <w:t xml:space="preserve"> 109; Duncan, </w:t>
      </w:r>
      <w:r w:rsidRPr="002D3E0E">
        <w:rPr>
          <w:i/>
          <w:iCs/>
        </w:rPr>
        <w:t>Kingship of the Scots</w:t>
      </w:r>
      <w:r w:rsidRPr="002D3E0E">
        <w:t>, 135.</w:t>
      </w:r>
    </w:p>
  </w:footnote>
  <w:footnote w:id="161">
    <w:p w14:paraId="3FD2A14B" w14:textId="792582C8" w:rsidR="00AC3FC8" w:rsidRPr="002D3E0E" w:rsidRDefault="00AC3FC8" w:rsidP="00AC3FC8">
      <w:pPr>
        <w:pStyle w:val="FootnoteText"/>
      </w:pPr>
      <w:r w:rsidRPr="002D3E0E">
        <w:rPr>
          <w:rStyle w:val="FootnoteReference"/>
        </w:rPr>
        <w:footnoteRef/>
      </w:r>
      <w:r w:rsidRPr="002D3E0E">
        <w:t xml:space="preserve"> Ward, </w:t>
      </w:r>
      <w:r w:rsidRPr="002D3E0E">
        <w:rPr>
          <w:i/>
          <w:iCs/>
        </w:rPr>
        <w:t>Royal Childhood</w:t>
      </w:r>
      <w:r w:rsidRPr="002D3E0E">
        <w:t xml:space="preserve">, 9. </w:t>
      </w:r>
    </w:p>
  </w:footnote>
  <w:footnote w:id="162">
    <w:p w14:paraId="302B3A5E" w14:textId="77777777" w:rsidR="00F21493" w:rsidRPr="002D3E0E" w:rsidRDefault="00F21493" w:rsidP="00F21493">
      <w:pPr>
        <w:pStyle w:val="FootnoteText"/>
      </w:pPr>
      <w:r w:rsidRPr="002D3E0E">
        <w:rPr>
          <w:rStyle w:val="FootnoteReference"/>
        </w:rPr>
        <w:footnoteRef/>
      </w:r>
      <w:r w:rsidRPr="002D3E0E">
        <w:t xml:space="preserve"> </w:t>
      </w:r>
      <w:r w:rsidRPr="002D3E0E">
        <w:rPr>
          <w:i/>
          <w:iCs/>
        </w:rPr>
        <w:t>Vet. Mon.</w:t>
      </w:r>
      <w:r w:rsidRPr="002D3E0E">
        <w:t xml:space="preserve">, CCCCLXXX. </w:t>
      </w:r>
    </w:p>
  </w:footnote>
  <w:footnote w:id="163">
    <w:p w14:paraId="3883692B" w14:textId="2F02421B" w:rsidR="00F21493" w:rsidRPr="002D3E0E" w:rsidRDefault="00F21493">
      <w:pPr>
        <w:pStyle w:val="FootnoteText"/>
      </w:pPr>
      <w:r w:rsidRPr="002D3E0E">
        <w:rPr>
          <w:rStyle w:val="FootnoteReference"/>
        </w:rPr>
        <w:footnoteRef/>
      </w:r>
      <w:r w:rsidRPr="002D3E0E">
        <w:t xml:space="preserve"> </w:t>
      </w:r>
      <w:r w:rsidR="0075116A" w:rsidRPr="002D3E0E">
        <w:t>T</w:t>
      </w:r>
      <w:r w:rsidRPr="002D3E0E">
        <w:t xml:space="preserve">hree Scottish bishops were at </w:t>
      </w:r>
      <w:r w:rsidR="001F4E5B" w:rsidRPr="002D3E0E">
        <w:t xml:space="preserve">the papal court </w:t>
      </w:r>
      <w:r w:rsidRPr="002D3E0E">
        <w:t>when unction was g</w:t>
      </w:r>
      <w:r w:rsidR="001F4E5B" w:rsidRPr="002D3E0E">
        <w:t>ranted to the Scots</w:t>
      </w:r>
      <w:r w:rsidRPr="002D3E0E">
        <w:t xml:space="preserve">: the </w:t>
      </w:r>
      <w:r w:rsidR="001F4E5B" w:rsidRPr="002D3E0E">
        <w:t>letter</w:t>
      </w:r>
      <w:r w:rsidRPr="002D3E0E">
        <w:t xml:space="preserve"> is dated 15 June 1329. They </w:t>
      </w:r>
      <w:r w:rsidR="001F4E5B" w:rsidRPr="002D3E0E">
        <w:t>probably</w:t>
      </w:r>
      <w:r w:rsidRPr="002D3E0E">
        <w:t xml:space="preserve"> returned to Scotland by August, so perhaps received the oil while </w:t>
      </w:r>
      <w:r w:rsidR="0075116A" w:rsidRPr="002D3E0E">
        <w:t>in Avignon</w:t>
      </w:r>
      <w:r w:rsidRPr="002D3E0E">
        <w:t xml:space="preserve"> (Watt, </w:t>
      </w:r>
      <w:r w:rsidRPr="002D3E0E">
        <w:rPr>
          <w:i/>
          <w:iCs/>
        </w:rPr>
        <w:t>Dictionary</w:t>
      </w:r>
      <w:r w:rsidRPr="002D3E0E">
        <w:t>, 38</w:t>
      </w:r>
      <w:r w:rsidR="00FA78A2" w:rsidRPr="002D3E0E">
        <w:t xml:space="preserve"> and </w:t>
      </w:r>
      <w:r w:rsidRPr="002D3E0E">
        <w:t xml:space="preserve">405-6). </w:t>
      </w:r>
    </w:p>
  </w:footnote>
  <w:footnote w:id="164">
    <w:p w14:paraId="3B67AAD3" w14:textId="597CB298" w:rsidR="00BB31D3" w:rsidRPr="002D3E0E" w:rsidRDefault="00BB31D3">
      <w:pPr>
        <w:pStyle w:val="FootnoteText"/>
      </w:pPr>
      <w:r w:rsidRPr="002D3E0E">
        <w:rPr>
          <w:rStyle w:val="FootnoteReference"/>
        </w:rPr>
        <w:footnoteRef/>
      </w:r>
      <w:r w:rsidRPr="002D3E0E">
        <w:t xml:space="preserve"> Dean </w:t>
      </w:r>
      <w:r w:rsidR="00825443" w:rsidRPr="002D3E0E">
        <w:t>argue</w:t>
      </w:r>
      <w:r w:rsidR="00D035F4" w:rsidRPr="002D3E0E">
        <w:t>s</w:t>
      </w:r>
      <w:r w:rsidR="00825443" w:rsidRPr="002D3E0E">
        <w:t xml:space="preserve"> that the oil was associated with St Margaret’s cult at </w:t>
      </w:r>
      <w:proofErr w:type="gramStart"/>
      <w:r w:rsidR="00825443" w:rsidRPr="002D3E0E">
        <w:t>Dunfermline, but</w:t>
      </w:r>
      <w:proofErr w:type="gramEnd"/>
      <w:r w:rsidR="00825443" w:rsidRPr="002D3E0E">
        <w:t xml:space="preserve"> recently noted that there is no evidence for this </w:t>
      </w:r>
      <w:r w:rsidRPr="002D3E0E">
        <w:t>(Dean, ‘Crowns, Wedding Rings and Processions</w:t>
      </w:r>
      <w:r w:rsidR="00566D8E" w:rsidRPr="002D3E0E">
        <w:t>’</w:t>
      </w:r>
      <w:r w:rsidRPr="002D3E0E">
        <w:t>, 122</w:t>
      </w:r>
      <w:r w:rsidR="00825443" w:rsidRPr="002D3E0E">
        <w:t xml:space="preserve">; Dean, </w:t>
      </w:r>
      <w:r w:rsidR="00825443" w:rsidRPr="002D3E0E">
        <w:rPr>
          <w:i/>
          <w:iCs/>
        </w:rPr>
        <w:t>Death and the Royal Succession</w:t>
      </w:r>
      <w:r w:rsidR="00825443" w:rsidRPr="002D3E0E">
        <w:t>, 96</w:t>
      </w:r>
      <w:r w:rsidR="00FA78A2" w:rsidRPr="002D3E0E">
        <w:t xml:space="preserve"> and</w:t>
      </w:r>
      <w:r w:rsidR="00825443" w:rsidRPr="002D3E0E">
        <w:t xml:space="preserve"> 125</w:t>
      </w:r>
      <w:r w:rsidRPr="002D3E0E">
        <w:t xml:space="preserve">). In France and England, saints </w:t>
      </w:r>
      <w:r w:rsidR="00F9419D" w:rsidRPr="002D3E0E">
        <w:t xml:space="preserve">were only associated with </w:t>
      </w:r>
      <w:r w:rsidRPr="002D3E0E">
        <w:t xml:space="preserve">their inaugural oils centuries after the first anointment of a king (Chantal Grell, ‘The </w:t>
      </w:r>
      <w:proofErr w:type="spellStart"/>
      <w:r w:rsidRPr="002D3E0E">
        <w:rPr>
          <w:i/>
          <w:iCs/>
        </w:rPr>
        <w:t>sacre</w:t>
      </w:r>
      <w:proofErr w:type="spellEnd"/>
      <w:r w:rsidRPr="002D3E0E">
        <w:rPr>
          <w:i/>
          <w:iCs/>
        </w:rPr>
        <w:t xml:space="preserve"> </w:t>
      </w:r>
      <w:r w:rsidRPr="002D3E0E">
        <w:t xml:space="preserve">of Louis XVI: The End of a Myth’, </w:t>
      </w:r>
      <w:r w:rsidR="00FA78A2" w:rsidRPr="002D3E0E">
        <w:t xml:space="preserve">in Michael Schaich (ed.), </w:t>
      </w:r>
      <w:r w:rsidRPr="002D3E0E">
        <w:rPr>
          <w:i/>
          <w:iCs/>
        </w:rPr>
        <w:t>Monarchy and Religion: The Transformation of Royal Culture in Eighteenth-Century Europe</w:t>
      </w:r>
      <w:r w:rsidR="00FA78A2" w:rsidRPr="002D3E0E">
        <w:rPr>
          <w:i/>
          <w:iCs/>
        </w:rPr>
        <w:t xml:space="preserve"> </w:t>
      </w:r>
      <w:r w:rsidRPr="002D3E0E">
        <w:t>(Oxford, 2007), 345-66</w:t>
      </w:r>
      <w:r w:rsidR="00FA78A2" w:rsidRPr="002D3E0E">
        <w:t>, at</w:t>
      </w:r>
      <w:r w:rsidR="0029336C" w:rsidRPr="002D3E0E">
        <w:t xml:space="preserve"> </w:t>
      </w:r>
      <w:r w:rsidRPr="002D3E0E">
        <w:t>346); J.</w:t>
      </w:r>
      <w:r w:rsidR="00FA78A2" w:rsidRPr="002D3E0E">
        <w:t xml:space="preserve"> </w:t>
      </w:r>
      <w:r w:rsidRPr="002D3E0E">
        <w:t xml:space="preserve">W. McKenna, ‘The Coronation Oil of the Yorkist Kings’, </w:t>
      </w:r>
      <w:r w:rsidR="00682CF1" w:rsidRPr="002D3E0E">
        <w:rPr>
          <w:i/>
          <w:iCs/>
        </w:rPr>
        <w:t>English Historical Review</w:t>
      </w:r>
      <w:r w:rsidR="00FA78A2" w:rsidRPr="002D3E0E">
        <w:rPr>
          <w:i/>
          <w:iCs/>
        </w:rPr>
        <w:t xml:space="preserve"> </w:t>
      </w:r>
      <w:r w:rsidRPr="002D3E0E">
        <w:t>82</w:t>
      </w:r>
      <w:r w:rsidR="00FA78A2" w:rsidRPr="002D3E0E">
        <w:t xml:space="preserve"> </w:t>
      </w:r>
      <w:r w:rsidRPr="002D3E0E">
        <w:t>(1967), 102-4</w:t>
      </w:r>
      <w:r w:rsidR="00FA78A2" w:rsidRPr="002D3E0E">
        <w:t>, at</w:t>
      </w:r>
      <w:r w:rsidR="0029336C" w:rsidRPr="002D3E0E">
        <w:t xml:space="preserve"> </w:t>
      </w:r>
      <w:r w:rsidRPr="002D3E0E">
        <w:t>102)</w:t>
      </w:r>
      <w:r w:rsidR="0075116A" w:rsidRPr="002D3E0E">
        <w:t xml:space="preserve">. </w:t>
      </w:r>
    </w:p>
  </w:footnote>
  <w:footnote w:id="165">
    <w:p w14:paraId="0F815847" w14:textId="11BD0928" w:rsidR="00645EA4" w:rsidRPr="002D3E0E" w:rsidRDefault="00645EA4">
      <w:pPr>
        <w:pStyle w:val="FootnoteText"/>
      </w:pPr>
      <w:r w:rsidRPr="002D3E0E">
        <w:rPr>
          <w:rStyle w:val="FootnoteReference"/>
        </w:rPr>
        <w:footnoteRef/>
      </w:r>
      <w:r w:rsidRPr="002D3E0E">
        <w:t xml:space="preserve"> </w:t>
      </w:r>
      <w:r w:rsidRPr="002D3E0E">
        <w:rPr>
          <w:i/>
          <w:iCs/>
        </w:rPr>
        <w:t xml:space="preserve">Chron. </w:t>
      </w:r>
      <w:proofErr w:type="spellStart"/>
      <w:r w:rsidRPr="002D3E0E">
        <w:rPr>
          <w:i/>
          <w:iCs/>
        </w:rPr>
        <w:t>Anonimalle</w:t>
      </w:r>
      <w:proofErr w:type="spellEnd"/>
      <w:r w:rsidRPr="002D3E0E">
        <w:rPr>
          <w:i/>
          <w:iCs/>
        </w:rPr>
        <w:t>, 1333-1381</w:t>
      </w:r>
      <w:r w:rsidRPr="002D3E0E">
        <w:t>, 110-111.</w:t>
      </w:r>
    </w:p>
  </w:footnote>
  <w:footnote w:id="166">
    <w:p w14:paraId="368F5320" w14:textId="61C590E8" w:rsidR="00645EA4" w:rsidRPr="002D3E0E" w:rsidRDefault="00645EA4">
      <w:pPr>
        <w:pStyle w:val="FootnoteText"/>
      </w:pPr>
      <w:r w:rsidRPr="002D3E0E">
        <w:rPr>
          <w:rStyle w:val="FootnoteReference"/>
        </w:rPr>
        <w:footnoteRef/>
      </w:r>
      <w:r w:rsidRPr="002D3E0E">
        <w:t xml:space="preserve"> </w:t>
      </w:r>
      <w:r w:rsidRPr="002D3E0E">
        <w:rPr>
          <w:i/>
          <w:iCs/>
        </w:rPr>
        <w:t>Ibid</w:t>
      </w:r>
      <w:r w:rsidRPr="002D3E0E">
        <w:t xml:space="preserve">. </w:t>
      </w:r>
    </w:p>
  </w:footnote>
  <w:footnote w:id="167">
    <w:p w14:paraId="05580912" w14:textId="462074DF" w:rsidR="00916A97" w:rsidRPr="002D3E0E" w:rsidRDefault="00916A97">
      <w:pPr>
        <w:pStyle w:val="FootnoteText"/>
      </w:pPr>
      <w:r w:rsidRPr="002D3E0E">
        <w:rPr>
          <w:rStyle w:val="FootnoteReference"/>
        </w:rPr>
        <w:footnoteRef/>
      </w:r>
      <w:r w:rsidRPr="002D3E0E">
        <w:t xml:space="preserve"> </w:t>
      </w:r>
      <w:r w:rsidR="003C5364" w:rsidRPr="002D3E0E">
        <w:t>‘</w:t>
      </w:r>
      <w:proofErr w:type="gramStart"/>
      <w:r w:rsidR="003C5364" w:rsidRPr="002D3E0E">
        <w:t>for</w:t>
      </w:r>
      <w:proofErr w:type="gramEnd"/>
      <w:r w:rsidR="003C5364" w:rsidRPr="002D3E0E">
        <w:t xml:space="preserve"> when Saul was anointed, the spirit of the Lord sprang upon him, and he was changed into an alternate man’ (</w:t>
      </w:r>
      <w:r w:rsidRPr="002D3E0E">
        <w:rPr>
          <w:i/>
          <w:iCs/>
        </w:rPr>
        <w:t>Vet. Mon.</w:t>
      </w:r>
      <w:r w:rsidRPr="002D3E0E">
        <w:t>, CCCCLXXX</w:t>
      </w:r>
      <w:r w:rsidR="003C5364" w:rsidRPr="002D3E0E">
        <w:t>)</w:t>
      </w:r>
      <w:r w:rsidRPr="002D3E0E">
        <w:t xml:space="preserve">. </w:t>
      </w:r>
    </w:p>
  </w:footnote>
  <w:footnote w:id="168">
    <w:p w14:paraId="3BA2B2A5" w14:textId="273BC07A" w:rsidR="00147B2B" w:rsidRPr="002D3E0E" w:rsidRDefault="00147B2B" w:rsidP="00147B2B">
      <w:pPr>
        <w:pStyle w:val="FootnoteText"/>
      </w:pPr>
      <w:r w:rsidRPr="002D3E0E">
        <w:rPr>
          <w:rStyle w:val="FootnoteReference"/>
        </w:rPr>
        <w:footnoteRef/>
      </w:r>
      <w:r w:rsidRPr="002D3E0E">
        <w:t xml:space="preserve"> </w:t>
      </w:r>
      <w:r w:rsidR="0029336C" w:rsidRPr="002D3E0E">
        <w:t xml:space="preserve">P. </w:t>
      </w:r>
      <w:r w:rsidRPr="002D3E0E">
        <w:t xml:space="preserve"> Buc, ‘</w:t>
      </w:r>
      <w:r w:rsidRPr="002D3E0E">
        <w:rPr>
          <w:i/>
          <w:iCs/>
        </w:rPr>
        <w:t xml:space="preserve">Principes gentium </w:t>
      </w:r>
      <w:proofErr w:type="spellStart"/>
      <w:r w:rsidRPr="002D3E0E">
        <w:rPr>
          <w:i/>
          <w:iCs/>
        </w:rPr>
        <w:t>dominatur</w:t>
      </w:r>
      <w:proofErr w:type="spellEnd"/>
      <w:r w:rsidRPr="002D3E0E">
        <w:rPr>
          <w:i/>
          <w:iCs/>
        </w:rPr>
        <w:t xml:space="preserve"> </w:t>
      </w:r>
      <w:proofErr w:type="spellStart"/>
      <w:r w:rsidRPr="002D3E0E">
        <w:rPr>
          <w:i/>
          <w:iCs/>
        </w:rPr>
        <w:t>eorum</w:t>
      </w:r>
      <w:proofErr w:type="spellEnd"/>
      <w:r w:rsidR="00074E88" w:rsidRPr="002D3E0E">
        <w:t>’</w:t>
      </w:r>
      <w:r w:rsidRPr="002D3E0E">
        <w:t xml:space="preserve">, 321-2; Sophie Ambler, </w:t>
      </w:r>
      <w:r w:rsidRPr="002D3E0E">
        <w:rPr>
          <w:i/>
          <w:iCs/>
        </w:rPr>
        <w:t xml:space="preserve">Bishops in the Political Community of England, 1213-1272 </w:t>
      </w:r>
      <w:r w:rsidRPr="002D3E0E">
        <w:t>(Oxford, 2017), 32-35, 63-4</w:t>
      </w:r>
      <w:r w:rsidR="002F1936" w:rsidRPr="002D3E0E">
        <w:t>,</w:t>
      </w:r>
      <w:r w:rsidRPr="002D3E0E">
        <w:t xml:space="preserve"> 68</w:t>
      </w:r>
      <w:r w:rsidR="002F1936" w:rsidRPr="002D3E0E">
        <w:t xml:space="preserve"> and</w:t>
      </w:r>
      <w:r w:rsidRPr="002D3E0E">
        <w:t xml:space="preserve"> 72; S. Ambler, ‘The Montfortian Bishops and the justification of conciliar government in 1264’, </w:t>
      </w:r>
      <w:r w:rsidRPr="002D3E0E">
        <w:rPr>
          <w:i/>
          <w:iCs/>
        </w:rPr>
        <w:t>Historical Research</w:t>
      </w:r>
      <w:r w:rsidRPr="002D3E0E">
        <w:t>, 85 (2011), 193-209</w:t>
      </w:r>
      <w:r w:rsidR="002F1936" w:rsidRPr="002D3E0E">
        <w:t>, at</w:t>
      </w:r>
      <w:r w:rsidRPr="002D3E0E">
        <w:t xml:space="preserve"> 197-9; D.L. </w:t>
      </w:r>
      <w:proofErr w:type="spellStart"/>
      <w:r w:rsidRPr="002D3E0E">
        <w:t>d’Avray</w:t>
      </w:r>
      <w:proofErr w:type="spellEnd"/>
      <w:r w:rsidRPr="002D3E0E">
        <w:t xml:space="preserve">, “Magna Carta”: its background in Stephen Langton’s academic biblical exegesis and its episcopal reception’, </w:t>
      </w:r>
      <w:r w:rsidRPr="002D3E0E">
        <w:rPr>
          <w:i/>
          <w:iCs/>
        </w:rPr>
        <w:t xml:space="preserve">Studi Medievali, </w:t>
      </w:r>
      <w:r w:rsidRPr="002D3E0E">
        <w:t>38 (1997), 423-38</w:t>
      </w:r>
      <w:r w:rsidR="002F1936" w:rsidRPr="002D3E0E">
        <w:t>, at</w:t>
      </w:r>
      <w:r w:rsidR="0029336C" w:rsidRPr="002D3E0E">
        <w:t xml:space="preserve"> </w:t>
      </w:r>
      <w:r w:rsidRPr="002D3E0E">
        <w:t>427-8.</w:t>
      </w:r>
    </w:p>
  </w:footnote>
  <w:footnote w:id="169">
    <w:p w14:paraId="16AA1ED0" w14:textId="0A09438F" w:rsidR="006E5AEA" w:rsidRPr="002D3E0E" w:rsidRDefault="006E5AEA">
      <w:pPr>
        <w:pStyle w:val="FootnoteText"/>
      </w:pPr>
      <w:r w:rsidRPr="002D3E0E">
        <w:rPr>
          <w:rStyle w:val="FootnoteReference"/>
        </w:rPr>
        <w:footnoteRef/>
      </w:r>
      <w:r w:rsidRPr="002D3E0E">
        <w:t xml:space="preserve"> Dean, ‘Crown</w:t>
      </w:r>
      <w:r w:rsidR="00D356EC" w:rsidRPr="002D3E0E">
        <w:t>ing the Child’, 265 n. 55.</w:t>
      </w:r>
    </w:p>
  </w:footnote>
  <w:footnote w:id="170">
    <w:p w14:paraId="090E1E84" w14:textId="77777777" w:rsidR="000B16DC" w:rsidRPr="002D3E0E" w:rsidRDefault="000B16DC" w:rsidP="000B16DC">
      <w:pPr>
        <w:pStyle w:val="FootnoteText"/>
      </w:pPr>
      <w:r w:rsidRPr="002D3E0E">
        <w:rPr>
          <w:rStyle w:val="FootnoteReference"/>
        </w:rPr>
        <w:footnoteRef/>
      </w:r>
      <w:r w:rsidRPr="002D3E0E">
        <w:t xml:space="preserve"> Walter de Gray Birch, </w:t>
      </w:r>
      <w:r w:rsidRPr="002D3E0E">
        <w:rPr>
          <w:i/>
          <w:iCs/>
        </w:rPr>
        <w:t>History of Scottish Seals</w:t>
      </w:r>
      <w:r w:rsidRPr="002D3E0E">
        <w:t>, 2 vols (London, 1905), ii, 255.</w:t>
      </w:r>
    </w:p>
  </w:footnote>
  <w:footnote w:id="171">
    <w:p w14:paraId="539F1290" w14:textId="5502C7D7" w:rsidR="000B16DC" w:rsidRPr="002D3E0E" w:rsidRDefault="000B16DC">
      <w:pPr>
        <w:pStyle w:val="FootnoteText"/>
      </w:pPr>
      <w:r w:rsidRPr="002D3E0E">
        <w:rPr>
          <w:rStyle w:val="FootnoteReference"/>
        </w:rPr>
        <w:footnoteRef/>
      </w:r>
      <w:r w:rsidRPr="002D3E0E">
        <w:t xml:space="preserve"> </w:t>
      </w:r>
      <w:r w:rsidRPr="002D3E0E">
        <w:rPr>
          <w:i/>
          <w:iCs/>
        </w:rPr>
        <w:t>ER</w:t>
      </w:r>
      <w:r w:rsidRPr="002D3E0E">
        <w:t xml:space="preserve">, </w:t>
      </w:r>
      <w:proofErr w:type="spellStart"/>
      <w:r w:rsidRPr="002D3E0E">
        <w:t>i</w:t>
      </w:r>
      <w:proofErr w:type="spellEnd"/>
      <w:r w:rsidRPr="002D3E0E">
        <w:t xml:space="preserve">, 380-1, 384-5, 402-3. </w:t>
      </w:r>
    </w:p>
  </w:footnote>
  <w:footnote w:id="172">
    <w:p w14:paraId="07AF4778" w14:textId="64CDB9D9" w:rsidR="006E5AEA" w:rsidRPr="002D3E0E" w:rsidRDefault="006E5AEA">
      <w:pPr>
        <w:pStyle w:val="FootnoteText"/>
      </w:pPr>
      <w:r w:rsidRPr="002D3E0E">
        <w:rPr>
          <w:rStyle w:val="FootnoteReference"/>
        </w:rPr>
        <w:footnoteRef/>
      </w:r>
      <w:r w:rsidRPr="002D3E0E">
        <w:t xml:space="preserve"> Dean, ‘Crowning the Child’, 264.  </w:t>
      </w:r>
    </w:p>
  </w:footnote>
  <w:footnote w:id="173">
    <w:p w14:paraId="290DFE27" w14:textId="27D59C9C" w:rsidR="006E5AEA" w:rsidRPr="002D3E0E" w:rsidRDefault="006E5AEA">
      <w:pPr>
        <w:pStyle w:val="FootnoteText"/>
        <w:rPr>
          <w:b/>
          <w:bCs/>
          <w:color w:val="FF0000"/>
        </w:rPr>
      </w:pPr>
      <w:r w:rsidRPr="002D3E0E">
        <w:rPr>
          <w:rStyle w:val="FootnoteReference"/>
        </w:rPr>
        <w:footnoteRef/>
      </w:r>
      <w:r w:rsidRPr="002D3E0E">
        <w:t xml:space="preserve"> Gray Birch, </w:t>
      </w:r>
      <w:r w:rsidRPr="002D3E0E">
        <w:rPr>
          <w:i/>
          <w:iCs/>
        </w:rPr>
        <w:t>History of Scottish Seals</w:t>
      </w:r>
      <w:r w:rsidRPr="002D3E0E">
        <w:t xml:space="preserve">, </w:t>
      </w:r>
      <w:proofErr w:type="spellStart"/>
      <w:r w:rsidR="002F1936" w:rsidRPr="002D3E0E">
        <w:t>i</w:t>
      </w:r>
      <w:proofErr w:type="spellEnd"/>
      <w:r w:rsidRPr="002D3E0E">
        <w:t>, 143</w:t>
      </w:r>
      <w:r w:rsidR="001A3CB5" w:rsidRPr="002D3E0E">
        <w:t xml:space="preserve">; Dean, </w:t>
      </w:r>
      <w:r w:rsidR="001A3CB5" w:rsidRPr="002D3E0E">
        <w:rPr>
          <w:i/>
          <w:iCs/>
        </w:rPr>
        <w:t>Death and the Royal Succession</w:t>
      </w:r>
      <w:r w:rsidR="001A3CB5" w:rsidRPr="002D3E0E">
        <w:t xml:space="preserve">, </w:t>
      </w:r>
      <w:r w:rsidR="00A05A89" w:rsidRPr="002D3E0E">
        <w:t>100.</w:t>
      </w:r>
      <w:r w:rsidR="00A05A89" w:rsidRPr="002D3E0E">
        <w:rPr>
          <w:b/>
          <w:bCs/>
        </w:rPr>
        <w:t xml:space="preserve"> </w:t>
      </w:r>
    </w:p>
  </w:footnote>
  <w:footnote w:id="174">
    <w:p w14:paraId="396A9DF4" w14:textId="61796A90" w:rsidR="006E5AEA" w:rsidRPr="002D3E0E" w:rsidRDefault="006E5AEA">
      <w:pPr>
        <w:pStyle w:val="FootnoteText"/>
      </w:pPr>
      <w:r w:rsidRPr="002D3E0E">
        <w:rPr>
          <w:rStyle w:val="FootnoteReference"/>
        </w:rPr>
        <w:footnoteRef/>
      </w:r>
      <w:r w:rsidRPr="002D3E0E">
        <w:t xml:space="preserve"> </w:t>
      </w:r>
      <w:r w:rsidR="00C01592" w:rsidRPr="001F49D8">
        <w:t>ER</w:t>
      </w:r>
      <w:r w:rsidR="00C01592" w:rsidRPr="002D3E0E">
        <w:t xml:space="preserve">, </w:t>
      </w:r>
      <w:proofErr w:type="spellStart"/>
      <w:r w:rsidR="00C01592" w:rsidRPr="002D3E0E">
        <w:t>i</w:t>
      </w:r>
      <w:proofErr w:type="spellEnd"/>
      <w:r w:rsidR="00C01592" w:rsidRPr="002D3E0E">
        <w:t xml:space="preserve">, 382; </w:t>
      </w:r>
      <w:r w:rsidRPr="002D3E0E">
        <w:t>Dean, ‘Crowning the Child’, 264.</w:t>
      </w:r>
    </w:p>
  </w:footnote>
  <w:footnote w:id="175">
    <w:p w14:paraId="0E3369EF" w14:textId="1CC61F0F" w:rsidR="0013418E" w:rsidRPr="002D3E0E" w:rsidRDefault="0013418E">
      <w:pPr>
        <w:pStyle w:val="FootnoteText"/>
      </w:pPr>
      <w:r w:rsidRPr="002D3E0E">
        <w:rPr>
          <w:rStyle w:val="FootnoteReference"/>
        </w:rPr>
        <w:footnoteRef/>
      </w:r>
      <w:r w:rsidRPr="002D3E0E">
        <w:t xml:space="preserve"> </w:t>
      </w:r>
      <w:r w:rsidR="00FE3729" w:rsidRPr="002D3E0E">
        <w:t xml:space="preserve">Bannerman, </w:t>
      </w:r>
      <w:r w:rsidR="00024B71">
        <w:t xml:space="preserve">‘The King’s poet’, 129-133. </w:t>
      </w:r>
    </w:p>
  </w:footnote>
  <w:footnote w:id="176">
    <w:p w14:paraId="00D0D21D" w14:textId="0CD383DB" w:rsidR="00062AFC" w:rsidRPr="002D3E0E" w:rsidRDefault="00062AFC">
      <w:pPr>
        <w:pStyle w:val="FootnoteText"/>
      </w:pPr>
      <w:r w:rsidRPr="002D3E0E">
        <w:rPr>
          <w:rStyle w:val="FootnoteReference"/>
        </w:rPr>
        <w:footnoteRef/>
      </w:r>
      <w:r w:rsidRPr="002D3E0E">
        <w:t xml:space="preserve"> Gray Birch, </w:t>
      </w:r>
      <w:r w:rsidRPr="002D3E0E">
        <w:rPr>
          <w:i/>
          <w:iCs/>
        </w:rPr>
        <w:t>History of Scottish Seals</w:t>
      </w:r>
      <w:r w:rsidRPr="002D3E0E">
        <w:t xml:space="preserve">, </w:t>
      </w:r>
      <w:proofErr w:type="spellStart"/>
      <w:r w:rsidRPr="002D3E0E">
        <w:t>i</w:t>
      </w:r>
      <w:proofErr w:type="spellEnd"/>
      <w:r w:rsidRPr="002D3E0E">
        <w:t>, 41</w:t>
      </w:r>
      <w:r w:rsidR="002E106B" w:rsidRPr="002D3E0E">
        <w:t xml:space="preserve">; cf. </w:t>
      </w:r>
      <w:r w:rsidRPr="002D3E0E">
        <w:t xml:space="preserve">Great Seal of King Charles V’, model 1364, cast in c.1600s, lead, 9.4cm diameter, </w:t>
      </w:r>
      <w:r w:rsidRPr="002D3E0E">
        <w:rPr>
          <w:i/>
          <w:iCs/>
        </w:rPr>
        <w:t xml:space="preserve">National Gallery of Art, Washington DC </w:t>
      </w:r>
      <w:r w:rsidRPr="002D3E0E">
        <w:t>(USA) &lt; https://www.nga.gov/collection/art-object-page.93365.html&gt; [accessed 07/02/2022].</w:t>
      </w:r>
    </w:p>
  </w:footnote>
  <w:footnote w:id="177">
    <w:p w14:paraId="75B5DBC5" w14:textId="475CEB4F" w:rsidR="006E5AEA" w:rsidRPr="002D3E0E" w:rsidRDefault="006E5AEA">
      <w:pPr>
        <w:pStyle w:val="FootnoteText"/>
      </w:pPr>
      <w:r w:rsidRPr="002D3E0E">
        <w:rPr>
          <w:rStyle w:val="FootnoteReference"/>
        </w:rPr>
        <w:footnoteRef/>
      </w:r>
      <w:r w:rsidRPr="002D3E0E">
        <w:t xml:space="preserve"> Dean, ‘Crowning the Child’, 265.</w:t>
      </w:r>
    </w:p>
  </w:footnote>
  <w:footnote w:id="178">
    <w:p w14:paraId="749BC9E9" w14:textId="3262CE3C" w:rsidR="00976609" w:rsidRDefault="00976609">
      <w:pPr>
        <w:pStyle w:val="FootnoteText"/>
      </w:pPr>
      <w:r>
        <w:rPr>
          <w:rStyle w:val="FootnoteReference"/>
        </w:rPr>
        <w:footnoteRef/>
      </w:r>
      <w:r>
        <w:t xml:space="preserve"> Bannerman, ‘The King’s poet’, 132. </w:t>
      </w:r>
    </w:p>
  </w:footnote>
  <w:footnote w:id="179">
    <w:p w14:paraId="3CEC1782" w14:textId="00B2B184" w:rsidR="006E5AEA" w:rsidRPr="002D3E0E" w:rsidRDefault="006E5AEA">
      <w:pPr>
        <w:pStyle w:val="FootnoteText"/>
      </w:pPr>
      <w:r w:rsidRPr="002D3E0E">
        <w:rPr>
          <w:rStyle w:val="FootnoteReference"/>
        </w:rPr>
        <w:footnoteRef/>
      </w:r>
      <w:r w:rsidRPr="002D3E0E">
        <w:t xml:space="preserve"> ‘An unfortunate incident at the coronation, 16 July 1377’, in </w:t>
      </w:r>
      <w:r w:rsidR="002F1936" w:rsidRPr="002D3E0E">
        <w:t xml:space="preserve">A. K. McHardy (trans.), </w:t>
      </w:r>
      <w:r w:rsidRPr="002D3E0E">
        <w:rPr>
          <w:i/>
          <w:iCs/>
        </w:rPr>
        <w:t>The Reign of Richard II: from minority to Tyranny 1377-97</w:t>
      </w:r>
      <w:r w:rsidRPr="002D3E0E">
        <w:t xml:space="preserve"> (Manchester, 2012), 29-30.</w:t>
      </w:r>
    </w:p>
  </w:footnote>
  <w:footnote w:id="180">
    <w:p w14:paraId="24EC5E25" w14:textId="5B8B66EB" w:rsidR="006E5AEA" w:rsidRPr="002D3E0E" w:rsidRDefault="006E5AEA">
      <w:pPr>
        <w:pStyle w:val="FootnoteText"/>
      </w:pPr>
      <w:r w:rsidRPr="002D3E0E">
        <w:rPr>
          <w:rStyle w:val="FootnoteReference"/>
        </w:rPr>
        <w:footnoteRef/>
      </w:r>
      <w:r w:rsidRPr="002D3E0E">
        <w:t xml:space="preserve"> Weiler, </w:t>
      </w:r>
      <w:r w:rsidRPr="002D3E0E">
        <w:rPr>
          <w:i/>
          <w:iCs/>
        </w:rPr>
        <w:t>Paths to Kingship</w:t>
      </w:r>
      <w:r w:rsidRPr="002D3E0E">
        <w:t>, 335.</w:t>
      </w:r>
    </w:p>
  </w:footnote>
  <w:footnote w:id="181">
    <w:p w14:paraId="28239E8C" w14:textId="274D1E5E" w:rsidR="006E5AEA" w:rsidRPr="002D3E0E" w:rsidRDefault="006E5AEA">
      <w:pPr>
        <w:pStyle w:val="FootnoteText"/>
      </w:pPr>
      <w:r w:rsidRPr="002D3E0E">
        <w:rPr>
          <w:rStyle w:val="FootnoteReference"/>
        </w:rPr>
        <w:footnoteRef/>
      </w:r>
      <w:r w:rsidRPr="002D3E0E">
        <w:t xml:space="preserve"> Broun, </w:t>
      </w:r>
      <w:r w:rsidRPr="002D3E0E">
        <w:rPr>
          <w:i/>
          <w:iCs/>
        </w:rPr>
        <w:t>Scottish Independence</w:t>
      </w:r>
      <w:r w:rsidRPr="002D3E0E">
        <w:t>, 179-80.</w:t>
      </w:r>
    </w:p>
  </w:footnote>
  <w:footnote w:id="182">
    <w:p w14:paraId="1682028E" w14:textId="45308BB0" w:rsidR="006E5AEA" w:rsidRPr="002D3E0E" w:rsidRDefault="006E5AEA">
      <w:pPr>
        <w:pStyle w:val="FootnoteText"/>
      </w:pPr>
      <w:r w:rsidRPr="002D3E0E">
        <w:rPr>
          <w:rStyle w:val="FootnoteReference"/>
        </w:rPr>
        <w:footnoteRef/>
      </w:r>
      <w:r w:rsidRPr="002D3E0E">
        <w:t xml:space="preserve"> </w:t>
      </w:r>
      <w:r w:rsidRPr="002D3E0E">
        <w:rPr>
          <w:i/>
          <w:iCs/>
        </w:rPr>
        <w:t>Chron. Melsa</w:t>
      </w:r>
      <w:r w:rsidRPr="002D3E0E">
        <w:t xml:space="preserve">, </w:t>
      </w:r>
      <w:r w:rsidR="002F1936" w:rsidRPr="002D3E0E">
        <w:t>ii</w:t>
      </w:r>
      <w:r w:rsidRPr="002D3E0E">
        <w:t>, 361-2.</w:t>
      </w:r>
    </w:p>
  </w:footnote>
  <w:footnote w:id="183">
    <w:p w14:paraId="76A6BDBF" w14:textId="009CC8B9" w:rsidR="00275B4F" w:rsidRPr="002D3E0E" w:rsidRDefault="00275B4F">
      <w:pPr>
        <w:pStyle w:val="FootnoteText"/>
      </w:pPr>
      <w:r w:rsidRPr="002D3E0E">
        <w:rPr>
          <w:rStyle w:val="FootnoteReference"/>
        </w:rPr>
        <w:footnoteRef/>
      </w:r>
      <w:r w:rsidRPr="002D3E0E">
        <w:t xml:space="preserve"> Duncan, </w:t>
      </w:r>
      <w:r w:rsidRPr="002D3E0E">
        <w:rPr>
          <w:i/>
          <w:iCs/>
        </w:rPr>
        <w:t>Kingship of the Scots</w:t>
      </w:r>
      <w:r w:rsidRPr="002D3E0E">
        <w:t>, 138.</w:t>
      </w:r>
    </w:p>
  </w:footnote>
  <w:footnote w:id="184">
    <w:p w14:paraId="0635D164" w14:textId="504CB191" w:rsidR="00D27699" w:rsidRPr="002D3E0E" w:rsidRDefault="00D27699">
      <w:pPr>
        <w:pStyle w:val="FootnoteText"/>
      </w:pPr>
      <w:r w:rsidRPr="002D3E0E">
        <w:rPr>
          <w:rStyle w:val="FootnoteReference"/>
        </w:rPr>
        <w:footnoteRef/>
      </w:r>
      <w:r w:rsidRPr="002D3E0E">
        <w:t xml:space="preserve"> Dean, </w:t>
      </w:r>
      <w:r w:rsidRPr="002D3E0E">
        <w:rPr>
          <w:i/>
          <w:iCs/>
        </w:rPr>
        <w:t>Death and the Royal Succession</w:t>
      </w:r>
      <w:r w:rsidRPr="002D3E0E">
        <w:t xml:space="preserve">, 99. </w:t>
      </w:r>
    </w:p>
  </w:footnote>
  <w:footnote w:id="185">
    <w:p w14:paraId="12870400" w14:textId="5D1560B7" w:rsidR="00E66661" w:rsidRPr="002D3E0E" w:rsidRDefault="00E66661">
      <w:pPr>
        <w:pStyle w:val="FootnoteText"/>
      </w:pPr>
      <w:r w:rsidRPr="002D3E0E">
        <w:rPr>
          <w:rStyle w:val="FootnoteReference"/>
        </w:rPr>
        <w:footnoteRef/>
      </w:r>
      <w:r w:rsidRPr="002D3E0E">
        <w:t xml:space="preserve"> Bannerman, ‘The King’s Poet’, 121. </w:t>
      </w:r>
    </w:p>
  </w:footnote>
  <w:footnote w:id="186">
    <w:p w14:paraId="0175EFB6" w14:textId="19509F9C" w:rsidR="00275B4F" w:rsidRPr="002D3E0E" w:rsidRDefault="00275B4F">
      <w:pPr>
        <w:pStyle w:val="FootnoteText"/>
      </w:pPr>
      <w:r w:rsidRPr="002D3E0E">
        <w:rPr>
          <w:rStyle w:val="FootnoteReference"/>
        </w:rPr>
        <w:footnoteRef/>
      </w:r>
      <w:r w:rsidRPr="002D3E0E">
        <w:t xml:space="preserve"> Groups of threes often occur in the Bible: </w:t>
      </w:r>
      <w:proofErr w:type="gramStart"/>
      <w:r w:rsidRPr="002D3E0E">
        <w:t>the</w:t>
      </w:r>
      <w:proofErr w:type="gramEnd"/>
      <w:r w:rsidRPr="002D3E0E">
        <w:t xml:space="preserve"> Trinity, Christ died for three days before he was resurrected, the three magi and </w:t>
      </w:r>
      <w:r w:rsidR="00671DB8" w:rsidRPr="002D3E0E">
        <w:t>their</w:t>
      </w:r>
      <w:r w:rsidRPr="002D3E0E">
        <w:t xml:space="preserve"> gifts.</w:t>
      </w:r>
    </w:p>
  </w:footnote>
  <w:footnote w:id="187">
    <w:p w14:paraId="7C058AD3" w14:textId="129B791F" w:rsidR="00275B4F" w:rsidRPr="002D3E0E" w:rsidRDefault="00275B4F">
      <w:pPr>
        <w:pStyle w:val="FootnoteText"/>
      </w:pPr>
      <w:r w:rsidRPr="002D3E0E">
        <w:rPr>
          <w:rStyle w:val="FootnoteReference"/>
        </w:rPr>
        <w:footnoteRef/>
      </w:r>
      <w:r w:rsidRPr="002D3E0E">
        <w:t xml:space="preserve"> Duncan, </w:t>
      </w:r>
      <w:r w:rsidRPr="002D3E0E">
        <w:rPr>
          <w:i/>
          <w:iCs/>
        </w:rPr>
        <w:t>The Kingship of the Scots</w:t>
      </w:r>
      <w:r w:rsidRPr="002D3E0E">
        <w:t>, 150.</w:t>
      </w:r>
    </w:p>
  </w:footnote>
  <w:footnote w:id="188">
    <w:p w14:paraId="6305A62C" w14:textId="4EE5BC1B" w:rsidR="00275B4F" w:rsidRPr="002D3E0E" w:rsidRDefault="00275B4F">
      <w:pPr>
        <w:pStyle w:val="FootnoteText"/>
      </w:pPr>
      <w:r w:rsidRPr="002D3E0E">
        <w:rPr>
          <w:rStyle w:val="FootnoteReference"/>
        </w:rPr>
        <w:footnoteRef/>
      </w:r>
      <w:r w:rsidRPr="002D3E0E">
        <w:t xml:space="preserve"> Duncan, </w:t>
      </w:r>
      <w:r w:rsidRPr="002D3E0E">
        <w:rPr>
          <w:i/>
          <w:iCs/>
        </w:rPr>
        <w:t>Making of the Kingdom</w:t>
      </w:r>
      <w:r w:rsidRPr="002D3E0E">
        <w:t xml:space="preserve">, 115; Alex Woolf, </w:t>
      </w:r>
      <w:r w:rsidRPr="002D3E0E">
        <w:rPr>
          <w:i/>
          <w:iCs/>
        </w:rPr>
        <w:t>From Pictland to Alba 789-1070</w:t>
      </w:r>
      <w:r w:rsidR="00671DB8" w:rsidRPr="002D3E0E">
        <w:t xml:space="preserve"> </w:t>
      </w:r>
      <w:r w:rsidRPr="002D3E0E">
        <w:t xml:space="preserve">(Edinburgh, 2007), 126-7.  </w:t>
      </w:r>
    </w:p>
  </w:footnote>
  <w:footnote w:id="189">
    <w:p w14:paraId="4EB1E226" w14:textId="1EE81BD2" w:rsidR="00976609" w:rsidRPr="00976609" w:rsidRDefault="00976609">
      <w:pPr>
        <w:pStyle w:val="FootnoteText"/>
      </w:pPr>
      <w:r>
        <w:rPr>
          <w:rStyle w:val="FootnoteReference"/>
        </w:rPr>
        <w:footnoteRef/>
      </w:r>
      <w:r>
        <w:t xml:space="preserve"> Elizabeth Fitzpatrick, </w:t>
      </w:r>
      <w:r>
        <w:rPr>
          <w:i/>
          <w:iCs/>
        </w:rPr>
        <w:t>Royal Inauguration in Gaelic Ireland c.1100-1600: A Cultural Landscape Study</w:t>
      </w:r>
      <w:r>
        <w:t xml:space="preserve"> (Woodbridge, 2004), 33-9. </w:t>
      </w:r>
    </w:p>
  </w:footnote>
  <w:footnote w:id="190">
    <w:p w14:paraId="7C3BB7BC" w14:textId="44AF6576" w:rsidR="00275B4F" w:rsidRPr="002D3E0E" w:rsidRDefault="00275B4F">
      <w:pPr>
        <w:pStyle w:val="FootnoteText"/>
      </w:pPr>
      <w:r w:rsidRPr="002D3E0E">
        <w:rPr>
          <w:rStyle w:val="FootnoteReference"/>
        </w:rPr>
        <w:footnoteRef/>
      </w:r>
      <w:r w:rsidRPr="002D3E0E">
        <w:t xml:space="preserve"> </w:t>
      </w:r>
      <w:r w:rsidR="00CE4B39" w:rsidRPr="002D3E0E">
        <w:t xml:space="preserve">G.W.S. </w:t>
      </w:r>
      <w:r w:rsidRPr="002D3E0E">
        <w:t xml:space="preserve">Barrow, </w:t>
      </w:r>
      <w:r w:rsidRPr="002D3E0E">
        <w:rPr>
          <w:i/>
          <w:iCs/>
        </w:rPr>
        <w:t>Robert Bruce</w:t>
      </w:r>
      <w:r w:rsidR="00CE4B39" w:rsidRPr="002D3E0E">
        <w:rPr>
          <w:i/>
          <w:iCs/>
        </w:rPr>
        <w:t xml:space="preserve"> and the Community of the Realm</w:t>
      </w:r>
      <w:r w:rsidR="00F90E21" w:rsidRPr="002D3E0E">
        <w:t xml:space="preserve"> (Edinburgh, 1976),</w:t>
      </w:r>
      <w:r w:rsidRPr="002D3E0E">
        <w:t xml:space="preserve"> </w:t>
      </w:r>
      <w:r w:rsidR="00F90E21" w:rsidRPr="002D3E0E">
        <w:t>212-3</w:t>
      </w:r>
      <w:r w:rsidRPr="002D3E0E">
        <w:t xml:space="preserve">. This fits with my conclusions, but Barrow sparsely cited his evidence.  </w:t>
      </w:r>
    </w:p>
  </w:footnote>
  <w:footnote w:id="191">
    <w:p w14:paraId="6846720E" w14:textId="3D97E345" w:rsidR="00E7212D" w:rsidRPr="002D3E0E" w:rsidRDefault="00E7212D">
      <w:pPr>
        <w:pStyle w:val="FootnoteText"/>
      </w:pPr>
      <w:r w:rsidRPr="002D3E0E">
        <w:rPr>
          <w:rStyle w:val="FootnoteReference"/>
        </w:rPr>
        <w:footnoteRef/>
      </w:r>
      <w:r w:rsidRPr="002D3E0E">
        <w:t xml:space="preserve"> </w:t>
      </w:r>
      <w:r w:rsidR="00B273EB" w:rsidRPr="002D3E0E">
        <w:t>‘</w:t>
      </w:r>
      <w:proofErr w:type="gramStart"/>
      <w:r w:rsidR="00B273EB" w:rsidRPr="002D3E0E">
        <w:t>with</w:t>
      </w:r>
      <w:proofErr w:type="gramEnd"/>
      <w:r w:rsidR="00B273EB" w:rsidRPr="002D3E0E">
        <w:t xml:space="preserve"> the king sitting in his royal throne on the hill of Scone as was the custom’ (</w:t>
      </w:r>
      <w:r w:rsidRPr="002D3E0E">
        <w:rPr>
          <w:i/>
          <w:iCs/>
        </w:rPr>
        <w:t>RPS</w:t>
      </w:r>
      <w:r w:rsidRPr="002D3E0E">
        <w:t>, A1371/2</w:t>
      </w:r>
      <w:r w:rsidR="00E96BA9" w:rsidRPr="002D3E0E">
        <w:t xml:space="preserve">, &lt;http://www.rps.ac.uk/mss/A1371/2&gt; </w:t>
      </w:r>
      <w:r w:rsidR="00AF4CE3" w:rsidRPr="002D3E0E">
        <w:t>[accessed 03.09.2024]</w:t>
      </w:r>
      <w:r w:rsidR="005B39C1" w:rsidRPr="002D3E0E">
        <w:t xml:space="preserve">; </w:t>
      </w:r>
      <w:r w:rsidR="005B39C1" w:rsidRPr="002D3E0E">
        <w:rPr>
          <w:i/>
          <w:iCs/>
        </w:rPr>
        <w:t>APS</w:t>
      </w:r>
      <w:r w:rsidR="005B39C1" w:rsidRPr="002D3E0E">
        <w:t xml:space="preserve">, </w:t>
      </w:r>
      <w:proofErr w:type="spellStart"/>
      <w:r w:rsidR="002F1936" w:rsidRPr="002D3E0E">
        <w:t>i</w:t>
      </w:r>
      <w:proofErr w:type="spellEnd"/>
      <w:r w:rsidR="005B39C1" w:rsidRPr="002D3E0E">
        <w:t>, 545</w:t>
      </w:r>
      <w:r w:rsidR="00B273EB" w:rsidRPr="002D3E0E">
        <w:t>)</w:t>
      </w:r>
      <w:r w:rsidR="005B39C1" w:rsidRPr="002D3E0E">
        <w:t>.</w:t>
      </w:r>
    </w:p>
  </w:footnote>
  <w:footnote w:id="192">
    <w:p w14:paraId="31009830" w14:textId="2EA94AA5" w:rsidR="00325BCE" w:rsidRPr="002D3E0E" w:rsidRDefault="00325BCE">
      <w:pPr>
        <w:pStyle w:val="FootnoteText"/>
      </w:pPr>
      <w:r w:rsidRPr="002D3E0E">
        <w:rPr>
          <w:rStyle w:val="FootnoteReference"/>
        </w:rPr>
        <w:footnoteRef/>
      </w:r>
      <w:r w:rsidRPr="002D3E0E">
        <w:t xml:space="preserve"> Bower </w:t>
      </w:r>
      <w:r w:rsidR="00F21DE8" w:rsidRPr="002D3E0E">
        <w:t xml:space="preserve">claims that this was the case much later in 1424 at James I’s inauguration, </w:t>
      </w:r>
      <w:r w:rsidRPr="002D3E0E">
        <w:t>stat</w:t>
      </w:r>
      <w:r w:rsidR="00F21DE8" w:rsidRPr="002D3E0E">
        <w:t>ing</w:t>
      </w:r>
      <w:r w:rsidRPr="002D3E0E">
        <w:t xml:space="preserve"> that the king was installed on the throne by Duke Murdoch of Albany ‘by right of his privilege as earl of Fife’ (</w:t>
      </w:r>
      <w:r w:rsidRPr="002D3E0E">
        <w:rPr>
          <w:i/>
          <w:iCs/>
        </w:rPr>
        <w:t>Chron. Bower</w:t>
      </w:r>
      <w:r w:rsidRPr="002D3E0E">
        <w:t xml:space="preserve">, viii, 221). </w:t>
      </w:r>
    </w:p>
  </w:footnote>
  <w:footnote w:id="193">
    <w:p w14:paraId="2C0120E6" w14:textId="6CDE8AA2" w:rsidR="00505201" w:rsidRPr="002D3E0E" w:rsidRDefault="00505201">
      <w:pPr>
        <w:pStyle w:val="FootnoteText"/>
      </w:pPr>
      <w:r w:rsidRPr="002D3E0E">
        <w:rPr>
          <w:rStyle w:val="FootnoteReference"/>
        </w:rPr>
        <w:footnoteRef/>
      </w:r>
      <w:r w:rsidRPr="002D3E0E">
        <w:t xml:space="preserve"> Dean, ‘Crowns</w:t>
      </w:r>
      <w:r w:rsidR="00AB7FFA" w:rsidRPr="002D3E0E">
        <w:t>, Weddings Rings and Processions</w:t>
      </w:r>
      <w:r w:rsidRPr="002D3E0E">
        <w:t xml:space="preserve">’, 118. </w:t>
      </w:r>
    </w:p>
  </w:footnote>
  <w:footnote w:id="194">
    <w:p w14:paraId="3431B855" w14:textId="67D509C0" w:rsidR="00505201" w:rsidRPr="002D3E0E" w:rsidRDefault="00505201">
      <w:pPr>
        <w:pStyle w:val="FootnoteText"/>
      </w:pPr>
      <w:r w:rsidRPr="002D3E0E">
        <w:rPr>
          <w:rStyle w:val="FootnoteReference"/>
        </w:rPr>
        <w:footnoteRef/>
      </w:r>
      <w:r w:rsidRPr="002D3E0E">
        <w:t xml:space="preserve"> </w:t>
      </w:r>
      <w:r w:rsidR="00EF371C" w:rsidRPr="002D3E0E">
        <w:t>T</w:t>
      </w:r>
      <w:r w:rsidRPr="002D3E0E">
        <w:t xml:space="preserve">wo </w:t>
      </w:r>
      <w:r w:rsidR="00EF371C" w:rsidRPr="002D3E0E">
        <w:t xml:space="preserve">of Robert I’s </w:t>
      </w:r>
      <w:r w:rsidRPr="002D3E0E">
        <w:t>seal designs</w:t>
      </w:r>
      <w:r w:rsidR="00EF371C" w:rsidRPr="002D3E0E">
        <w:t xml:space="preserve"> survive:</w:t>
      </w:r>
      <w:r w:rsidR="001D0A74" w:rsidRPr="002D3E0E">
        <w:t xml:space="preserve"> t</w:t>
      </w:r>
      <w:r w:rsidRPr="002D3E0E">
        <w:t>he first from 1316 and</w:t>
      </w:r>
      <w:r w:rsidR="001D0A74" w:rsidRPr="002D3E0E">
        <w:t xml:space="preserve"> the second from 1326. </w:t>
      </w:r>
      <w:r w:rsidRPr="002D3E0E">
        <w:t xml:space="preserve">The second broke with </w:t>
      </w:r>
      <w:r w:rsidR="001D0A74" w:rsidRPr="002D3E0E">
        <w:t>earlier English-inspired</w:t>
      </w:r>
      <w:r w:rsidRPr="002D3E0E">
        <w:t xml:space="preserve"> style</w:t>
      </w:r>
      <w:r w:rsidR="001D0A74" w:rsidRPr="002D3E0E">
        <w:t>s</w:t>
      </w:r>
      <w:r w:rsidRPr="002D3E0E">
        <w:t xml:space="preserve"> and took </w:t>
      </w:r>
      <w:r w:rsidR="001D0A74" w:rsidRPr="002D3E0E">
        <w:t>inspiration</w:t>
      </w:r>
      <w:r w:rsidRPr="002D3E0E">
        <w:t xml:space="preserve"> from French kings</w:t>
      </w:r>
      <w:r w:rsidR="00EF371C" w:rsidRPr="002D3E0E">
        <w:t xml:space="preserve"> t</w:t>
      </w:r>
      <w:r w:rsidR="00D36EF9" w:rsidRPr="002D3E0E">
        <w:t>o</w:t>
      </w:r>
      <w:r w:rsidR="001D0A74" w:rsidRPr="002D3E0E">
        <w:t xml:space="preserve"> </w:t>
      </w:r>
      <w:r w:rsidRPr="002D3E0E">
        <w:t xml:space="preserve">cultivate </w:t>
      </w:r>
      <w:r w:rsidR="001D0A74" w:rsidRPr="002D3E0E">
        <w:t xml:space="preserve">a royal aesthetic </w:t>
      </w:r>
      <w:r w:rsidRPr="002D3E0E">
        <w:t xml:space="preserve">that broke </w:t>
      </w:r>
      <w:r w:rsidR="001D0A74" w:rsidRPr="002D3E0E">
        <w:t>from any English connection</w:t>
      </w:r>
      <w:r w:rsidRPr="002D3E0E">
        <w:t xml:space="preserve">. David’s seal followed this style (Birch, </w:t>
      </w:r>
      <w:r w:rsidRPr="002D3E0E">
        <w:rPr>
          <w:i/>
          <w:iCs/>
        </w:rPr>
        <w:t xml:space="preserve">History of Scottish Seals, </w:t>
      </w:r>
      <w:proofErr w:type="spellStart"/>
      <w:r w:rsidR="005769A6" w:rsidRPr="002D3E0E">
        <w:t>i</w:t>
      </w:r>
      <w:proofErr w:type="spellEnd"/>
      <w:r w:rsidRPr="002D3E0E">
        <w:t>, 30</w:t>
      </w:r>
      <w:r w:rsidR="005769A6" w:rsidRPr="002D3E0E">
        <w:t xml:space="preserve"> and</w:t>
      </w:r>
      <w:r w:rsidRPr="002D3E0E">
        <w:t xml:space="preserve"> 41).</w:t>
      </w:r>
    </w:p>
  </w:footnote>
  <w:footnote w:id="195">
    <w:p w14:paraId="7A0B62A7" w14:textId="19931399" w:rsidR="00952E2A" w:rsidRPr="002D3E0E" w:rsidRDefault="00952E2A">
      <w:pPr>
        <w:pStyle w:val="FootnoteText"/>
      </w:pPr>
      <w:r w:rsidRPr="002D3E0E">
        <w:rPr>
          <w:rStyle w:val="FootnoteReference"/>
        </w:rPr>
        <w:footnoteRef/>
      </w:r>
      <w:r w:rsidRPr="002D3E0E">
        <w:t xml:space="preserve"> Joseph Bain (ed.), </w:t>
      </w:r>
      <w:r w:rsidRPr="002D3E0E">
        <w:rPr>
          <w:i/>
          <w:iCs/>
        </w:rPr>
        <w:t xml:space="preserve">Calendar of </w:t>
      </w:r>
      <w:r w:rsidR="006C5330" w:rsidRPr="002D3E0E">
        <w:rPr>
          <w:i/>
          <w:iCs/>
        </w:rPr>
        <w:t>Documents relating to Scotland</w:t>
      </w:r>
      <w:r w:rsidR="006C5330" w:rsidRPr="002D3E0E">
        <w:t xml:space="preserve"> (Edinburgh, 1887), III, nos. 1024, 1034, 1035 and 1036.</w:t>
      </w:r>
    </w:p>
  </w:footnote>
  <w:footnote w:id="196">
    <w:p w14:paraId="516D4A40" w14:textId="3347C466" w:rsidR="0047205A" w:rsidRPr="002D3E0E" w:rsidRDefault="0047205A">
      <w:pPr>
        <w:pStyle w:val="FootnoteText"/>
      </w:pPr>
      <w:r w:rsidRPr="002D3E0E">
        <w:rPr>
          <w:rStyle w:val="FootnoteReference"/>
        </w:rPr>
        <w:footnoteRef/>
      </w:r>
      <w:r w:rsidRPr="002D3E0E">
        <w:t xml:space="preserve"> Kapferer, ‘Ritual dynamics and virtual practice’, 45.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9E"/>
    <w:rsid w:val="00004C45"/>
    <w:rsid w:val="00007313"/>
    <w:rsid w:val="00013A50"/>
    <w:rsid w:val="00015050"/>
    <w:rsid w:val="00024B71"/>
    <w:rsid w:val="00031047"/>
    <w:rsid w:val="0003752F"/>
    <w:rsid w:val="00041D6E"/>
    <w:rsid w:val="00043CE7"/>
    <w:rsid w:val="000446D1"/>
    <w:rsid w:val="0004770C"/>
    <w:rsid w:val="00052A22"/>
    <w:rsid w:val="000543E8"/>
    <w:rsid w:val="00062AFC"/>
    <w:rsid w:val="00065A3E"/>
    <w:rsid w:val="00073683"/>
    <w:rsid w:val="00074E88"/>
    <w:rsid w:val="00080BB6"/>
    <w:rsid w:val="00081551"/>
    <w:rsid w:val="00082CDE"/>
    <w:rsid w:val="00084DFA"/>
    <w:rsid w:val="00084EC2"/>
    <w:rsid w:val="00087661"/>
    <w:rsid w:val="0009327E"/>
    <w:rsid w:val="00097362"/>
    <w:rsid w:val="000A65CE"/>
    <w:rsid w:val="000A7DB1"/>
    <w:rsid w:val="000B0D87"/>
    <w:rsid w:val="000B16DC"/>
    <w:rsid w:val="000B2CD6"/>
    <w:rsid w:val="000B3081"/>
    <w:rsid w:val="000B51E3"/>
    <w:rsid w:val="000C1D2C"/>
    <w:rsid w:val="000C4AB4"/>
    <w:rsid w:val="000C6127"/>
    <w:rsid w:val="000C62D9"/>
    <w:rsid w:val="000C6E1C"/>
    <w:rsid w:val="000D5730"/>
    <w:rsid w:val="000D7D60"/>
    <w:rsid w:val="000E13B2"/>
    <w:rsid w:val="000E39A6"/>
    <w:rsid w:val="000E7EE5"/>
    <w:rsid w:val="000F222D"/>
    <w:rsid w:val="000F4803"/>
    <w:rsid w:val="000F637C"/>
    <w:rsid w:val="000F7BB9"/>
    <w:rsid w:val="0010425B"/>
    <w:rsid w:val="00111620"/>
    <w:rsid w:val="00122CB2"/>
    <w:rsid w:val="00122F0D"/>
    <w:rsid w:val="00123286"/>
    <w:rsid w:val="001241AF"/>
    <w:rsid w:val="001323B1"/>
    <w:rsid w:val="0013418E"/>
    <w:rsid w:val="00134CDA"/>
    <w:rsid w:val="00135ECD"/>
    <w:rsid w:val="00142D0E"/>
    <w:rsid w:val="00147595"/>
    <w:rsid w:val="00147B2B"/>
    <w:rsid w:val="00147D7E"/>
    <w:rsid w:val="001512C1"/>
    <w:rsid w:val="0015325F"/>
    <w:rsid w:val="00157919"/>
    <w:rsid w:val="00162CC6"/>
    <w:rsid w:val="00164C6D"/>
    <w:rsid w:val="00172294"/>
    <w:rsid w:val="00180515"/>
    <w:rsid w:val="00182013"/>
    <w:rsid w:val="00182A71"/>
    <w:rsid w:val="00184BD5"/>
    <w:rsid w:val="00185787"/>
    <w:rsid w:val="001917FE"/>
    <w:rsid w:val="00192FD6"/>
    <w:rsid w:val="001A2CAB"/>
    <w:rsid w:val="001A3CB5"/>
    <w:rsid w:val="001A689E"/>
    <w:rsid w:val="001B6BF2"/>
    <w:rsid w:val="001C1138"/>
    <w:rsid w:val="001C1B2B"/>
    <w:rsid w:val="001C2060"/>
    <w:rsid w:val="001C5BC8"/>
    <w:rsid w:val="001D0A74"/>
    <w:rsid w:val="001D3307"/>
    <w:rsid w:val="001D509B"/>
    <w:rsid w:val="001E4BED"/>
    <w:rsid w:val="001F0BC6"/>
    <w:rsid w:val="001F3083"/>
    <w:rsid w:val="001F49D8"/>
    <w:rsid w:val="001F4E5B"/>
    <w:rsid w:val="001F6F46"/>
    <w:rsid w:val="002040D8"/>
    <w:rsid w:val="00212DAC"/>
    <w:rsid w:val="002146E3"/>
    <w:rsid w:val="0021533D"/>
    <w:rsid w:val="002155DF"/>
    <w:rsid w:val="002241A8"/>
    <w:rsid w:val="002246CF"/>
    <w:rsid w:val="00224D55"/>
    <w:rsid w:val="00225270"/>
    <w:rsid w:val="00227A81"/>
    <w:rsid w:val="00230618"/>
    <w:rsid w:val="00230850"/>
    <w:rsid w:val="00232B92"/>
    <w:rsid w:val="002330A0"/>
    <w:rsid w:val="00240D80"/>
    <w:rsid w:val="00241582"/>
    <w:rsid w:val="002448C0"/>
    <w:rsid w:val="002453B2"/>
    <w:rsid w:val="00254720"/>
    <w:rsid w:val="00271CD6"/>
    <w:rsid w:val="002728B7"/>
    <w:rsid w:val="00272E4C"/>
    <w:rsid w:val="00275B4F"/>
    <w:rsid w:val="00275E89"/>
    <w:rsid w:val="00280466"/>
    <w:rsid w:val="00281060"/>
    <w:rsid w:val="002821FE"/>
    <w:rsid w:val="00282C6F"/>
    <w:rsid w:val="0029336C"/>
    <w:rsid w:val="00293D79"/>
    <w:rsid w:val="002955D7"/>
    <w:rsid w:val="002A007A"/>
    <w:rsid w:val="002A414F"/>
    <w:rsid w:val="002A4EDC"/>
    <w:rsid w:val="002B28CB"/>
    <w:rsid w:val="002B4A09"/>
    <w:rsid w:val="002B5A2D"/>
    <w:rsid w:val="002B6F80"/>
    <w:rsid w:val="002C159F"/>
    <w:rsid w:val="002C710A"/>
    <w:rsid w:val="002D0977"/>
    <w:rsid w:val="002D30B6"/>
    <w:rsid w:val="002D3E0E"/>
    <w:rsid w:val="002D4DD2"/>
    <w:rsid w:val="002D6C11"/>
    <w:rsid w:val="002D6E3E"/>
    <w:rsid w:val="002D76EB"/>
    <w:rsid w:val="002E090B"/>
    <w:rsid w:val="002E106B"/>
    <w:rsid w:val="002F14E5"/>
    <w:rsid w:val="002F1936"/>
    <w:rsid w:val="0030169B"/>
    <w:rsid w:val="00302AF7"/>
    <w:rsid w:val="00303427"/>
    <w:rsid w:val="00307970"/>
    <w:rsid w:val="00314FFA"/>
    <w:rsid w:val="00315DA0"/>
    <w:rsid w:val="00321EB5"/>
    <w:rsid w:val="00325BCE"/>
    <w:rsid w:val="003372F9"/>
    <w:rsid w:val="003421A9"/>
    <w:rsid w:val="00351037"/>
    <w:rsid w:val="00352263"/>
    <w:rsid w:val="003531BD"/>
    <w:rsid w:val="003535FA"/>
    <w:rsid w:val="0035654B"/>
    <w:rsid w:val="0036653F"/>
    <w:rsid w:val="00366D2A"/>
    <w:rsid w:val="0037303A"/>
    <w:rsid w:val="00373ED7"/>
    <w:rsid w:val="00374001"/>
    <w:rsid w:val="00374657"/>
    <w:rsid w:val="0038181B"/>
    <w:rsid w:val="00381E19"/>
    <w:rsid w:val="00382581"/>
    <w:rsid w:val="003825A4"/>
    <w:rsid w:val="00383256"/>
    <w:rsid w:val="003851BB"/>
    <w:rsid w:val="00386F66"/>
    <w:rsid w:val="00392322"/>
    <w:rsid w:val="00396592"/>
    <w:rsid w:val="0039702B"/>
    <w:rsid w:val="003A3193"/>
    <w:rsid w:val="003A3454"/>
    <w:rsid w:val="003A400B"/>
    <w:rsid w:val="003A646C"/>
    <w:rsid w:val="003B1CAB"/>
    <w:rsid w:val="003B3936"/>
    <w:rsid w:val="003B5D58"/>
    <w:rsid w:val="003B6E7B"/>
    <w:rsid w:val="003C1C17"/>
    <w:rsid w:val="003C1D7D"/>
    <w:rsid w:val="003C5364"/>
    <w:rsid w:val="003C7FEF"/>
    <w:rsid w:val="003D1357"/>
    <w:rsid w:val="003D19B2"/>
    <w:rsid w:val="003D3EF1"/>
    <w:rsid w:val="003D4424"/>
    <w:rsid w:val="003D636A"/>
    <w:rsid w:val="003E0162"/>
    <w:rsid w:val="003E0612"/>
    <w:rsid w:val="003F1D5D"/>
    <w:rsid w:val="004010F0"/>
    <w:rsid w:val="00405126"/>
    <w:rsid w:val="00406C54"/>
    <w:rsid w:val="00411ABA"/>
    <w:rsid w:val="004156D4"/>
    <w:rsid w:val="0041635D"/>
    <w:rsid w:val="00417B77"/>
    <w:rsid w:val="00423543"/>
    <w:rsid w:val="00427718"/>
    <w:rsid w:val="00434990"/>
    <w:rsid w:val="00435799"/>
    <w:rsid w:val="00437C70"/>
    <w:rsid w:val="004422E7"/>
    <w:rsid w:val="0044478F"/>
    <w:rsid w:val="00445A0D"/>
    <w:rsid w:val="0045373C"/>
    <w:rsid w:val="00461A77"/>
    <w:rsid w:val="0047205A"/>
    <w:rsid w:val="00490EFE"/>
    <w:rsid w:val="00493B8C"/>
    <w:rsid w:val="004A1D5A"/>
    <w:rsid w:val="004A7071"/>
    <w:rsid w:val="004A767E"/>
    <w:rsid w:val="004C5EC1"/>
    <w:rsid w:val="004D32FA"/>
    <w:rsid w:val="004D629E"/>
    <w:rsid w:val="004E54D7"/>
    <w:rsid w:val="004E5FE6"/>
    <w:rsid w:val="004F1FB1"/>
    <w:rsid w:val="004F3D43"/>
    <w:rsid w:val="004F4E05"/>
    <w:rsid w:val="0050003F"/>
    <w:rsid w:val="005031E7"/>
    <w:rsid w:val="00503C13"/>
    <w:rsid w:val="00505201"/>
    <w:rsid w:val="00506904"/>
    <w:rsid w:val="005131D2"/>
    <w:rsid w:val="00520DAC"/>
    <w:rsid w:val="00521E82"/>
    <w:rsid w:val="005236BB"/>
    <w:rsid w:val="00526FB0"/>
    <w:rsid w:val="00530395"/>
    <w:rsid w:val="00533500"/>
    <w:rsid w:val="00533561"/>
    <w:rsid w:val="005338C8"/>
    <w:rsid w:val="0053504B"/>
    <w:rsid w:val="005357A7"/>
    <w:rsid w:val="00542AEF"/>
    <w:rsid w:val="00547BAA"/>
    <w:rsid w:val="0055139B"/>
    <w:rsid w:val="00553A5D"/>
    <w:rsid w:val="00555052"/>
    <w:rsid w:val="00560190"/>
    <w:rsid w:val="00561459"/>
    <w:rsid w:val="00566D8E"/>
    <w:rsid w:val="00572F85"/>
    <w:rsid w:val="00575EB9"/>
    <w:rsid w:val="005769A6"/>
    <w:rsid w:val="00583F9D"/>
    <w:rsid w:val="00585763"/>
    <w:rsid w:val="00587DEF"/>
    <w:rsid w:val="00595846"/>
    <w:rsid w:val="005970D9"/>
    <w:rsid w:val="0059757E"/>
    <w:rsid w:val="00597BBB"/>
    <w:rsid w:val="005A4444"/>
    <w:rsid w:val="005A4510"/>
    <w:rsid w:val="005A507E"/>
    <w:rsid w:val="005A72D7"/>
    <w:rsid w:val="005A79AA"/>
    <w:rsid w:val="005A7FCF"/>
    <w:rsid w:val="005B0257"/>
    <w:rsid w:val="005B06DC"/>
    <w:rsid w:val="005B14A8"/>
    <w:rsid w:val="005B22E8"/>
    <w:rsid w:val="005B25A7"/>
    <w:rsid w:val="005B25CD"/>
    <w:rsid w:val="005B39AC"/>
    <w:rsid w:val="005B39C1"/>
    <w:rsid w:val="005B60B0"/>
    <w:rsid w:val="005C28F8"/>
    <w:rsid w:val="005C3B59"/>
    <w:rsid w:val="005C4C76"/>
    <w:rsid w:val="005C516D"/>
    <w:rsid w:val="005C6992"/>
    <w:rsid w:val="005D2070"/>
    <w:rsid w:val="005D5C06"/>
    <w:rsid w:val="005E681C"/>
    <w:rsid w:val="005F36D9"/>
    <w:rsid w:val="005F4C23"/>
    <w:rsid w:val="005F69AC"/>
    <w:rsid w:val="005F7038"/>
    <w:rsid w:val="00600E62"/>
    <w:rsid w:val="00600FCB"/>
    <w:rsid w:val="0060111D"/>
    <w:rsid w:val="00613887"/>
    <w:rsid w:val="00617F76"/>
    <w:rsid w:val="0062292B"/>
    <w:rsid w:val="006252B3"/>
    <w:rsid w:val="00625837"/>
    <w:rsid w:val="006273E1"/>
    <w:rsid w:val="00632687"/>
    <w:rsid w:val="00645A69"/>
    <w:rsid w:val="00645BDB"/>
    <w:rsid w:val="00645EA4"/>
    <w:rsid w:val="00655BD9"/>
    <w:rsid w:val="00655DE5"/>
    <w:rsid w:val="006604F3"/>
    <w:rsid w:val="006675D8"/>
    <w:rsid w:val="0067032B"/>
    <w:rsid w:val="006715E4"/>
    <w:rsid w:val="00671AB3"/>
    <w:rsid w:val="00671DB8"/>
    <w:rsid w:val="00672105"/>
    <w:rsid w:val="0067346C"/>
    <w:rsid w:val="00676412"/>
    <w:rsid w:val="00677730"/>
    <w:rsid w:val="00682473"/>
    <w:rsid w:val="00682CF1"/>
    <w:rsid w:val="00683EE8"/>
    <w:rsid w:val="0068445B"/>
    <w:rsid w:val="00687A92"/>
    <w:rsid w:val="00692044"/>
    <w:rsid w:val="006924CE"/>
    <w:rsid w:val="00694786"/>
    <w:rsid w:val="00695082"/>
    <w:rsid w:val="0069552F"/>
    <w:rsid w:val="006A07E1"/>
    <w:rsid w:val="006A6F71"/>
    <w:rsid w:val="006B56A8"/>
    <w:rsid w:val="006B5B46"/>
    <w:rsid w:val="006C010C"/>
    <w:rsid w:val="006C2897"/>
    <w:rsid w:val="006C2F86"/>
    <w:rsid w:val="006C5330"/>
    <w:rsid w:val="006C62DE"/>
    <w:rsid w:val="006C675E"/>
    <w:rsid w:val="006C736D"/>
    <w:rsid w:val="006D1A6C"/>
    <w:rsid w:val="006D7D09"/>
    <w:rsid w:val="006E34FB"/>
    <w:rsid w:val="006E48AF"/>
    <w:rsid w:val="006E4BA1"/>
    <w:rsid w:val="006E509E"/>
    <w:rsid w:val="006E5326"/>
    <w:rsid w:val="006E5AEA"/>
    <w:rsid w:val="006F1C68"/>
    <w:rsid w:val="006F1EC7"/>
    <w:rsid w:val="006F36A0"/>
    <w:rsid w:val="006F58BF"/>
    <w:rsid w:val="006F7C51"/>
    <w:rsid w:val="00700368"/>
    <w:rsid w:val="007014A1"/>
    <w:rsid w:val="0070175E"/>
    <w:rsid w:val="0070179E"/>
    <w:rsid w:val="00704ABC"/>
    <w:rsid w:val="00704C27"/>
    <w:rsid w:val="00706177"/>
    <w:rsid w:val="00706663"/>
    <w:rsid w:val="007143F2"/>
    <w:rsid w:val="007175DF"/>
    <w:rsid w:val="007235E6"/>
    <w:rsid w:val="00723BE1"/>
    <w:rsid w:val="00726420"/>
    <w:rsid w:val="00726549"/>
    <w:rsid w:val="007301B7"/>
    <w:rsid w:val="00735770"/>
    <w:rsid w:val="007361BC"/>
    <w:rsid w:val="00740170"/>
    <w:rsid w:val="00743A03"/>
    <w:rsid w:val="00744E0E"/>
    <w:rsid w:val="00745800"/>
    <w:rsid w:val="00746642"/>
    <w:rsid w:val="00747AA6"/>
    <w:rsid w:val="00750B6B"/>
    <w:rsid w:val="0075116A"/>
    <w:rsid w:val="0075451C"/>
    <w:rsid w:val="007546D8"/>
    <w:rsid w:val="00754FE8"/>
    <w:rsid w:val="00763E19"/>
    <w:rsid w:val="00765E57"/>
    <w:rsid w:val="00766402"/>
    <w:rsid w:val="00766CA9"/>
    <w:rsid w:val="0076722B"/>
    <w:rsid w:val="0077275A"/>
    <w:rsid w:val="00772F22"/>
    <w:rsid w:val="007770A4"/>
    <w:rsid w:val="00780D8D"/>
    <w:rsid w:val="00781D35"/>
    <w:rsid w:val="0078390C"/>
    <w:rsid w:val="0078405D"/>
    <w:rsid w:val="0079291F"/>
    <w:rsid w:val="007A09D3"/>
    <w:rsid w:val="007A357B"/>
    <w:rsid w:val="007B1507"/>
    <w:rsid w:val="007B4682"/>
    <w:rsid w:val="007C23DD"/>
    <w:rsid w:val="007C3931"/>
    <w:rsid w:val="007D09A4"/>
    <w:rsid w:val="007D48DB"/>
    <w:rsid w:val="007E063E"/>
    <w:rsid w:val="007E31B3"/>
    <w:rsid w:val="007E7540"/>
    <w:rsid w:val="007F1440"/>
    <w:rsid w:val="007F3B3E"/>
    <w:rsid w:val="00800A68"/>
    <w:rsid w:val="00811A3D"/>
    <w:rsid w:val="00817531"/>
    <w:rsid w:val="00820233"/>
    <w:rsid w:val="008227FE"/>
    <w:rsid w:val="00825443"/>
    <w:rsid w:val="00826689"/>
    <w:rsid w:val="00831E44"/>
    <w:rsid w:val="00834EAE"/>
    <w:rsid w:val="00836595"/>
    <w:rsid w:val="00841596"/>
    <w:rsid w:val="00843422"/>
    <w:rsid w:val="00846C16"/>
    <w:rsid w:val="00852FA0"/>
    <w:rsid w:val="008551D3"/>
    <w:rsid w:val="00855A57"/>
    <w:rsid w:val="00857241"/>
    <w:rsid w:val="00860A5B"/>
    <w:rsid w:val="00861EA4"/>
    <w:rsid w:val="008622AB"/>
    <w:rsid w:val="00872206"/>
    <w:rsid w:val="00872EF5"/>
    <w:rsid w:val="00874196"/>
    <w:rsid w:val="008764BA"/>
    <w:rsid w:val="00880CDC"/>
    <w:rsid w:val="00882D44"/>
    <w:rsid w:val="00883220"/>
    <w:rsid w:val="00884571"/>
    <w:rsid w:val="00893101"/>
    <w:rsid w:val="008C7100"/>
    <w:rsid w:val="008C78E7"/>
    <w:rsid w:val="008C7ED6"/>
    <w:rsid w:val="008D0D5B"/>
    <w:rsid w:val="008D3DDB"/>
    <w:rsid w:val="008E0C87"/>
    <w:rsid w:val="008E1D14"/>
    <w:rsid w:val="008E219B"/>
    <w:rsid w:val="008E3344"/>
    <w:rsid w:val="008E47D3"/>
    <w:rsid w:val="008E669A"/>
    <w:rsid w:val="008F3DB6"/>
    <w:rsid w:val="008F43CF"/>
    <w:rsid w:val="008F7B38"/>
    <w:rsid w:val="00901D9A"/>
    <w:rsid w:val="0090224B"/>
    <w:rsid w:val="00902AB4"/>
    <w:rsid w:val="009100F5"/>
    <w:rsid w:val="0091449E"/>
    <w:rsid w:val="00915669"/>
    <w:rsid w:val="00916A97"/>
    <w:rsid w:val="00922EC2"/>
    <w:rsid w:val="0092676B"/>
    <w:rsid w:val="0093266B"/>
    <w:rsid w:val="0093362A"/>
    <w:rsid w:val="00934C35"/>
    <w:rsid w:val="009360B8"/>
    <w:rsid w:val="00940010"/>
    <w:rsid w:val="00940152"/>
    <w:rsid w:val="0094107F"/>
    <w:rsid w:val="00944767"/>
    <w:rsid w:val="00951F6B"/>
    <w:rsid w:val="00952E2A"/>
    <w:rsid w:val="0095519F"/>
    <w:rsid w:val="009567C3"/>
    <w:rsid w:val="009615F8"/>
    <w:rsid w:val="00961FBD"/>
    <w:rsid w:val="00965DCB"/>
    <w:rsid w:val="00970BDB"/>
    <w:rsid w:val="009757BD"/>
    <w:rsid w:val="009759B0"/>
    <w:rsid w:val="00976609"/>
    <w:rsid w:val="00981B27"/>
    <w:rsid w:val="00982491"/>
    <w:rsid w:val="00982FC1"/>
    <w:rsid w:val="009862C0"/>
    <w:rsid w:val="009873D9"/>
    <w:rsid w:val="00990055"/>
    <w:rsid w:val="009903BB"/>
    <w:rsid w:val="00991EC1"/>
    <w:rsid w:val="009937B9"/>
    <w:rsid w:val="00994541"/>
    <w:rsid w:val="009A31CF"/>
    <w:rsid w:val="009B300F"/>
    <w:rsid w:val="009B3E06"/>
    <w:rsid w:val="009C46A2"/>
    <w:rsid w:val="009C69AA"/>
    <w:rsid w:val="009D2040"/>
    <w:rsid w:val="009D397D"/>
    <w:rsid w:val="009D640D"/>
    <w:rsid w:val="009D7D40"/>
    <w:rsid w:val="009E4B62"/>
    <w:rsid w:val="009E6228"/>
    <w:rsid w:val="009E75A7"/>
    <w:rsid w:val="009E7EC2"/>
    <w:rsid w:val="009F290E"/>
    <w:rsid w:val="009F3B61"/>
    <w:rsid w:val="00A000C6"/>
    <w:rsid w:val="00A04636"/>
    <w:rsid w:val="00A05105"/>
    <w:rsid w:val="00A05A89"/>
    <w:rsid w:val="00A06CF8"/>
    <w:rsid w:val="00A2004B"/>
    <w:rsid w:val="00A20D76"/>
    <w:rsid w:val="00A30624"/>
    <w:rsid w:val="00A31EE4"/>
    <w:rsid w:val="00A36CB2"/>
    <w:rsid w:val="00A375C5"/>
    <w:rsid w:val="00A42367"/>
    <w:rsid w:val="00A4270E"/>
    <w:rsid w:val="00A44C8B"/>
    <w:rsid w:val="00A45520"/>
    <w:rsid w:val="00A52257"/>
    <w:rsid w:val="00A53451"/>
    <w:rsid w:val="00A62ACE"/>
    <w:rsid w:val="00A64C7A"/>
    <w:rsid w:val="00A67AF9"/>
    <w:rsid w:val="00A67DDE"/>
    <w:rsid w:val="00A7691C"/>
    <w:rsid w:val="00A7710C"/>
    <w:rsid w:val="00A82122"/>
    <w:rsid w:val="00A84584"/>
    <w:rsid w:val="00A84691"/>
    <w:rsid w:val="00A86045"/>
    <w:rsid w:val="00A86B50"/>
    <w:rsid w:val="00A90D5C"/>
    <w:rsid w:val="00A91D45"/>
    <w:rsid w:val="00A962B0"/>
    <w:rsid w:val="00AA07BF"/>
    <w:rsid w:val="00AA1F5A"/>
    <w:rsid w:val="00AA4492"/>
    <w:rsid w:val="00AA50A2"/>
    <w:rsid w:val="00AA61B8"/>
    <w:rsid w:val="00AA7229"/>
    <w:rsid w:val="00AB34FC"/>
    <w:rsid w:val="00AB7FFA"/>
    <w:rsid w:val="00AC3730"/>
    <w:rsid w:val="00AC3FC8"/>
    <w:rsid w:val="00AC4AC9"/>
    <w:rsid w:val="00AD0757"/>
    <w:rsid w:val="00AD58F7"/>
    <w:rsid w:val="00AD7A74"/>
    <w:rsid w:val="00AE076A"/>
    <w:rsid w:val="00AE2B3E"/>
    <w:rsid w:val="00AE3100"/>
    <w:rsid w:val="00AE3884"/>
    <w:rsid w:val="00AE6468"/>
    <w:rsid w:val="00AE7ABD"/>
    <w:rsid w:val="00AF0958"/>
    <w:rsid w:val="00AF284C"/>
    <w:rsid w:val="00AF4CE3"/>
    <w:rsid w:val="00AF4EA6"/>
    <w:rsid w:val="00B00E28"/>
    <w:rsid w:val="00B03026"/>
    <w:rsid w:val="00B04322"/>
    <w:rsid w:val="00B07F02"/>
    <w:rsid w:val="00B11CF5"/>
    <w:rsid w:val="00B13AEC"/>
    <w:rsid w:val="00B155A4"/>
    <w:rsid w:val="00B1610C"/>
    <w:rsid w:val="00B161B6"/>
    <w:rsid w:val="00B178CA"/>
    <w:rsid w:val="00B21783"/>
    <w:rsid w:val="00B273EB"/>
    <w:rsid w:val="00B27753"/>
    <w:rsid w:val="00B3369C"/>
    <w:rsid w:val="00B35A4D"/>
    <w:rsid w:val="00B4043A"/>
    <w:rsid w:val="00B42B39"/>
    <w:rsid w:val="00B4343C"/>
    <w:rsid w:val="00B443A7"/>
    <w:rsid w:val="00B4519F"/>
    <w:rsid w:val="00B46848"/>
    <w:rsid w:val="00B476A6"/>
    <w:rsid w:val="00B47A1C"/>
    <w:rsid w:val="00B509AB"/>
    <w:rsid w:val="00B543F5"/>
    <w:rsid w:val="00B57E21"/>
    <w:rsid w:val="00B765D2"/>
    <w:rsid w:val="00B86A62"/>
    <w:rsid w:val="00B93460"/>
    <w:rsid w:val="00B945F9"/>
    <w:rsid w:val="00B95C8E"/>
    <w:rsid w:val="00B95ED0"/>
    <w:rsid w:val="00B96C03"/>
    <w:rsid w:val="00BA658B"/>
    <w:rsid w:val="00BB11B1"/>
    <w:rsid w:val="00BB31D3"/>
    <w:rsid w:val="00BB3EB4"/>
    <w:rsid w:val="00BB6B93"/>
    <w:rsid w:val="00BC16AB"/>
    <w:rsid w:val="00BC4014"/>
    <w:rsid w:val="00BD48D0"/>
    <w:rsid w:val="00BD4D1C"/>
    <w:rsid w:val="00BD6245"/>
    <w:rsid w:val="00BD646F"/>
    <w:rsid w:val="00BE34BF"/>
    <w:rsid w:val="00BE7F04"/>
    <w:rsid w:val="00BF6F85"/>
    <w:rsid w:val="00C01592"/>
    <w:rsid w:val="00C075ED"/>
    <w:rsid w:val="00C078F7"/>
    <w:rsid w:val="00C07B9E"/>
    <w:rsid w:val="00C1085D"/>
    <w:rsid w:val="00C16541"/>
    <w:rsid w:val="00C175C4"/>
    <w:rsid w:val="00C20735"/>
    <w:rsid w:val="00C20B09"/>
    <w:rsid w:val="00C2618C"/>
    <w:rsid w:val="00C31B27"/>
    <w:rsid w:val="00C31EE8"/>
    <w:rsid w:val="00C43289"/>
    <w:rsid w:val="00C43F5F"/>
    <w:rsid w:val="00C44F72"/>
    <w:rsid w:val="00C46C23"/>
    <w:rsid w:val="00C46C29"/>
    <w:rsid w:val="00C54BBA"/>
    <w:rsid w:val="00C711C4"/>
    <w:rsid w:val="00C7169B"/>
    <w:rsid w:val="00C77B45"/>
    <w:rsid w:val="00C81669"/>
    <w:rsid w:val="00C822C2"/>
    <w:rsid w:val="00C828FF"/>
    <w:rsid w:val="00C8326E"/>
    <w:rsid w:val="00C85D50"/>
    <w:rsid w:val="00C87610"/>
    <w:rsid w:val="00C91A96"/>
    <w:rsid w:val="00C94A4E"/>
    <w:rsid w:val="00C94C94"/>
    <w:rsid w:val="00CA04D4"/>
    <w:rsid w:val="00CB0FB9"/>
    <w:rsid w:val="00CB2212"/>
    <w:rsid w:val="00CB5094"/>
    <w:rsid w:val="00CB559C"/>
    <w:rsid w:val="00CC11A8"/>
    <w:rsid w:val="00CC32B5"/>
    <w:rsid w:val="00CE282E"/>
    <w:rsid w:val="00CE4B39"/>
    <w:rsid w:val="00CE71E4"/>
    <w:rsid w:val="00CF1C39"/>
    <w:rsid w:val="00CF31AD"/>
    <w:rsid w:val="00D035F4"/>
    <w:rsid w:val="00D0378B"/>
    <w:rsid w:val="00D03E90"/>
    <w:rsid w:val="00D04861"/>
    <w:rsid w:val="00D0564F"/>
    <w:rsid w:val="00D13AB6"/>
    <w:rsid w:val="00D17211"/>
    <w:rsid w:val="00D20C65"/>
    <w:rsid w:val="00D21367"/>
    <w:rsid w:val="00D271A6"/>
    <w:rsid w:val="00D27699"/>
    <w:rsid w:val="00D337AD"/>
    <w:rsid w:val="00D356EC"/>
    <w:rsid w:val="00D362B3"/>
    <w:rsid w:val="00D36EF9"/>
    <w:rsid w:val="00D3744D"/>
    <w:rsid w:val="00D40584"/>
    <w:rsid w:val="00D52BCD"/>
    <w:rsid w:val="00D60002"/>
    <w:rsid w:val="00D63A4E"/>
    <w:rsid w:val="00D63FCD"/>
    <w:rsid w:val="00D7278A"/>
    <w:rsid w:val="00D73EF8"/>
    <w:rsid w:val="00D80DAD"/>
    <w:rsid w:val="00D87D80"/>
    <w:rsid w:val="00D94606"/>
    <w:rsid w:val="00DA129D"/>
    <w:rsid w:val="00DA191C"/>
    <w:rsid w:val="00DA72C4"/>
    <w:rsid w:val="00DA7620"/>
    <w:rsid w:val="00DB159A"/>
    <w:rsid w:val="00DB22D6"/>
    <w:rsid w:val="00DB289D"/>
    <w:rsid w:val="00DB46F1"/>
    <w:rsid w:val="00DC6373"/>
    <w:rsid w:val="00DC6FC5"/>
    <w:rsid w:val="00DD3883"/>
    <w:rsid w:val="00DD6932"/>
    <w:rsid w:val="00DD7970"/>
    <w:rsid w:val="00DE79BC"/>
    <w:rsid w:val="00DF1CB5"/>
    <w:rsid w:val="00DF2EEA"/>
    <w:rsid w:val="00DF4121"/>
    <w:rsid w:val="00DF5F0F"/>
    <w:rsid w:val="00DF788B"/>
    <w:rsid w:val="00DF7D35"/>
    <w:rsid w:val="00E00113"/>
    <w:rsid w:val="00E00800"/>
    <w:rsid w:val="00E014A1"/>
    <w:rsid w:val="00E01A02"/>
    <w:rsid w:val="00E04450"/>
    <w:rsid w:val="00E07981"/>
    <w:rsid w:val="00E07B82"/>
    <w:rsid w:val="00E13DCC"/>
    <w:rsid w:val="00E1463D"/>
    <w:rsid w:val="00E17A86"/>
    <w:rsid w:val="00E200A0"/>
    <w:rsid w:val="00E2782C"/>
    <w:rsid w:val="00E27EE0"/>
    <w:rsid w:val="00E37DBF"/>
    <w:rsid w:val="00E45604"/>
    <w:rsid w:val="00E52097"/>
    <w:rsid w:val="00E52098"/>
    <w:rsid w:val="00E53D41"/>
    <w:rsid w:val="00E602E9"/>
    <w:rsid w:val="00E60BA9"/>
    <w:rsid w:val="00E62125"/>
    <w:rsid w:val="00E636E0"/>
    <w:rsid w:val="00E66661"/>
    <w:rsid w:val="00E7212D"/>
    <w:rsid w:val="00E72AA0"/>
    <w:rsid w:val="00E730FE"/>
    <w:rsid w:val="00E73B65"/>
    <w:rsid w:val="00E76EB5"/>
    <w:rsid w:val="00E7770F"/>
    <w:rsid w:val="00E8153B"/>
    <w:rsid w:val="00E8393B"/>
    <w:rsid w:val="00E845AD"/>
    <w:rsid w:val="00E84A97"/>
    <w:rsid w:val="00E85DA0"/>
    <w:rsid w:val="00E90FE2"/>
    <w:rsid w:val="00E9244C"/>
    <w:rsid w:val="00E92F8B"/>
    <w:rsid w:val="00E95D6D"/>
    <w:rsid w:val="00E96BA9"/>
    <w:rsid w:val="00EA0F7A"/>
    <w:rsid w:val="00EA2123"/>
    <w:rsid w:val="00EA65C2"/>
    <w:rsid w:val="00EC29D6"/>
    <w:rsid w:val="00EC6BC1"/>
    <w:rsid w:val="00ED0467"/>
    <w:rsid w:val="00ED1D9D"/>
    <w:rsid w:val="00ED32D5"/>
    <w:rsid w:val="00ED5978"/>
    <w:rsid w:val="00EE1078"/>
    <w:rsid w:val="00EE2BD5"/>
    <w:rsid w:val="00EE3422"/>
    <w:rsid w:val="00EF371C"/>
    <w:rsid w:val="00EF79C3"/>
    <w:rsid w:val="00F125A3"/>
    <w:rsid w:val="00F13C7A"/>
    <w:rsid w:val="00F15E24"/>
    <w:rsid w:val="00F15E26"/>
    <w:rsid w:val="00F21493"/>
    <w:rsid w:val="00F21DE8"/>
    <w:rsid w:val="00F24B2E"/>
    <w:rsid w:val="00F26AE5"/>
    <w:rsid w:val="00F27549"/>
    <w:rsid w:val="00F300DC"/>
    <w:rsid w:val="00F33C20"/>
    <w:rsid w:val="00F4418D"/>
    <w:rsid w:val="00F45D92"/>
    <w:rsid w:val="00F4677E"/>
    <w:rsid w:val="00F505D4"/>
    <w:rsid w:val="00F53B97"/>
    <w:rsid w:val="00F677E5"/>
    <w:rsid w:val="00F725F5"/>
    <w:rsid w:val="00F75692"/>
    <w:rsid w:val="00F75A1E"/>
    <w:rsid w:val="00F81526"/>
    <w:rsid w:val="00F90E21"/>
    <w:rsid w:val="00F9419D"/>
    <w:rsid w:val="00F9574B"/>
    <w:rsid w:val="00F96685"/>
    <w:rsid w:val="00F96D93"/>
    <w:rsid w:val="00F96FB2"/>
    <w:rsid w:val="00F97AB2"/>
    <w:rsid w:val="00FA0392"/>
    <w:rsid w:val="00FA2D01"/>
    <w:rsid w:val="00FA43D4"/>
    <w:rsid w:val="00FA706D"/>
    <w:rsid w:val="00FA78A2"/>
    <w:rsid w:val="00FB098E"/>
    <w:rsid w:val="00FB2A48"/>
    <w:rsid w:val="00FB4EF2"/>
    <w:rsid w:val="00FB68E4"/>
    <w:rsid w:val="00FC0E2B"/>
    <w:rsid w:val="00FC248D"/>
    <w:rsid w:val="00FC2E31"/>
    <w:rsid w:val="00FC3284"/>
    <w:rsid w:val="00FC7795"/>
    <w:rsid w:val="00FE193E"/>
    <w:rsid w:val="00FE1ED6"/>
    <w:rsid w:val="00FE3729"/>
    <w:rsid w:val="00FE38BC"/>
    <w:rsid w:val="00FE4107"/>
    <w:rsid w:val="00FF0EEC"/>
    <w:rsid w:val="00FF32C1"/>
    <w:rsid w:val="5F11F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0FF31"/>
  <w15:docId w15:val="{3425A296-12D5-4C1F-8CB2-1C2480B2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7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7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17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17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179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179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179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7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7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79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79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179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17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17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17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17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1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7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7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79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179E"/>
    <w:pPr>
      <w:spacing w:before="160"/>
      <w:jc w:val="center"/>
    </w:pPr>
    <w:rPr>
      <w:i/>
      <w:iCs/>
      <w:color w:val="404040" w:themeColor="text1" w:themeTint="BF"/>
    </w:rPr>
  </w:style>
  <w:style w:type="character" w:customStyle="1" w:styleId="QuoteChar">
    <w:name w:val="Quote Char"/>
    <w:basedOn w:val="DefaultParagraphFont"/>
    <w:link w:val="Quote"/>
    <w:uiPriority w:val="29"/>
    <w:rsid w:val="0070179E"/>
    <w:rPr>
      <w:i/>
      <w:iCs/>
      <w:color w:val="404040" w:themeColor="text1" w:themeTint="BF"/>
    </w:rPr>
  </w:style>
  <w:style w:type="paragraph" w:styleId="ListParagraph">
    <w:name w:val="List Paragraph"/>
    <w:basedOn w:val="Normal"/>
    <w:uiPriority w:val="34"/>
    <w:qFormat/>
    <w:rsid w:val="0070179E"/>
    <w:pPr>
      <w:ind w:left="720"/>
      <w:contextualSpacing/>
    </w:pPr>
  </w:style>
  <w:style w:type="character" w:styleId="IntenseEmphasis">
    <w:name w:val="Intense Emphasis"/>
    <w:basedOn w:val="DefaultParagraphFont"/>
    <w:uiPriority w:val="21"/>
    <w:qFormat/>
    <w:rsid w:val="0070179E"/>
    <w:rPr>
      <w:i/>
      <w:iCs/>
      <w:color w:val="0F4761" w:themeColor="accent1" w:themeShade="BF"/>
    </w:rPr>
  </w:style>
  <w:style w:type="paragraph" w:styleId="IntenseQuote">
    <w:name w:val="Intense Quote"/>
    <w:basedOn w:val="Normal"/>
    <w:next w:val="Normal"/>
    <w:link w:val="IntenseQuoteChar"/>
    <w:uiPriority w:val="30"/>
    <w:qFormat/>
    <w:rsid w:val="00701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79E"/>
    <w:rPr>
      <w:i/>
      <w:iCs/>
      <w:color w:val="0F4761" w:themeColor="accent1" w:themeShade="BF"/>
    </w:rPr>
  </w:style>
  <w:style w:type="character" w:styleId="IntenseReference">
    <w:name w:val="Intense Reference"/>
    <w:basedOn w:val="DefaultParagraphFont"/>
    <w:uiPriority w:val="32"/>
    <w:qFormat/>
    <w:rsid w:val="0070179E"/>
    <w:rPr>
      <w:b/>
      <w:bCs/>
      <w:smallCaps/>
      <w:color w:val="0F4761" w:themeColor="accent1" w:themeShade="BF"/>
      <w:spacing w:val="5"/>
    </w:rPr>
  </w:style>
  <w:style w:type="paragraph" w:styleId="FootnoteText">
    <w:name w:val="footnote text"/>
    <w:basedOn w:val="Normal"/>
    <w:link w:val="FootnoteTextChar"/>
    <w:uiPriority w:val="99"/>
    <w:unhideWhenUsed/>
    <w:rsid w:val="0070179E"/>
    <w:pPr>
      <w:spacing w:after="0" w:line="240" w:lineRule="auto"/>
    </w:pPr>
  </w:style>
  <w:style w:type="character" w:customStyle="1" w:styleId="FootnoteTextChar">
    <w:name w:val="Footnote Text Char"/>
    <w:basedOn w:val="DefaultParagraphFont"/>
    <w:link w:val="FootnoteText"/>
    <w:uiPriority w:val="99"/>
    <w:rsid w:val="0070179E"/>
    <w:rPr>
      <w:sz w:val="20"/>
      <w:szCs w:val="20"/>
    </w:rPr>
  </w:style>
  <w:style w:type="character" w:styleId="FootnoteReference">
    <w:name w:val="footnote reference"/>
    <w:basedOn w:val="DefaultParagraphFont"/>
    <w:uiPriority w:val="99"/>
    <w:semiHidden/>
    <w:unhideWhenUsed/>
    <w:rsid w:val="0070179E"/>
    <w:rPr>
      <w:vertAlign w:val="superscript"/>
    </w:rPr>
  </w:style>
  <w:style w:type="character" w:styleId="CommentReference">
    <w:name w:val="annotation reference"/>
    <w:basedOn w:val="DefaultParagraphFont"/>
    <w:uiPriority w:val="99"/>
    <w:semiHidden/>
    <w:unhideWhenUsed/>
    <w:rsid w:val="00435799"/>
    <w:rPr>
      <w:sz w:val="16"/>
      <w:szCs w:val="16"/>
    </w:rPr>
  </w:style>
  <w:style w:type="paragraph" w:styleId="CommentText">
    <w:name w:val="annotation text"/>
    <w:basedOn w:val="Normal"/>
    <w:link w:val="CommentTextChar"/>
    <w:uiPriority w:val="99"/>
    <w:unhideWhenUsed/>
    <w:rsid w:val="00435799"/>
    <w:pPr>
      <w:spacing w:line="240" w:lineRule="auto"/>
    </w:pPr>
  </w:style>
  <w:style w:type="character" w:customStyle="1" w:styleId="CommentTextChar">
    <w:name w:val="Comment Text Char"/>
    <w:basedOn w:val="DefaultParagraphFont"/>
    <w:link w:val="CommentText"/>
    <w:uiPriority w:val="99"/>
    <w:rsid w:val="00435799"/>
    <w:rPr>
      <w:sz w:val="20"/>
      <w:szCs w:val="20"/>
    </w:rPr>
  </w:style>
  <w:style w:type="paragraph" w:styleId="CommentSubject">
    <w:name w:val="annotation subject"/>
    <w:basedOn w:val="CommentText"/>
    <w:next w:val="CommentText"/>
    <w:link w:val="CommentSubjectChar"/>
    <w:uiPriority w:val="99"/>
    <w:semiHidden/>
    <w:unhideWhenUsed/>
    <w:rsid w:val="00435799"/>
    <w:rPr>
      <w:b/>
      <w:bCs/>
    </w:rPr>
  </w:style>
  <w:style w:type="character" w:customStyle="1" w:styleId="CommentSubjectChar">
    <w:name w:val="Comment Subject Char"/>
    <w:basedOn w:val="CommentTextChar"/>
    <w:link w:val="CommentSubject"/>
    <w:uiPriority w:val="99"/>
    <w:semiHidden/>
    <w:rsid w:val="00435799"/>
    <w:rPr>
      <w:b/>
      <w:bCs/>
      <w:sz w:val="20"/>
      <w:szCs w:val="20"/>
    </w:rPr>
  </w:style>
  <w:style w:type="paragraph" w:styleId="NoSpacing">
    <w:name w:val="No Spacing"/>
    <w:uiPriority w:val="1"/>
    <w:qFormat/>
    <w:rsid w:val="003F1D5D"/>
    <w:pPr>
      <w:spacing w:after="0" w:line="240" w:lineRule="auto"/>
    </w:pPr>
  </w:style>
  <w:style w:type="paragraph" w:styleId="Header">
    <w:name w:val="header"/>
    <w:basedOn w:val="Normal"/>
    <w:link w:val="HeaderChar"/>
    <w:uiPriority w:val="99"/>
    <w:unhideWhenUsed/>
    <w:rsid w:val="00F505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5D4"/>
  </w:style>
  <w:style w:type="paragraph" w:styleId="Footer">
    <w:name w:val="footer"/>
    <w:basedOn w:val="Normal"/>
    <w:link w:val="FooterChar"/>
    <w:uiPriority w:val="99"/>
    <w:unhideWhenUsed/>
    <w:rsid w:val="00F505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5D4"/>
  </w:style>
  <w:style w:type="character" w:styleId="Hyperlink">
    <w:name w:val="Hyperlink"/>
    <w:basedOn w:val="DefaultParagraphFont"/>
    <w:uiPriority w:val="99"/>
    <w:unhideWhenUsed/>
    <w:rsid w:val="00883220"/>
    <w:rPr>
      <w:color w:val="467886" w:themeColor="hyperlink"/>
      <w:u w:val="single"/>
    </w:rPr>
  </w:style>
  <w:style w:type="character" w:styleId="UnresolvedMention">
    <w:name w:val="Unresolved Mention"/>
    <w:basedOn w:val="DefaultParagraphFont"/>
    <w:uiPriority w:val="99"/>
    <w:semiHidden/>
    <w:unhideWhenUsed/>
    <w:rsid w:val="00883220"/>
    <w:rPr>
      <w:color w:val="605E5C"/>
      <w:shd w:val="clear" w:color="auto" w:fill="E1DFDD"/>
    </w:rPr>
  </w:style>
  <w:style w:type="paragraph" w:styleId="Revision">
    <w:name w:val="Revision"/>
    <w:hidden/>
    <w:uiPriority w:val="99"/>
    <w:semiHidden/>
    <w:rsid w:val="007143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DD2A2-AABB-4118-ABC4-DBAA04CC5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10484</Words>
  <Characters>59763</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McHugh, Jenny</dc:creator>
  <cp:keywords/>
  <dc:description/>
  <cp:lastModifiedBy>McHugh, Jenny</cp:lastModifiedBy>
  <cp:revision>2</cp:revision>
  <cp:lastPrinted>2024-09-04T14:46:00Z</cp:lastPrinted>
  <dcterms:created xsi:type="dcterms:W3CDTF">2025-10-23T19:52:00Z</dcterms:created>
  <dcterms:modified xsi:type="dcterms:W3CDTF">2025-10-23T19:52:00Z</dcterms:modified>
</cp:coreProperties>
</file>