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02CA2" w14:textId="77777777" w:rsidR="00A63D51" w:rsidRPr="00401527" w:rsidRDefault="00A63D51" w:rsidP="00A63D51">
      <w:pPr>
        <w:jc w:val="left"/>
        <w:rPr>
          <w:b/>
        </w:rPr>
      </w:pPr>
      <w:bookmarkStart w:id="0" w:name="_heading=h.dzpgg2ju8fqf" w:colFirst="0" w:colLast="0"/>
      <w:bookmarkStart w:id="1" w:name="_GoBack"/>
      <w:bookmarkEnd w:id="0"/>
      <w:r w:rsidRPr="00401527">
        <w:rPr>
          <w:b/>
        </w:rPr>
        <w:t xml:space="preserve">Title: EMJ COVID-19 monthly top five </w:t>
      </w:r>
    </w:p>
    <w:p w14:paraId="0D4D2C21" w14:textId="77777777" w:rsidR="00A63D51" w:rsidRPr="00401527" w:rsidRDefault="00A63D51" w:rsidP="00A63D51">
      <w:pPr>
        <w:jc w:val="left"/>
        <w:rPr>
          <w:b/>
        </w:rPr>
      </w:pPr>
      <w:bookmarkStart w:id="2" w:name="_heading=h.30j0zll" w:colFirst="0" w:colLast="0"/>
      <w:bookmarkEnd w:id="2"/>
      <w:r w:rsidRPr="00401527">
        <w:rPr>
          <w:b/>
        </w:rPr>
        <w:t xml:space="preserve">Corresponding first author </w:t>
      </w:r>
    </w:p>
    <w:p w14:paraId="64A2A954" w14:textId="77777777" w:rsidR="00A63D51" w:rsidRPr="00401527" w:rsidRDefault="00A63D51" w:rsidP="00A63D51">
      <w:pPr>
        <w:shd w:val="clear" w:color="auto" w:fill="FFFFFF"/>
        <w:spacing w:line="240" w:lineRule="auto"/>
        <w:jc w:val="left"/>
      </w:pPr>
      <w:r w:rsidRPr="00401527">
        <w:t>Caroline Leech</w:t>
      </w:r>
    </w:p>
    <w:p w14:paraId="4F46F653" w14:textId="77777777" w:rsidR="00A63D51" w:rsidRPr="00401527" w:rsidRDefault="00A63D51" w:rsidP="00A63D51">
      <w:pPr>
        <w:shd w:val="clear" w:color="auto" w:fill="FFFFFF"/>
        <w:spacing w:line="240" w:lineRule="auto"/>
        <w:jc w:val="left"/>
      </w:pPr>
      <w:r w:rsidRPr="00401527">
        <w:t xml:space="preserve">Emergency Department, University Hospitals Coventry &amp; Warwickshire NHS Trust, Coventry, CV2 2DX, UK. </w:t>
      </w:r>
    </w:p>
    <w:p w14:paraId="70649CD3" w14:textId="77777777" w:rsidR="00A63D51" w:rsidRPr="00401527" w:rsidRDefault="00A63D51" w:rsidP="00A63D51">
      <w:pPr>
        <w:jc w:val="left"/>
        <w:rPr>
          <w:rFonts w:eastAsia="Times New Roman"/>
        </w:rPr>
      </w:pPr>
      <w:r w:rsidRPr="00401527">
        <w:t xml:space="preserve">ORCID ID: </w:t>
      </w:r>
      <w:r w:rsidRPr="00401527">
        <w:rPr>
          <w:rFonts w:eastAsia="Times New Roman"/>
          <w:color w:val="494A4C"/>
          <w:shd w:val="clear" w:color="auto" w:fill="FFFFFF"/>
        </w:rPr>
        <w:t>0000-0002-5301-9798</w:t>
      </w:r>
    </w:p>
    <w:p w14:paraId="5EE14037" w14:textId="77777777" w:rsidR="00A63D51" w:rsidRPr="00401527" w:rsidRDefault="00A63D51" w:rsidP="00A63D51">
      <w:pPr>
        <w:shd w:val="clear" w:color="auto" w:fill="FFFFFF"/>
        <w:spacing w:line="240" w:lineRule="auto"/>
        <w:jc w:val="left"/>
      </w:pPr>
      <w:r w:rsidRPr="00401527">
        <w:t xml:space="preserve">Email: </w:t>
      </w:r>
      <w:hyperlink r:id="rId6">
        <w:r w:rsidRPr="00401527">
          <w:rPr>
            <w:color w:val="0000FF"/>
            <w:u w:val="single"/>
          </w:rPr>
          <w:t>caroline.leech@uhcw.nhs.uk</w:t>
        </w:r>
      </w:hyperlink>
    </w:p>
    <w:p w14:paraId="026957AC" w14:textId="77777777" w:rsidR="00A63D51" w:rsidRPr="00401527" w:rsidRDefault="00A63D51" w:rsidP="00A63D51">
      <w:pPr>
        <w:shd w:val="clear" w:color="auto" w:fill="FFFFFF"/>
        <w:spacing w:line="240" w:lineRule="auto"/>
        <w:jc w:val="left"/>
      </w:pPr>
      <w:r w:rsidRPr="00401527">
        <w:t>Twitter: @</w:t>
      </w:r>
      <w:proofErr w:type="spellStart"/>
      <w:r w:rsidRPr="00401527">
        <w:t>leechcaroline</w:t>
      </w:r>
      <w:bookmarkStart w:id="3" w:name="_heading=h.1fob9te" w:colFirst="0" w:colLast="0"/>
      <w:bookmarkEnd w:id="3"/>
      <w:proofErr w:type="spellEnd"/>
    </w:p>
    <w:p w14:paraId="1E552539" w14:textId="77777777" w:rsidR="00A63D51" w:rsidRDefault="00A63D51" w:rsidP="00A63D51">
      <w:pPr>
        <w:jc w:val="left"/>
        <w:rPr>
          <w:b/>
        </w:rPr>
      </w:pPr>
    </w:p>
    <w:p w14:paraId="4381B6FA" w14:textId="77777777" w:rsidR="00A63D51" w:rsidRPr="00401527" w:rsidRDefault="00A63D51" w:rsidP="00A63D51">
      <w:pPr>
        <w:jc w:val="left"/>
        <w:rPr>
          <w:b/>
        </w:rPr>
      </w:pPr>
      <w:r w:rsidRPr="00401527">
        <w:rPr>
          <w:b/>
        </w:rPr>
        <w:t>Co-authors</w:t>
      </w:r>
    </w:p>
    <w:p w14:paraId="6255794C" w14:textId="77777777" w:rsidR="00A63D51" w:rsidRPr="00401527" w:rsidRDefault="00A63D51" w:rsidP="00A63D51">
      <w:pPr>
        <w:shd w:val="clear" w:color="auto" w:fill="FFFFFF"/>
        <w:spacing w:line="240" w:lineRule="auto"/>
        <w:jc w:val="left"/>
      </w:pPr>
      <w:r w:rsidRPr="00401527">
        <w:t>Edward Hartley</w:t>
      </w:r>
    </w:p>
    <w:p w14:paraId="041B48B5" w14:textId="77777777" w:rsidR="00A63D51" w:rsidRPr="00401527" w:rsidRDefault="00A63D51" w:rsidP="00A63D51">
      <w:pPr>
        <w:shd w:val="clear" w:color="auto" w:fill="FFFFFF"/>
        <w:spacing w:line="240" w:lineRule="auto"/>
        <w:jc w:val="left"/>
      </w:pPr>
      <w:r w:rsidRPr="00401527">
        <w:t xml:space="preserve">Emergency Department, University Hospitals Coventry &amp; Warwickshire NHS Trust, Coventry, CV2 2DX, UK. </w:t>
      </w:r>
    </w:p>
    <w:p w14:paraId="25C0F10B" w14:textId="77777777" w:rsidR="00A63D51" w:rsidRPr="00401527" w:rsidRDefault="00A63D51" w:rsidP="00A63D51">
      <w:pPr>
        <w:jc w:val="left"/>
        <w:rPr>
          <w:rFonts w:eastAsia="Times New Roman"/>
        </w:rPr>
      </w:pPr>
      <w:r w:rsidRPr="00401527">
        <w:t xml:space="preserve">ORCID ID: </w:t>
      </w:r>
      <w:r>
        <w:fldChar w:fldCharType="begin"/>
      </w:r>
      <w:r>
        <w:instrText xml:space="preserve"> HYPERLINK "https://orcid.org/0000-0001-5873-5307" \t "_blank" </w:instrText>
      </w:r>
      <w:r>
        <w:fldChar w:fldCharType="separate"/>
      </w:r>
      <w:r w:rsidRPr="00401527">
        <w:rPr>
          <w:rStyle w:val="Hyperlink"/>
          <w:rFonts w:eastAsia="Times New Roman"/>
          <w:color w:val="002060"/>
          <w:shd w:val="clear" w:color="auto" w:fill="FFFFFF"/>
        </w:rPr>
        <w:t>0000-0001-5873-5307</w:t>
      </w:r>
      <w:r>
        <w:rPr>
          <w:rStyle w:val="Hyperlink"/>
          <w:rFonts w:eastAsia="Times New Roman"/>
          <w:color w:val="002060"/>
          <w:shd w:val="clear" w:color="auto" w:fill="FFFFFF"/>
        </w:rPr>
        <w:fldChar w:fldCharType="end"/>
      </w:r>
    </w:p>
    <w:p w14:paraId="75EBE9B1" w14:textId="77777777" w:rsidR="00A63D51" w:rsidRPr="00401527" w:rsidRDefault="00A63D51" w:rsidP="00A63D51">
      <w:pPr>
        <w:shd w:val="clear" w:color="auto" w:fill="FFFFFF"/>
        <w:spacing w:line="240" w:lineRule="auto"/>
        <w:jc w:val="left"/>
      </w:pPr>
      <w:r w:rsidRPr="00401527">
        <w:t xml:space="preserve">Email: </w:t>
      </w:r>
      <w:r w:rsidRPr="00401527">
        <w:rPr>
          <w:color w:val="1155CC"/>
          <w:u w:val="single"/>
        </w:rPr>
        <w:t>edward.hartley@uhcw.nhs.uk</w:t>
      </w:r>
      <w:r w:rsidRPr="00401527">
        <w:tab/>
      </w:r>
      <w:r w:rsidRPr="00401527">
        <w:tab/>
      </w:r>
    </w:p>
    <w:p w14:paraId="76711C11" w14:textId="77777777" w:rsidR="00A63D51" w:rsidRPr="00401527" w:rsidRDefault="00A63D51" w:rsidP="00A63D51">
      <w:pPr>
        <w:shd w:val="clear" w:color="auto" w:fill="FFFFFF"/>
        <w:spacing w:line="240" w:lineRule="auto"/>
        <w:jc w:val="left"/>
        <w:rPr>
          <w:highlight w:val="white"/>
        </w:rPr>
      </w:pPr>
      <w:r w:rsidRPr="00401527">
        <w:t xml:space="preserve">Twitter: </w:t>
      </w:r>
      <w:r w:rsidRPr="00401527">
        <w:rPr>
          <w:highlight w:val="white"/>
        </w:rPr>
        <w:t>@</w:t>
      </w:r>
      <w:proofErr w:type="spellStart"/>
      <w:r w:rsidRPr="00401527">
        <w:rPr>
          <w:highlight w:val="white"/>
        </w:rPr>
        <w:t>DrEdHartley</w:t>
      </w:r>
      <w:proofErr w:type="spellEnd"/>
    </w:p>
    <w:p w14:paraId="6C4EA040" w14:textId="77777777" w:rsidR="00A63D51" w:rsidRDefault="00A63D51" w:rsidP="00A63D51">
      <w:pPr>
        <w:shd w:val="clear" w:color="auto" w:fill="FFFFFF"/>
        <w:spacing w:line="240" w:lineRule="auto"/>
        <w:jc w:val="left"/>
      </w:pPr>
    </w:p>
    <w:p w14:paraId="1F669CA1" w14:textId="77777777" w:rsidR="00A63D51" w:rsidRPr="00401527" w:rsidRDefault="00A63D51" w:rsidP="00A63D51">
      <w:pPr>
        <w:shd w:val="clear" w:color="auto" w:fill="FFFFFF"/>
        <w:spacing w:line="240" w:lineRule="auto"/>
        <w:jc w:val="left"/>
      </w:pPr>
      <w:proofErr w:type="spellStart"/>
      <w:r w:rsidRPr="00401527">
        <w:t>Priyanka</w:t>
      </w:r>
      <w:proofErr w:type="spellEnd"/>
      <w:r w:rsidRPr="00401527">
        <w:t xml:space="preserve"> </w:t>
      </w:r>
      <w:proofErr w:type="spellStart"/>
      <w:r w:rsidRPr="00401527">
        <w:t>Pillai</w:t>
      </w:r>
      <w:proofErr w:type="spellEnd"/>
    </w:p>
    <w:p w14:paraId="3E939D30" w14:textId="77777777" w:rsidR="00A63D51" w:rsidRPr="00401527" w:rsidRDefault="00A63D51" w:rsidP="00A63D51">
      <w:pPr>
        <w:shd w:val="clear" w:color="auto" w:fill="FFFFFF"/>
        <w:spacing w:line="240" w:lineRule="auto"/>
        <w:jc w:val="left"/>
      </w:pPr>
      <w:r w:rsidRPr="00401527">
        <w:t xml:space="preserve">Emergency Department, University Hospitals Coventry &amp; Warwickshire NHS Trust, Coventry, CV2 2DX, UK. </w:t>
      </w:r>
    </w:p>
    <w:p w14:paraId="400205F7" w14:textId="77777777" w:rsidR="00A63D51" w:rsidRPr="00401527" w:rsidRDefault="00A63D51" w:rsidP="00A63D51">
      <w:pPr>
        <w:jc w:val="left"/>
        <w:rPr>
          <w:rFonts w:eastAsia="Times New Roman"/>
        </w:rPr>
      </w:pPr>
      <w:r w:rsidRPr="00401527">
        <w:t xml:space="preserve">ORCID ID: </w:t>
      </w:r>
      <w:r>
        <w:fldChar w:fldCharType="begin"/>
      </w:r>
      <w:r>
        <w:instrText xml:space="preserve"> HYPERLINK "https://orcid.org/0000-0002-8576-4477" \t "_blank" </w:instrText>
      </w:r>
      <w:r>
        <w:fldChar w:fldCharType="separate"/>
      </w:r>
      <w:r w:rsidRPr="00401527">
        <w:rPr>
          <w:rStyle w:val="Hyperlink"/>
          <w:rFonts w:eastAsia="Times New Roman"/>
          <w:shd w:val="clear" w:color="auto" w:fill="FFFFFF"/>
        </w:rPr>
        <w:t>0000-0002-8576-4477</w:t>
      </w:r>
      <w:r>
        <w:rPr>
          <w:rStyle w:val="Hyperlink"/>
          <w:rFonts w:eastAsia="Times New Roman"/>
          <w:shd w:val="clear" w:color="auto" w:fill="FFFFFF"/>
        </w:rPr>
        <w:fldChar w:fldCharType="end"/>
      </w:r>
    </w:p>
    <w:p w14:paraId="28ABB22B" w14:textId="77777777" w:rsidR="00A63D51" w:rsidRPr="00401527" w:rsidRDefault="00A63D51" w:rsidP="00A63D51">
      <w:pPr>
        <w:shd w:val="clear" w:color="auto" w:fill="FFFFFF"/>
        <w:spacing w:line="240" w:lineRule="auto"/>
        <w:jc w:val="left"/>
      </w:pPr>
      <w:r w:rsidRPr="00401527">
        <w:t>Email: priya</w:t>
      </w:r>
      <w:r>
        <w:t>n</w:t>
      </w:r>
      <w:r w:rsidRPr="00401527">
        <w:t>ka.pillai@uhcw.nhs.uk</w:t>
      </w:r>
    </w:p>
    <w:p w14:paraId="5DDEE280" w14:textId="77777777" w:rsidR="00A63D51" w:rsidRPr="00401527" w:rsidRDefault="00A63D51" w:rsidP="00A63D51">
      <w:pPr>
        <w:shd w:val="clear" w:color="auto" w:fill="FFFFFF"/>
        <w:spacing w:line="240" w:lineRule="auto"/>
        <w:jc w:val="left"/>
        <w:rPr>
          <w:highlight w:val="white"/>
        </w:rPr>
      </w:pPr>
    </w:p>
    <w:p w14:paraId="4AA44242" w14:textId="77777777" w:rsidR="00A63D51" w:rsidRPr="00401527" w:rsidRDefault="00A63D51" w:rsidP="00A63D51">
      <w:pPr>
        <w:shd w:val="clear" w:color="auto" w:fill="FFFFFF"/>
        <w:spacing w:line="240" w:lineRule="auto"/>
        <w:jc w:val="left"/>
      </w:pPr>
      <w:r w:rsidRPr="00401527">
        <w:t>Marius Holmes</w:t>
      </w:r>
    </w:p>
    <w:p w14:paraId="1A8EBE30" w14:textId="77777777" w:rsidR="00A63D51" w:rsidRPr="00401527" w:rsidRDefault="00A63D51" w:rsidP="00A63D51">
      <w:pPr>
        <w:shd w:val="clear" w:color="auto" w:fill="FFFFFF"/>
        <w:spacing w:line="240" w:lineRule="auto"/>
        <w:jc w:val="left"/>
      </w:pPr>
      <w:r w:rsidRPr="00401527">
        <w:t xml:space="preserve">Emergency Department, University Hospitals Coventry &amp; Warwickshire NHS Trust, Coventry, CV2 2DX, UK. </w:t>
      </w:r>
    </w:p>
    <w:p w14:paraId="7122F39A" w14:textId="77777777" w:rsidR="00A63D51" w:rsidRPr="00401527" w:rsidRDefault="00A63D51" w:rsidP="00A63D51">
      <w:pPr>
        <w:jc w:val="left"/>
        <w:rPr>
          <w:rFonts w:eastAsia="Times New Roman"/>
        </w:rPr>
      </w:pPr>
      <w:r w:rsidRPr="00401527">
        <w:rPr>
          <w:highlight w:val="white"/>
        </w:rPr>
        <w:t xml:space="preserve">ORCID ID: </w:t>
      </w:r>
      <w:r w:rsidRPr="00401527">
        <w:rPr>
          <w:rFonts w:eastAsia="Times New Roman"/>
          <w:color w:val="000000"/>
          <w:shd w:val="clear" w:color="auto" w:fill="FFFFFF"/>
        </w:rPr>
        <w:t>0000-0001-9813-0329</w:t>
      </w:r>
    </w:p>
    <w:p w14:paraId="64E855AD" w14:textId="77777777" w:rsidR="00A63D51" w:rsidRPr="00401527" w:rsidRDefault="00A63D51" w:rsidP="00A63D51">
      <w:pPr>
        <w:shd w:val="clear" w:color="auto" w:fill="FFFFFF"/>
        <w:spacing w:line="240" w:lineRule="auto"/>
        <w:jc w:val="left"/>
        <w:rPr>
          <w:highlight w:val="white"/>
        </w:rPr>
      </w:pPr>
      <w:r w:rsidRPr="00401527">
        <w:rPr>
          <w:highlight w:val="white"/>
        </w:rPr>
        <w:t xml:space="preserve">Email: </w:t>
      </w:r>
      <w:hyperlink r:id="rId7">
        <w:r w:rsidRPr="00401527">
          <w:rPr>
            <w:color w:val="0000FF"/>
            <w:highlight w:val="white"/>
            <w:u w:val="single"/>
          </w:rPr>
          <w:t>marius.holmes@uhcw.nhs.uk</w:t>
        </w:r>
      </w:hyperlink>
    </w:p>
    <w:p w14:paraId="402BBC11" w14:textId="77777777" w:rsidR="00A63D51" w:rsidRDefault="00A63D51" w:rsidP="00A63D51">
      <w:pPr>
        <w:shd w:val="clear" w:color="auto" w:fill="FFFFFF"/>
        <w:spacing w:line="240" w:lineRule="auto"/>
        <w:jc w:val="left"/>
      </w:pPr>
    </w:p>
    <w:p w14:paraId="68DAB96E" w14:textId="77777777" w:rsidR="00A63D51" w:rsidRPr="00401527" w:rsidRDefault="00A63D51" w:rsidP="00A63D51">
      <w:pPr>
        <w:shd w:val="clear" w:color="auto" w:fill="FFFFFF"/>
        <w:spacing w:line="240" w:lineRule="auto"/>
        <w:jc w:val="left"/>
      </w:pPr>
      <w:r w:rsidRPr="00401527">
        <w:t>Karen Jones</w:t>
      </w:r>
    </w:p>
    <w:p w14:paraId="2A08A853" w14:textId="77777777" w:rsidR="00A63D51" w:rsidRPr="00401527" w:rsidRDefault="00A63D51" w:rsidP="00A63D51">
      <w:pPr>
        <w:shd w:val="clear" w:color="auto" w:fill="FFFFFF"/>
        <w:spacing w:line="240" w:lineRule="auto"/>
        <w:jc w:val="left"/>
      </w:pPr>
      <w:r w:rsidRPr="00401527">
        <w:t xml:space="preserve">Emergency Department, University Hospitals Coventry &amp; Warwickshire NHS Trust, Coventry, CV2 2DX, UK. </w:t>
      </w:r>
    </w:p>
    <w:p w14:paraId="292E3931" w14:textId="77777777" w:rsidR="00A63D51" w:rsidRPr="00401527" w:rsidRDefault="00A63D51" w:rsidP="00A63D51">
      <w:pPr>
        <w:jc w:val="left"/>
        <w:rPr>
          <w:rFonts w:eastAsia="Times New Roman"/>
        </w:rPr>
      </w:pPr>
      <w:r w:rsidRPr="00401527">
        <w:rPr>
          <w:highlight w:val="white"/>
        </w:rPr>
        <w:t xml:space="preserve">ORCID ID: </w:t>
      </w:r>
      <w:r w:rsidRPr="00401527">
        <w:rPr>
          <w:rFonts w:eastAsia="Times New Roman"/>
          <w:color w:val="212121"/>
          <w:shd w:val="clear" w:color="auto" w:fill="FFFFFF"/>
        </w:rPr>
        <w:t>0000-0003-0667-210X</w:t>
      </w:r>
    </w:p>
    <w:p w14:paraId="6D54D9C0" w14:textId="77777777" w:rsidR="00A63D51" w:rsidRPr="00401527" w:rsidRDefault="00A63D51" w:rsidP="00A63D51">
      <w:pPr>
        <w:shd w:val="clear" w:color="auto" w:fill="FFFFFF"/>
        <w:spacing w:line="240" w:lineRule="auto"/>
        <w:jc w:val="left"/>
      </w:pPr>
      <w:r w:rsidRPr="00401527">
        <w:rPr>
          <w:highlight w:val="white"/>
        </w:rPr>
        <w:t xml:space="preserve">Email: </w:t>
      </w:r>
      <w:r w:rsidRPr="00401527">
        <w:t>Karen.jones5@uhcw.nhs.uk</w:t>
      </w:r>
    </w:p>
    <w:p w14:paraId="6B32897E" w14:textId="77777777" w:rsidR="00A63D51" w:rsidRPr="00401527" w:rsidRDefault="00A63D51" w:rsidP="00A63D51">
      <w:pPr>
        <w:jc w:val="left"/>
        <w:rPr>
          <w:rFonts w:eastAsia="Times New Roman"/>
        </w:rPr>
      </w:pPr>
      <w:r w:rsidRPr="00401527">
        <w:t>Twitter: @KJonesey78</w:t>
      </w:r>
      <w:r w:rsidRPr="00401527">
        <w:rPr>
          <w:rFonts w:eastAsia="Times New Roman"/>
          <w:color w:val="212121"/>
          <w:shd w:val="clear" w:color="auto" w:fill="FFFFFF"/>
        </w:rPr>
        <w:t xml:space="preserve"> </w:t>
      </w:r>
    </w:p>
    <w:p w14:paraId="0CD19299" w14:textId="77777777" w:rsidR="00A63D51" w:rsidRDefault="00A63D51" w:rsidP="00A63D51">
      <w:pPr>
        <w:shd w:val="clear" w:color="auto" w:fill="FFFFFF"/>
        <w:spacing w:line="240" w:lineRule="auto"/>
        <w:jc w:val="left"/>
      </w:pPr>
    </w:p>
    <w:p w14:paraId="5EF1B9BE" w14:textId="77777777" w:rsidR="00A63D51" w:rsidRDefault="00A63D51" w:rsidP="00A63D51">
      <w:pPr>
        <w:shd w:val="clear" w:color="auto" w:fill="FFFFFF"/>
        <w:spacing w:line="240" w:lineRule="auto"/>
        <w:jc w:val="left"/>
      </w:pPr>
      <w:r>
        <w:t xml:space="preserve">Daniel </w:t>
      </w:r>
      <w:proofErr w:type="spellStart"/>
      <w:r>
        <w:t>Darbyshire</w:t>
      </w:r>
      <w:proofErr w:type="spellEnd"/>
    </w:p>
    <w:p w14:paraId="7A6F96C5" w14:textId="77777777" w:rsidR="00A63D51" w:rsidRDefault="00A63D51" w:rsidP="00A63D51">
      <w:pPr>
        <w:shd w:val="clear" w:color="auto" w:fill="FFFFFF"/>
        <w:spacing w:line="240" w:lineRule="auto"/>
        <w:jc w:val="left"/>
      </w:pPr>
      <w:r>
        <w:t>Lancaster Medical School, Health Innovation One, Sir John Fisher Drive, Lancaster, LA1 4YB, UK.</w:t>
      </w:r>
    </w:p>
    <w:p w14:paraId="25F80139" w14:textId="77777777" w:rsidR="00A63D51" w:rsidRPr="00401527" w:rsidRDefault="00A63D51" w:rsidP="00A63D51">
      <w:pPr>
        <w:shd w:val="clear" w:color="auto" w:fill="FFFFFF"/>
        <w:spacing w:line="240" w:lineRule="auto"/>
        <w:jc w:val="left"/>
      </w:pPr>
      <w:r>
        <w:t xml:space="preserve">ORCID ID: </w:t>
      </w:r>
      <w:r w:rsidRPr="009D3092">
        <w:t xml:space="preserve">0000-0001-5619-0331  </w:t>
      </w:r>
    </w:p>
    <w:p w14:paraId="3653B2B6" w14:textId="77777777" w:rsidR="00A63D51" w:rsidRDefault="00A63D51" w:rsidP="00A63D51">
      <w:pPr>
        <w:shd w:val="clear" w:color="auto" w:fill="FFFFFF"/>
        <w:spacing w:line="240" w:lineRule="auto"/>
        <w:jc w:val="left"/>
        <w:rPr>
          <w:highlight w:val="white"/>
        </w:rPr>
      </w:pPr>
      <w:r>
        <w:rPr>
          <w:highlight w:val="white"/>
        </w:rPr>
        <w:t xml:space="preserve">Email: </w:t>
      </w:r>
      <w:hyperlink r:id="rId8" w:history="1">
        <w:r w:rsidRPr="00930303">
          <w:rPr>
            <w:rStyle w:val="Hyperlink"/>
            <w:highlight w:val="white"/>
          </w:rPr>
          <w:t>dsdarbyshire@doctors.org.uk</w:t>
        </w:r>
      </w:hyperlink>
    </w:p>
    <w:p w14:paraId="43FBC323" w14:textId="77777777" w:rsidR="00A63D51" w:rsidRDefault="00A63D51" w:rsidP="00A63D51">
      <w:pPr>
        <w:shd w:val="clear" w:color="auto" w:fill="FFFFFF"/>
        <w:spacing w:line="240" w:lineRule="auto"/>
        <w:jc w:val="left"/>
        <w:rPr>
          <w:highlight w:val="white"/>
        </w:rPr>
      </w:pPr>
      <w:r>
        <w:rPr>
          <w:highlight w:val="white"/>
        </w:rPr>
        <w:t>Twitter: @</w:t>
      </w:r>
      <w:proofErr w:type="spellStart"/>
      <w:r>
        <w:rPr>
          <w:highlight w:val="white"/>
        </w:rPr>
        <w:t>dsdarbyshire</w:t>
      </w:r>
      <w:proofErr w:type="spellEnd"/>
    </w:p>
    <w:p w14:paraId="2C79F972" w14:textId="77777777" w:rsidR="00A63D51" w:rsidRPr="00401527" w:rsidRDefault="00A63D51" w:rsidP="00A63D51">
      <w:pPr>
        <w:shd w:val="clear" w:color="auto" w:fill="FFFFFF"/>
        <w:spacing w:line="240" w:lineRule="auto"/>
        <w:jc w:val="left"/>
        <w:rPr>
          <w:highlight w:val="white"/>
        </w:rPr>
      </w:pPr>
    </w:p>
    <w:p w14:paraId="5E635B2F" w14:textId="77777777" w:rsidR="00A63D51" w:rsidRPr="00401527" w:rsidRDefault="00A63D51" w:rsidP="00A63D51">
      <w:pPr>
        <w:jc w:val="left"/>
      </w:pPr>
      <w:bookmarkStart w:id="4" w:name="_heading=h.2et92p0" w:colFirst="0" w:colLast="0"/>
      <w:bookmarkEnd w:id="4"/>
      <w:r w:rsidRPr="00401527">
        <w:rPr>
          <w:b/>
        </w:rPr>
        <w:t xml:space="preserve">Acknowledgements: </w:t>
      </w:r>
      <w:r w:rsidRPr="00213D22">
        <w:t>RCEM COVID-19 CPD Team:</w:t>
      </w:r>
      <w:r w:rsidRPr="00401527">
        <w:t xml:space="preserve"> </w:t>
      </w:r>
      <w:r>
        <w:t xml:space="preserve">Dr Charles Reynard, Dr </w:t>
      </w:r>
      <w:proofErr w:type="spellStart"/>
      <w:r>
        <w:t>Anisa</w:t>
      </w:r>
      <w:proofErr w:type="spellEnd"/>
      <w:r>
        <w:t xml:space="preserve"> </w:t>
      </w:r>
      <w:proofErr w:type="spellStart"/>
      <w:r>
        <w:t>Jafar</w:t>
      </w:r>
      <w:proofErr w:type="spellEnd"/>
      <w:r>
        <w:t xml:space="preserve">, Dr </w:t>
      </w:r>
      <w:proofErr w:type="spellStart"/>
      <w:r>
        <w:t>Govind</w:t>
      </w:r>
      <w:proofErr w:type="spellEnd"/>
      <w:r>
        <w:t xml:space="preserve"> Oliver, Dr Gabrielle </w:t>
      </w:r>
      <w:proofErr w:type="spellStart"/>
      <w:r>
        <w:t>Prager</w:t>
      </w:r>
      <w:proofErr w:type="spellEnd"/>
    </w:p>
    <w:p w14:paraId="24AE12EF" w14:textId="77777777" w:rsidR="00A63D51" w:rsidRPr="00401527" w:rsidRDefault="00A63D51" w:rsidP="00A63D51">
      <w:pPr>
        <w:jc w:val="left"/>
      </w:pPr>
    </w:p>
    <w:p w14:paraId="45193424" w14:textId="77777777" w:rsidR="00A63D51" w:rsidRPr="00401527" w:rsidRDefault="00A63D51" w:rsidP="00A63D51">
      <w:pPr>
        <w:jc w:val="left"/>
        <w:rPr>
          <w:b/>
          <w:u w:val="single"/>
        </w:rPr>
      </w:pPr>
      <w:bookmarkStart w:id="5" w:name="_heading=h.tyjcwt" w:colFirst="0" w:colLast="0"/>
      <w:bookmarkEnd w:id="5"/>
      <w:r w:rsidRPr="00540796">
        <w:rPr>
          <w:b/>
          <w:u w:val="single"/>
        </w:rPr>
        <w:t>Word count including</w:t>
      </w:r>
      <w:r w:rsidRPr="00401527">
        <w:rPr>
          <w:b/>
          <w:u w:val="single"/>
        </w:rPr>
        <w:t xml:space="preserve"> subheadings &amp; bottom line (excluding references): </w:t>
      </w:r>
      <w:r>
        <w:rPr>
          <w:bCs/>
        </w:rPr>
        <w:t>1712</w:t>
      </w:r>
    </w:p>
    <w:p w14:paraId="72F21055" w14:textId="77777777" w:rsidR="00A63D51" w:rsidRPr="00401527" w:rsidRDefault="00A63D51" w:rsidP="00A63D51">
      <w:pPr>
        <w:spacing w:line="240" w:lineRule="auto"/>
        <w:jc w:val="left"/>
        <w:rPr>
          <w:highlight w:val="yellow"/>
        </w:rPr>
      </w:pPr>
      <w:r w:rsidRPr="00401527">
        <w:br w:type="page"/>
      </w:r>
    </w:p>
    <w:p w14:paraId="4B69831E" w14:textId="77777777" w:rsidR="00A63D51" w:rsidRPr="00401527" w:rsidRDefault="00A63D51" w:rsidP="00A63D51">
      <w:pPr>
        <w:pStyle w:val="Heading1"/>
        <w:rPr>
          <w:i/>
        </w:rPr>
      </w:pPr>
      <w:bookmarkStart w:id="6" w:name="_heading=h.3dy6vkm" w:colFirst="0" w:colLast="0"/>
      <w:bookmarkEnd w:id="6"/>
      <w:r w:rsidRPr="00401527">
        <w:t>Introduction</w:t>
      </w:r>
      <w:bookmarkStart w:id="7" w:name="_heading=h.1t3h5sf" w:colFirst="0" w:colLast="0"/>
      <w:bookmarkEnd w:id="7"/>
    </w:p>
    <w:p w14:paraId="29D7E1A7" w14:textId="77777777" w:rsidR="00A63D51" w:rsidRPr="00401527" w:rsidRDefault="00A63D51" w:rsidP="00A63D51">
      <w:pPr>
        <w:jc w:val="left"/>
      </w:pPr>
      <w:bookmarkStart w:id="8" w:name="_heading=h.4d34og8" w:colFirst="0" w:colLast="0"/>
      <w:bookmarkEnd w:id="8"/>
      <w:r w:rsidRPr="00401527">
        <w:t xml:space="preserve">Following from the successful "RCEM weekly top five" series starting in April 2020, this is the </w:t>
      </w:r>
      <w:r>
        <w:t>fifth</w:t>
      </w:r>
      <w:r w:rsidRPr="00401527">
        <w:t xml:space="preserve"> of a monthly format for EMJ readers. We have undertaken a focussed search of the PubMed literature using a standardised COVID-19 search string. Our search between </w:t>
      </w:r>
      <w:r w:rsidRPr="007A5815">
        <w:t>1</w:t>
      </w:r>
      <w:r w:rsidRPr="007A5815">
        <w:rPr>
          <w:vertAlign w:val="superscript"/>
        </w:rPr>
        <w:t>st</w:t>
      </w:r>
      <w:r w:rsidRPr="007A5815">
        <w:t xml:space="preserve"> February and 28</w:t>
      </w:r>
      <w:r w:rsidRPr="007A5815">
        <w:rPr>
          <w:vertAlign w:val="superscript"/>
        </w:rPr>
        <w:t>th</w:t>
      </w:r>
      <w:r w:rsidRPr="007A5815">
        <w:t xml:space="preserve"> February 2020</w:t>
      </w:r>
      <w:r w:rsidRPr="00401527">
        <w:t xml:space="preserve"> returned </w:t>
      </w:r>
      <w:r>
        <w:t>6712</w:t>
      </w:r>
      <w:r w:rsidRPr="00401527">
        <w:t xml:space="preserve"> papers limited to human subjects and English language. We also searched high impact journals for papers of interest.</w:t>
      </w:r>
    </w:p>
    <w:p w14:paraId="59F88FA5" w14:textId="77777777" w:rsidR="00A63D51" w:rsidRPr="00401527" w:rsidRDefault="00A63D51" w:rsidP="00A63D51">
      <w:pPr>
        <w:jc w:val="left"/>
      </w:pPr>
      <w:r w:rsidRPr="00401527">
        <w:t xml:space="preserve">Our team have narrowed down the most interesting, relevant and important of the papers and provided a critical snapshot of 5 of those we felt most deserved EMJ reader attention. Importantly, we have highlighted not only the main findings from the papers but key limitations and considerations for EM clinicians when interpreting the work. In doing so have created an accessible window into pertinent research findings for our busy colleagues during this fast-paced and ever-changing COVID-19 landscape. </w:t>
      </w:r>
    </w:p>
    <w:p w14:paraId="2FAB8DD3" w14:textId="77777777" w:rsidR="00A63D51" w:rsidRPr="00401527" w:rsidRDefault="00A63D51" w:rsidP="00A63D51">
      <w:pPr>
        <w:jc w:val="left"/>
      </w:pPr>
      <w:r w:rsidRPr="00401527">
        <w:t xml:space="preserve">The papers are ranked in one of 3 categories, allowing you to focus on the papers that are most vital to your practice: </w:t>
      </w:r>
    </w:p>
    <w:p w14:paraId="636CAC2B" w14:textId="77777777" w:rsidR="00A63D51" w:rsidRPr="00401527" w:rsidRDefault="00A63D51" w:rsidP="00A63D51">
      <w:pPr>
        <w:numPr>
          <w:ilvl w:val="0"/>
          <w:numId w:val="1"/>
        </w:numPr>
        <w:pBdr>
          <w:top w:val="nil"/>
          <w:left w:val="nil"/>
          <w:bottom w:val="nil"/>
          <w:right w:val="nil"/>
          <w:between w:val="nil"/>
        </w:pBdr>
        <w:spacing w:after="0"/>
        <w:jc w:val="left"/>
        <w:rPr>
          <w:color w:val="000000"/>
        </w:rPr>
      </w:pPr>
      <w:r w:rsidRPr="00401527">
        <w:rPr>
          <w:color w:val="000000"/>
        </w:rPr>
        <w:t>Worth a peek</w:t>
      </w:r>
      <w:r>
        <w:rPr>
          <w:color w:val="000000"/>
        </w:rPr>
        <w:t>—</w:t>
      </w:r>
      <w:r w:rsidRPr="00401527">
        <w:rPr>
          <w:color w:val="000000"/>
        </w:rPr>
        <w:t xml:space="preserve">interesting, but not yet ready for prime time </w:t>
      </w:r>
    </w:p>
    <w:p w14:paraId="5B15E9A0" w14:textId="77777777" w:rsidR="00A63D51" w:rsidRPr="00401527" w:rsidRDefault="00A63D51" w:rsidP="00A63D51">
      <w:pPr>
        <w:numPr>
          <w:ilvl w:val="0"/>
          <w:numId w:val="1"/>
        </w:numPr>
        <w:pBdr>
          <w:top w:val="nil"/>
          <w:left w:val="nil"/>
          <w:bottom w:val="nil"/>
          <w:right w:val="nil"/>
          <w:between w:val="nil"/>
        </w:pBdr>
        <w:spacing w:before="0" w:after="0"/>
        <w:jc w:val="left"/>
        <w:rPr>
          <w:color w:val="000000"/>
        </w:rPr>
      </w:pPr>
      <w:r w:rsidRPr="00401527">
        <w:rPr>
          <w:color w:val="000000"/>
        </w:rPr>
        <w:t>Head turner</w:t>
      </w:r>
      <w:r>
        <w:rPr>
          <w:color w:val="000000"/>
        </w:rPr>
        <w:t>—</w:t>
      </w:r>
      <w:r w:rsidRPr="00401527">
        <w:rPr>
          <w:color w:val="000000"/>
        </w:rPr>
        <w:t xml:space="preserve">new concepts </w:t>
      </w:r>
    </w:p>
    <w:p w14:paraId="72B09090" w14:textId="77777777" w:rsidR="00A63D51" w:rsidRPr="00401527" w:rsidRDefault="00A63D51" w:rsidP="00A63D51">
      <w:pPr>
        <w:numPr>
          <w:ilvl w:val="0"/>
          <w:numId w:val="1"/>
        </w:numPr>
        <w:pBdr>
          <w:top w:val="nil"/>
          <w:left w:val="nil"/>
          <w:bottom w:val="nil"/>
          <w:right w:val="nil"/>
          <w:between w:val="nil"/>
        </w:pBdr>
        <w:spacing w:before="0"/>
        <w:jc w:val="left"/>
        <w:rPr>
          <w:color w:val="000000"/>
        </w:rPr>
      </w:pPr>
      <w:r w:rsidRPr="00401527">
        <w:rPr>
          <w:color w:val="000000"/>
        </w:rPr>
        <w:t>Game changer</w:t>
      </w:r>
      <w:r>
        <w:rPr>
          <w:color w:val="000000"/>
        </w:rPr>
        <w:t>—</w:t>
      </w:r>
      <w:r w:rsidRPr="00401527">
        <w:rPr>
          <w:color w:val="000000"/>
        </w:rPr>
        <w:t xml:space="preserve">this paper could/should change practice </w:t>
      </w:r>
    </w:p>
    <w:p w14:paraId="7AA6E4A9" w14:textId="77777777" w:rsidR="00A63D51" w:rsidRPr="00401527" w:rsidRDefault="00A63D51" w:rsidP="00A63D51">
      <w:pPr>
        <w:jc w:val="left"/>
      </w:pPr>
      <w:proofErr w:type="gramStart"/>
      <w:r w:rsidRPr="00401527">
        <w:t>This month's searches were undertaken by the Emergency Department team in Coventry</w:t>
      </w:r>
      <w:proofErr w:type="gramEnd"/>
      <w:r w:rsidRPr="00401527">
        <w:t>.</w:t>
      </w:r>
      <w:r>
        <w:t xml:space="preserve"> Next month we visit the historic naval city of Plymouth on the south coast and look forward to an armada of quality content.</w:t>
      </w:r>
      <w:r w:rsidRPr="00401527">
        <w:t xml:space="preserve"> </w:t>
      </w:r>
    </w:p>
    <w:p w14:paraId="6F9F2D70" w14:textId="77777777" w:rsidR="00A63D51" w:rsidRDefault="00A63D51" w:rsidP="00A63D51">
      <w:pPr>
        <w:pStyle w:val="Heading1"/>
        <w:rPr>
          <w:b w:val="0"/>
        </w:rPr>
      </w:pPr>
      <w:bookmarkStart w:id="9" w:name="_heading=h.2s8eyo1" w:colFirst="0" w:colLast="0"/>
      <w:bookmarkStart w:id="10" w:name="_heading=h.gegwfz30hypl" w:colFirst="0" w:colLast="0"/>
      <w:bookmarkStart w:id="11" w:name="_heading=h.3rdcrjn" w:colFirst="0" w:colLast="0"/>
      <w:bookmarkEnd w:id="9"/>
      <w:bookmarkEnd w:id="10"/>
      <w:bookmarkEnd w:id="11"/>
    </w:p>
    <w:p w14:paraId="489F203E" w14:textId="77777777" w:rsidR="00A63D51" w:rsidRDefault="00A63D51" w:rsidP="00A63D51">
      <w:pPr>
        <w:jc w:val="left"/>
      </w:pPr>
    </w:p>
    <w:p w14:paraId="1BA4BC6C" w14:textId="77777777" w:rsidR="00A63D51" w:rsidRDefault="00A63D51" w:rsidP="00A63D51">
      <w:pPr>
        <w:jc w:val="left"/>
      </w:pPr>
    </w:p>
    <w:p w14:paraId="19DD432B" w14:textId="77777777" w:rsidR="00A63D51" w:rsidRPr="00401527" w:rsidRDefault="00A63D51" w:rsidP="00A63D51">
      <w:pPr>
        <w:jc w:val="left"/>
      </w:pPr>
    </w:p>
    <w:p w14:paraId="58668A7B" w14:textId="77777777" w:rsidR="00A63D51" w:rsidRPr="00401527" w:rsidRDefault="00A63D51" w:rsidP="00A63D51">
      <w:pPr>
        <w:pStyle w:val="Heading1"/>
      </w:pPr>
    </w:p>
    <w:p w14:paraId="70DB83EC" w14:textId="77777777" w:rsidR="00A63D51" w:rsidRPr="00401527" w:rsidRDefault="00A63D51" w:rsidP="00A63D51">
      <w:pPr>
        <w:spacing w:before="0" w:line="240" w:lineRule="auto"/>
        <w:jc w:val="left"/>
      </w:pPr>
    </w:p>
    <w:p w14:paraId="3060DC83" w14:textId="77777777" w:rsidR="00A63D51" w:rsidRPr="00401527" w:rsidRDefault="00A63D51" w:rsidP="00A63D51">
      <w:pPr>
        <w:spacing w:before="0" w:line="240" w:lineRule="auto"/>
        <w:jc w:val="left"/>
        <w:rPr>
          <w:b/>
        </w:rPr>
      </w:pPr>
    </w:p>
    <w:p w14:paraId="0EF85719" w14:textId="77777777" w:rsidR="00A63D51" w:rsidRDefault="00A63D51" w:rsidP="00A63D51">
      <w:pPr>
        <w:jc w:val="left"/>
        <w:rPr>
          <w:b/>
        </w:rPr>
      </w:pPr>
      <w:r>
        <w:rPr>
          <w:b/>
        </w:rPr>
        <w:br w:type="page"/>
      </w:r>
    </w:p>
    <w:p w14:paraId="683214D3" w14:textId="77777777" w:rsidR="00A63D51" w:rsidRPr="00401527" w:rsidRDefault="00A63D51" w:rsidP="00A63D51">
      <w:pPr>
        <w:spacing w:before="0" w:line="240" w:lineRule="auto"/>
        <w:jc w:val="left"/>
        <w:rPr>
          <w:b/>
        </w:rPr>
      </w:pPr>
      <w:r w:rsidRPr="00401527">
        <w:rPr>
          <w:b/>
        </w:rPr>
        <w:t xml:space="preserve">1. Pulmonary </w:t>
      </w:r>
      <w:proofErr w:type="gramStart"/>
      <w:r w:rsidRPr="00401527">
        <w:rPr>
          <w:b/>
        </w:rPr>
        <w:t>Embolism</w:t>
      </w:r>
      <w:proofErr w:type="gramEnd"/>
      <w:r w:rsidRPr="00401527">
        <w:rPr>
          <w:b/>
        </w:rPr>
        <w:t xml:space="preserve"> and Deep Vein Thrombosis in COVID-19</w:t>
      </w:r>
      <w:r>
        <w:rPr>
          <w:b/>
        </w:rPr>
        <w:t xml:space="preserve"> (1)</w:t>
      </w:r>
    </w:p>
    <w:p w14:paraId="6455CC13" w14:textId="77777777" w:rsidR="00A63D51" w:rsidRPr="00401527" w:rsidRDefault="00A63D51" w:rsidP="00A63D51">
      <w:pPr>
        <w:jc w:val="left"/>
        <w:rPr>
          <w:b/>
        </w:rPr>
      </w:pPr>
      <w:r w:rsidRPr="00401527">
        <w:rPr>
          <w:b/>
        </w:rPr>
        <w:t>Topic – Diagnosis</w:t>
      </w:r>
    </w:p>
    <w:p w14:paraId="4A82E48C" w14:textId="77777777" w:rsidR="00A63D51" w:rsidRPr="00401527" w:rsidRDefault="00A63D51" w:rsidP="00A63D51">
      <w:pPr>
        <w:jc w:val="left"/>
        <w:rPr>
          <w:b/>
        </w:rPr>
      </w:pPr>
      <w:r w:rsidRPr="00401527">
        <w:rPr>
          <w:b/>
        </w:rPr>
        <w:t>Rating – Head Turner</w:t>
      </w:r>
    </w:p>
    <w:p w14:paraId="1A869B10" w14:textId="77777777" w:rsidR="00A63D51" w:rsidRPr="00401527" w:rsidRDefault="00A63D51" w:rsidP="00A63D51">
      <w:pPr>
        <w:jc w:val="left"/>
      </w:pPr>
      <w:r w:rsidRPr="00401527">
        <w:t xml:space="preserve">This systematic review and meta-analysis of 27 studies containing 3342 patients with COVID-19 aimed to determine the incidence of PE and DVT and to evaluate the diagnostic accuracy of D-dimers in this cohort. The pooled incidence of PE and DVT were 16.5% and 14.8% respectively, with an increased incidence of PE in those admitted to intensive care (24.7%) compared to non-ICU patients (10.5%). These rates are markedly higher than previously reported incidences of PE in patients with non-COVID-19 viral pneumonia admitted to ITU with ARDS (1.3-7.5%). </w:t>
      </w:r>
      <w:r>
        <w:t xml:space="preserve">The hypothesis of in-situ and </w:t>
      </w:r>
      <w:proofErr w:type="spellStart"/>
      <w:r>
        <w:t>microvascular</w:t>
      </w:r>
      <w:proofErr w:type="spellEnd"/>
      <w:r>
        <w:t xml:space="preserve"> thrombosis in COVID-19 patients was supported by the findings that only 42% of patients with PE had co-existing DVT and that 60% of PE were peripheral.</w:t>
      </w:r>
      <w:r w:rsidRPr="00401527">
        <w:t xml:space="preserve"> </w:t>
      </w:r>
      <w:r>
        <w:t xml:space="preserve">The sensitivity of </w:t>
      </w:r>
      <w:r w:rsidRPr="00401527">
        <w:t xml:space="preserve">D-dimer levels </w:t>
      </w:r>
      <w:r>
        <w:t>for PE (</w:t>
      </w:r>
      <w:r w:rsidRPr="00401527">
        <w:t xml:space="preserve">96% </w:t>
      </w:r>
      <w:r>
        <w:t xml:space="preserve">at 500ng/ml </w:t>
      </w:r>
      <w:r w:rsidRPr="00401527">
        <w:t>and 91%</w:t>
      </w:r>
      <w:r>
        <w:t xml:space="preserve"> at 1000ng/ml) was similar to </w:t>
      </w:r>
      <w:r w:rsidRPr="00401527">
        <w:t>non-COVID-19 patients in previous studies.</w:t>
      </w:r>
    </w:p>
    <w:p w14:paraId="38F7843D" w14:textId="77777777" w:rsidR="00A63D51" w:rsidRPr="00D118CC" w:rsidRDefault="00A63D51" w:rsidP="00A63D51">
      <w:pPr>
        <w:pStyle w:val="CommentText"/>
        <w:spacing w:line="360" w:lineRule="auto"/>
        <w:jc w:val="left"/>
      </w:pPr>
      <w:r w:rsidRPr="00D118CC">
        <w:rPr>
          <w:sz w:val="24"/>
          <w:szCs w:val="24"/>
        </w:rPr>
        <w:t>The meta-analysis has several limitations. Primarily many of the included studies are of low quality, showing marked heterogeneity and many with small samples (23–400 patients). The sensitivity of the D-dimer cut off of 500ng/ml seems promising, but the diagnostic performance of the test is poor (area under ROC 0.737). Further studies are needed to determine whether current risk assessment tools such as the Wells’ Criteria are valid in the context of COVID-19.</w:t>
      </w:r>
    </w:p>
    <w:p w14:paraId="0A98E052" w14:textId="77777777" w:rsidR="00A63D51" w:rsidRDefault="00A63D51" w:rsidP="00A63D51">
      <w:pPr>
        <w:jc w:val="left"/>
        <w:rPr>
          <w:i/>
        </w:rPr>
      </w:pPr>
      <w:r w:rsidRPr="00401527">
        <w:rPr>
          <w:rFonts w:eastAsia="Times New Roman"/>
          <w:color w:val="000000"/>
          <w:shd w:val="clear" w:color="auto" w:fill="FFFFFF"/>
        </w:rPr>
        <w:t>Finally</w:t>
      </w:r>
      <w:r>
        <w:rPr>
          <w:rFonts w:eastAsia="Times New Roman"/>
          <w:color w:val="000000"/>
          <w:shd w:val="clear" w:color="auto" w:fill="FFFFFF"/>
        </w:rPr>
        <w:t>,</w:t>
      </w:r>
      <w:r w:rsidRPr="00401527">
        <w:rPr>
          <w:rFonts w:eastAsia="Times New Roman"/>
          <w:color w:val="000000"/>
          <w:shd w:val="clear" w:color="auto" w:fill="FFFFFF"/>
        </w:rPr>
        <w:t xml:space="preserve"> while the D-dimer test may not have a high negative predictive value for PE in COVID-19, occult thrombosis may still exist in the pulmonary microvasculature or elsewhere beyond the lung. </w:t>
      </w:r>
      <w:r>
        <w:rPr>
          <w:rFonts w:eastAsia="Times New Roman"/>
          <w:color w:val="000000"/>
          <w:shd w:val="clear" w:color="auto" w:fill="FFFFFF"/>
        </w:rPr>
        <w:t xml:space="preserve">Future studies need to assess whether a raised D-dimer should influence decisions around anticoagulation even for patients with a negative CTPA. </w:t>
      </w:r>
    </w:p>
    <w:p w14:paraId="25E25A32" w14:textId="77777777" w:rsidR="00A63D51" w:rsidRDefault="00A63D51" w:rsidP="00A63D51">
      <w:pPr>
        <w:pStyle w:val="CommentText"/>
        <w:spacing w:line="360" w:lineRule="auto"/>
        <w:jc w:val="left"/>
        <w:rPr>
          <w:sz w:val="24"/>
          <w:szCs w:val="24"/>
        </w:rPr>
      </w:pPr>
      <w:r w:rsidRPr="007A5815">
        <w:rPr>
          <w:i/>
          <w:sz w:val="24"/>
          <w:szCs w:val="24"/>
        </w:rPr>
        <w:t>Bottom line</w:t>
      </w:r>
      <w:r w:rsidRPr="00401527">
        <w:t xml:space="preserve">: </w:t>
      </w:r>
      <w:r w:rsidRPr="00137B61">
        <w:rPr>
          <w:sz w:val="24"/>
          <w:szCs w:val="24"/>
        </w:rPr>
        <w:t>Patients with COVID-19 have higher rates of PE than those with non-COVID viral pneumonitis. The role of the D-dimer in the management of anticoagulation in COVID-19 requires further evaluation.</w:t>
      </w:r>
    </w:p>
    <w:p w14:paraId="77AAF0AD" w14:textId="77777777" w:rsidR="00A63D51" w:rsidRDefault="00A63D51" w:rsidP="00A63D51">
      <w:pPr>
        <w:pStyle w:val="CommentText"/>
        <w:spacing w:line="360" w:lineRule="auto"/>
        <w:jc w:val="left"/>
        <w:rPr>
          <w:sz w:val="24"/>
          <w:szCs w:val="24"/>
        </w:rPr>
      </w:pPr>
    </w:p>
    <w:p w14:paraId="73E005BF" w14:textId="77777777" w:rsidR="00A63D51" w:rsidRPr="00137B61" w:rsidRDefault="00A63D51" w:rsidP="00A63D51">
      <w:pPr>
        <w:pStyle w:val="CommentText"/>
        <w:spacing w:line="360" w:lineRule="auto"/>
        <w:jc w:val="left"/>
        <w:rPr>
          <w:sz w:val="24"/>
          <w:szCs w:val="24"/>
        </w:rPr>
      </w:pPr>
    </w:p>
    <w:p w14:paraId="7449559D" w14:textId="77777777" w:rsidR="00A63D51" w:rsidRPr="00401527" w:rsidRDefault="00A63D51" w:rsidP="00A63D51">
      <w:pPr>
        <w:spacing w:before="0" w:line="240" w:lineRule="auto"/>
        <w:jc w:val="left"/>
        <w:rPr>
          <w:b/>
          <w:i/>
        </w:rPr>
      </w:pPr>
      <w:r w:rsidRPr="00401527">
        <w:t xml:space="preserve">2. </w:t>
      </w:r>
      <w:r w:rsidRPr="00401527">
        <w:rPr>
          <w:b/>
        </w:rPr>
        <w:t>Prophylactic anticoagulation for COVID-19 admissions</w:t>
      </w:r>
      <w:r>
        <w:rPr>
          <w:b/>
        </w:rPr>
        <w:t xml:space="preserve"> (2)</w:t>
      </w:r>
    </w:p>
    <w:p w14:paraId="3C665129" w14:textId="77777777" w:rsidR="00A63D51" w:rsidRPr="00401527" w:rsidRDefault="00A63D51" w:rsidP="00A63D51">
      <w:pPr>
        <w:spacing w:before="0" w:line="240" w:lineRule="auto"/>
        <w:jc w:val="left"/>
        <w:rPr>
          <w:b/>
          <w:i/>
        </w:rPr>
      </w:pPr>
      <w:r w:rsidRPr="00401527">
        <w:rPr>
          <w:b/>
        </w:rPr>
        <w:t>Topic – Treatment</w:t>
      </w:r>
    </w:p>
    <w:p w14:paraId="3C4465BD" w14:textId="77777777" w:rsidR="00A63D51" w:rsidRPr="00401527" w:rsidRDefault="00A63D51" w:rsidP="00A63D51">
      <w:pPr>
        <w:spacing w:before="0" w:line="240" w:lineRule="auto"/>
        <w:jc w:val="left"/>
        <w:rPr>
          <w:b/>
        </w:rPr>
      </w:pPr>
      <w:r w:rsidRPr="00401527">
        <w:rPr>
          <w:b/>
        </w:rPr>
        <w:t>Rating – Worth a peek</w:t>
      </w:r>
    </w:p>
    <w:p w14:paraId="26FFE751" w14:textId="77777777" w:rsidR="00A63D51" w:rsidRPr="00401527" w:rsidRDefault="00A63D51" w:rsidP="00A63D51">
      <w:pPr>
        <w:jc w:val="left"/>
      </w:pPr>
      <w:r w:rsidRPr="00401527">
        <w:t>Continuing on the thromboembolic theme, this retrospective observational cohort study of 4297 patients admitted to US hospitals with COVID-19 examined for a link between prophylactic anticoagulant use and 30-day survival. 84% of patients received prophylactic anticoagulation within 24 hours of admission. The authors report an eye-catching 34% relative risk reduction of 30-day mortality in the group who received prophylactic doses of (mostly) subcutaneous enoxaparin and heparin</w:t>
      </w:r>
      <w:r>
        <w:t xml:space="preserve"> (14.3% </w:t>
      </w:r>
      <w:proofErr w:type="spellStart"/>
      <w:r>
        <w:t>vs</w:t>
      </w:r>
      <w:proofErr w:type="spellEnd"/>
      <w:r>
        <w:t xml:space="preserve"> 18.7% cumulative incidence)</w:t>
      </w:r>
      <w:r w:rsidRPr="00401527">
        <w:t xml:space="preserve">, with no </w:t>
      </w:r>
      <w:r w:rsidRPr="00DE383B">
        <w:t xml:space="preserve">increase in serious bleeding events. </w:t>
      </w:r>
      <w:proofErr w:type="gramStart"/>
      <w:r w:rsidRPr="00DE383B">
        <w:t>A strength</w:t>
      </w:r>
      <w:proofErr w:type="gramEnd"/>
      <w:r>
        <w:t xml:space="preserve"> of this study is the use of propensity scoring to manage confounders and their effect on survival (3). However, t</w:t>
      </w:r>
      <w:r w:rsidRPr="00401527">
        <w:t xml:space="preserve">he study’s external validity is vulnerable to criticism: participants were overwhelmingly male (93%) and likely quite different in baseline characteristics from </w:t>
      </w:r>
      <w:r>
        <w:t>the undifferentiated patients who present to the Emergency Department</w:t>
      </w:r>
      <w:r w:rsidRPr="00401527">
        <w:t xml:space="preserve">. The study also excluded all patients who </w:t>
      </w:r>
      <w:r>
        <w:t>‘</w:t>
      </w:r>
      <w:r w:rsidRPr="00401527">
        <w:t>reached any outcome within 24 hours</w:t>
      </w:r>
      <w:r>
        <w:t>’</w:t>
      </w:r>
      <w:r w:rsidRPr="00401527">
        <w:t xml:space="preserve">. The 728 patients who were excluded could have been discharged from hospital, but may also have died from COVID-19 within 24 hours and this could have considerably affected the </w:t>
      </w:r>
      <w:r w:rsidRPr="00C000D1">
        <w:t>reported ARR</w:t>
      </w:r>
      <w:r w:rsidRPr="00401527">
        <w:t>. Nevertheless</w:t>
      </w:r>
      <w:r>
        <w:t>,</w:t>
      </w:r>
      <w:r w:rsidRPr="00401527">
        <w:t xml:space="preserve"> continued use of prophylactic anticoagulation for patients with COVID-19 admitted to hospital seems to represent a safe, and beneficial treatment.</w:t>
      </w:r>
    </w:p>
    <w:p w14:paraId="4259D83B" w14:textId="77777777" w:rsidR="00A63D51" w:rsidRDefault="00A63D51" w:rsidP="00A63D51">
      <w:pPr>
        <w:jc w:val="left"/>
      </w:pPr>
      <w:r w:rsidRPr="00401527">
        <w:rPr>
          <w:i/>
        </w:rPr>
        <w:t xml:space="preserve">Bottom line: </w:t>
      </w:r>
      <w:r w:rsidRPr="00401527">
        <w:t>Prophylactic anticoagulation administered to inpatients with COVID-19 appears to reduce in hospital and 30 day mortality.</w:t>
      </w:r>
    </w:p>
    <w:p w14:paraId="0BC9260E" w14:textId="77777777" w:rsidR="00A63D51" w:rsidRPr="00401527" w:rsidRDefault="00A63D51" w:rsidP="00A63D51">
      <w:pPr>
        <w:jc w:val="left"/>
      </w:pPr>
    </w:p>
    <w:p w14:paraId="3EC599AA" w14:textId="77777777" w:rsidR="00A63D51" w:rsidRPr="00401527" w:rsidRDefault="00A63D51" w:rsidP="00A63D51">
      <w:pPr>
        <w:pStyle w:val="Heading1"/>
        <w:rPr>
          <w:highlight w:val="white"/>
        </w:rPr>
      </w:pPr>
      <w:bookmarkStart w:id="12" w:name="_heading=h.cfnkaavy9uvl" w:colFirst="0" w:colLast="0"/>
      <w:bookmarkStart w:id="13" w:name="_heading=h.vg8xlarnf21" w:colFirst="0" w:colLast="0"/>
      <w:bookmarkEnd w:id="12"/>
      <w:bookmarkEnd w:id="13"/>
      <w:r>
        <w:t xml:space="preserve">3. </w:t>
      </w:r>
      <w:r w:rsidRPr="00401527">
        <w:rPr>
          <w:rFonts w:eastAsia="Times New Roman"/>
          <w:bCs/>
          <w:color w:val="000000"/>
        </w:rPr>
        <w:t>Timing of corticosteroids impacts mortality in hospitalized COVID-19 patients</w:t>
      </w:r>
      <w:r>
        <w:rPr>
          <w:rFonts w:eastAsia="Times New Roman"/>
          <w:bCs/>
          <w:color w:val="000000"/>
        </w:rPr>
        <w:t xml:space="preserve"> (4)</w:t>
      </w:r>
    </w:p>
    <w:p w14:paraId="3DA4D989" w14:textId="77777777" w:rsidR="00A63D51" w:rsidRPr="00401527" w:rsidRDefault="00A63D51" w:rsidP="00A63D51">
      <w:pPr>
        <w:shd w:val="clear" w:color="auto" w:fill="FFFFFF"/>
        <w:jc w:val="left"/>
        <w:rPr>
          <w:rFonts w:eastAsia="Times New Roman"/>
          <w:color w:val="000000"/>
        </w:rPr>
      </w:pPr>
      <w:r w:rsidRPr="00401527">
        <w:rPr>
          <w:rFonts w:eastAsia="Times New Roman"/>
          <w:b/>
          <w:bCs/>
          <w:color w:val="000000"/>
        </w:rPr>
        <w:t>Topic - Treatment</w:t>
      </w:r>
    </w:p>
    <w:p w14:paraId="783A413F" w14:textId="77777777" w:rsidR="00A63D51" w:rsidRPr="00401527" w:rsidRDefault="00A63D51" w:rsidP="00A63D51">
      <w:pPr>
        <w:shd w:val="clear" w:color="auto" w:fill="FFFFFF"/>
        <w:jc w:val="left"/>
        <w:rPr>
          <w:rFonts w:eastAsia="Times New Roman"/>
          <w:color w:val="000000"/>
        </w:rPr>
      </w:pPr>
      <w:r w:rsidRPr="00401527">
        <w:rPr>
          <w:rFonts w:eastAsia="Times New Roman"/>
          <w:b/>
          <w:bCs/>
          <w:color w:val="000000"/>
        </w:rPr>
        <w:t>Rating - Head turner</w:t>
      </w:r>
    </w:p>
    <w:p w14:paraId="6DE5FDFA" w14:textId="77777777" w:rsidR="00A63D51" w:rsidRPr="00401527" w:rsidRDefault="00A63D51" w:rsidP="00A63D51">
      <w:pPr>
        <w:shd w:val="clear" w:color="auto" w:fill="FFFFFF"/>
        <w:jc w:val="left"/>
        <w:rPr>
          <w:rFonts w:eastAsia="Times New Roman"/>
          <w:color w:val="000000"/>
        </w:rPr>
      </w:pPr>
      <w:r w:rsidRPr="00401527">
        <w:rPr>
          <w:rFonts w:eastAsia="Times New Roman"/>
          <w:color w:val="000000"/>
        </w:rPr>
        <w:t>Whilst the RECOVERY trial produced convincing results on the mortality benefit of corticosteroids, at present there is no consensus on the most appropriate time to commence steroid therapy</w:t>
      </w:r>
      <w:r>
        <w:rPr>
          <w:rFonts w:eastAsia="Times New Roman"/>
          <w:color w:val="000000"/>
        </w:rPr>
        <w:t xml:space="preserve"> (5)</w:t>
      </w:r>
      <w:r w:rsidRPr="00401527">
        <w:rPr>
          <w:rFonts w:eastAsia="Times New Roman"/>
          <w:color w:val="000000"/>
        </w:rPr>
        <w:t>. This retrospective observational study aimed to assess the optimal timing for corticosteroid therapy in patients with COVID-19 admitted to 8 American hospitals in March 2020.</w:t>
      </w:r>
    </w:p>
    <w:p w14:paraId="2B4D55D5" w14:textId="77777777" w:rsidR="00A63D51" w:rsidRPr="00401527" w:rsidRDefault="00A63D51" w:rsidP="00A63D51">
      <w:pPr>
        <w:shd w:val="clear" w:color="auto" w:fill="FFFFFF"/>
        <w:jc w:val="left"/>
        <w:rPr>
          <w:rFonts w:eastAsia="Times New Roman"/>
          <w:color w:val="000000"/>
        </w:rPr>
      </w:pPr>
      <w:r w:rsidRPr="00401527">
        <w:rPr>
          <w:rFonts w:eastAsia="Times New Roman"/>
          <w:color w:val="000000"/>
        </w:rPr>
        <w:t xml:space="preserve">Data of 1461 consecutive COVID positive patients (confirmed by RT-PCR nasopharyngeal swab) admitted over a 31-day period was analysed </w:t>
      </w:r>
      <w:r>
        <w:rPr>
          <w:rFonts w:eastAsia="Times New Roman"/>
          <w:color w:val="000000"/>
        </w:rPr>
        <w:t>with</w:t>
      </w:r>
      <w:r w:rsidRPr="00401527">
        <w:rPr>
          <w:rFonts w:eastAsia="Times New Roman"/>
          <w:color w:val="000000"/>
        </w:rPr>
        <w:t xml:space="preserve"> the authors </w:t>
      </w:r>
      <w:r>
        <w:rPr>
          <w:rFonts w:eastAsia="Times New Roman"/>
          <w:color w:val="000000"/>
        </w:rPr>
        <w:t xml:space="preserve">using </w:t>
      </w:r>
      <w:r w:rsidRPr="00401527">
        <w:rPr>
          <w:rFonts w:eastAsia="Times New Roman"/>
          <w:color w:val="000000"/>
        </w:rPr>
        <w:t xml:space="preserve">propensity score methods </w:t>
      </w:r>
      <w:r>
        <w:rPr>
          <w:rFonts w:eastAsia="Times New Roman"/>
          <w:color w:val="000000"/>
        </w:rPr>
        <w:t xml:space="preserve">to </w:t>
      </w:r>
      <w:r w:rsidRPr="00401527">
        <w:rPr>
          <w:rFonts w:eastAsia="Times New Roman"/>
          <w:color w:val="000000"/>
        </w:rPr>
        <w:t xml:space="preserve">minimise confounding. 42.1% (615) received steroid therapy compared to 57.9% (846) who did not. Patients received various regimes of steroids including </w:t>
      </w:r>
      <w:r>
        <w:rPr>
          <w:rFonts w:eastAsia="Times New Roman"/>
          <w:color w:val="000000"/>
        </w:rPr>
        <w:t>d</w:t>
      </w:r>
      <w:r w:rsidRPr="00401527">
        <w:rPr>
          <w:rFonts w:eastAsia="Times New Roman"/>
          <w:color w:val="000000"/>
        </w:rPr>
        <w:t xml:space="preserve">examethasone, </w:t>
      </w:r>
      <w:r>
        <w:rPr>
          <w:rFonts w:eastAsia="Times New Roman"/>
          <w:color w:val="000000"/>
        </w:rPr>
        <w:t>h</w:t>
      </w:r>
      <w:r w:rsidRPr="00401527">
        <w:rPr>
          <w:rFonts w:eastAsia="Times New Roman"/>
          <w:color w:val="000000"/>
        </w:rPr>
        <w:t xml:space="preserve">ydrocortisone, </w:t>
      </w:r>
      <w:r>
        <w:rPr>
          <w:rFonts w:eastAsia="Times New Roman"/>
          <w:color w:val="000000"/>
        </w:rPr>
        <w:t>m</w:t>
      </w:r>
      <w:r w:rsidRPr="00401527">
        <w:rPr>
          <w:rFonts w:eastAsia="Times New Roman"/>
          <w:color w:val="000000"/>
        </w:rPr>
        <w:t xml:space="preserve">ethylprednisolone or </w:t>
      </w:r>
      <w:r>
        <w:rPr>
          <w:rFonts w:eastAsia="Times New Roman"/>
          <w:color w:val="000000"/>
        </w:rPr>
        <w:t>p</w:t>
      </w:r>
      <w:r w:rsidRPr="00401527">
        <w:rPr>
          <w:rFonts w:eastAsia="Times New Roman"/>
          <w:color w:val="000000"/>
        </w:rPr>
        <w:t>rednisolone. Steroid therapy initiated &gt; 72hrs after hospitalisation was associated with a marked reduction in mortality (</w:t>
      </w:r>
      <w:r w:rsidRPr="00401527">
        <w:rPr>
          <w:rFonts w:eastAsia="Times New Roman"/>
          <w:i/>
          <w:iCs/>
          <w:color w:val="000000"/>
        </w:rPr>
        <w:t>HR 0.56, CI 95% 0.38-0.82, p= 0.003</w:t>
      </w:r>
      <w:r w:rsidRPr="00401527">
        <w:rPr>
          <w:rFonts w:eastAsia="Times New Roman"/>
          <w:color w:val="000000"/>
        </w:rPr>
        <w:t xml:space="preserve">) compared to the first dose </w:t>
      </w:r>
      <w:r>
        <w:rPr>
          <w:rFonts w:eastAsia="Times New Roman"/>
          <w:color w:val="000000"/>
        </w:rPr>
        <w:t>at earlier time intervals.</w:t>
      </w:r>
      <w:r w:rsidRPr="00401527">
        <w:rPr>
          <w:rFonts w:eastAsia="Times New Roman"/>
          <w:color w:val="000000"/>
        </w:rPr>
        <w:t xml:space="preserve"> Analysis also revealed that time to therapy from onset of symptoms was relevant: treatment initiated &gt; 7days from symptom onset was associated with a reduction in mortality (</w:t>
      </w:r>
      <w:r w:rsidRPr="00401527">
        <w:rPr>
          <w:rFonts w:eastAsia="Times New Roman"/>
          <w:i/>
          <w:iCs/>
          <w:color w:val="000000"/>
        </w:rPr>
        <w:t>HR 0.56, CI 95% 0.33-0.95, p=0.03</w:t>
      </w:r>
      <w:r w:rsidRPr="00401527">
        <w:rPr>
          <w:rFonts w:eastAsia="Times New Roman"/>
          <w:color w:val="000000"/>
        </w:rPr>
        <w:t xml:space="preserve">) compared to those who received earlier treatment. The data in this cohort </w:t>
      </w:r>
      <w:r>
        <w:rPr>
          <w:rFonts w:eastAsia="Times New Roman"/>
          <w:color w:val="000000"/>
        </w:rPr>
        <w:t xml:space="preserve">also </w:t>
      </w:r>
      <w:r w:rsidRPr="00401527">
        <w:rPr>
          <w:rFonts w:eastAsia="Times New Roman"/>
          <w:color w:val="000000"/>
        </w:rPr>
        <w:t>suggest</w:t>
      </w:r>
      <w:r>
        <w:rPr>
          <w:rFonts w:eastAsia="Times New Roman"/>
          <w:color w:val="000000"/>
        </w:rPr>
        <w:t>s</w:t>
      </w:r>
      <w:r w:rsidRPr="00401527">
        <w:rPr>
          <w:rFonts w:eastAsia="Times New Roman"/>
          <w:color w:val="000000"/>
        </w:rPr>
        <w:t xml:space="preserve"> that hypoxia alone, prior to 72 hours of hospitalisation</w:t>
      </w:r>
      <w:r>
        <w:rPr>
          <w:rFonts w:eastAsia="Times New Roman"/>
          <w:color w:val="000000"/>
        </w:rPr>
        <w:t>,</w:t>
      </w:r>
      <w:r w:rsidRPr="00401527">
        <w:rPr>
          <w:rFonts w:eastAsia="Times New Roman"/>
          <w:color w:val="000000"/>
        </w:rPr>
        <w:t xml:space="preserve"> may not be an indication for initiation of corticosteroid therapy</w:t>
      </w:r>
      <w:r>
        <w:rPr>
          <w:rFonts w:eastAsia="Times New Roman"/>
          <w:color w:val="000000"/>
        </w:rPr>
        <w:t xml:space="preserve">: a significant mortality benefit was only seen in those patients requiring invasive ventilation (HR 0.38, CI 95% 0.24-0.60, p &lt;0.001) with a marginal effect on patients receiving high-flow oxygen. </w:t>
      </w:r>
      <w:r w:rsidRPr="00401527">
        <w:rPr>
          <w:rFonts w:eastAsia="Times New Roman"/>
          <w:color w:val="000000"/>
        </w:rPr>
        <w:t>Limitations of the study include the retrospective design, </w:t>
      </w:r>
      <w:r>
        <w:rPr>
          <w:rFonts w:eastAsia="Times New Roman"/>
          <w:color w:val="000000"/>
        </w:rPr>
        <w:t xml:space="preserve">the variety of steroid regimes/doses, </w:t>
      </w:r>
      <w:r w:rsidRPr="00401527">
        <w:rPr>
          <w:rFonts w:eastAsia="Times New Roman"/>
          <w:color w:val="000000"/>
        </w:rPr>
        <w:t xml:space="preserve">and the potential lack of </w:t>
      </w:r>
      <w:proofErr w:type="spellStart"/>
      <w:r w:rsidRPr="00401527">
        <w:rPr>
          <w:rFonts w:eastAsia="Times New Roman"/>
          <w:color w:val="000000"/>
        </w:rPr>
        <w:t>generalisability</w:t>
      </w:r>
      <w:proofErr w:type="spellEnd"/>
      <w:r w:rsidRPr="00401527">
        <w:rPr>
          <w:rFonts w:eastAsia="Times New Roman"/>
          <w:color w:val="000000"/>
        </w:rPr>
        <w:t xml:space="preserve"> due to population differences.</w:t>
      </w:r>
    </w:p>
    <w:p w14:paraId="50E2A984" w14:textId="77777777" w:rsidR="00A63D51" w:rsidRDefault="00A63D51" w:rsidP="00A63D51">
      <w:pPr>
        <w:shd w:val="clear" w:color="auto" w:fill="FFFFFF"/>
        <w:jc w:val="left"/>
        <w:rPr>
          <w:rFonts w:eastAsia="Times New Roman"/>
          <w:color w:val="000000"/>
        </w:rPr>
      </w:pPr>
      <w:r w:rsidRPr="00401527">
        <w:rPr>
          <w:rFonts w:eastAsia="Times New Roman"/>
          <w:i/>
          <w:color w:val="000000"/>
        </w:rPr>
        <w:t>Bottom line:</w:t>
      </w:r>
      <w:r w:rsidRPr="00401527">
        <w:rPr>
          <w:rFonts w:eastAsia="Times New Roman"/>
          <w:color w:val="000000"/>
        </w:rPr>
        <w:t xml:space="preserve"> </w:t>
      </w:r>
      <w:r>
        <w:rPr>
          <w:rFonts w:eastAsia="Times New Roman"/>
          <w:color w:val="000000"/>
        </w:rPr>
        <w:t>This study recommends</w:t>
      </w:r>
      <w:r w:rsidRPr="00401527">
        <w:rPr>
          <w:rFonts w:eastAsia="Times New Roman"/>
          <w:color w:val="000000"/>
        </w:rPr>
        <w:t xml:space="preserve"> delaying steroid therapy when admitting COVID</w:t>
      </w:r>
      <w:r>
        <w:rPr>
          <w:rFonts w:eastAsia="Times New Roman"/>
          <w:color w:val="000000"/>
        </w:rPr>
        <w:t>-19</w:t>
      </w:r>
      <w:r w:rsidRPr="00401527">
        <w:rPr>
          <w:rFonts w:eastAsia="Times New Roman"/>
          <w:color w:val="000000"/>
        </w:rPr>
        <w:t xml:space="preserve"> positive patients unless symptom onset was &gt;7 days or the patient requires mechanical ventilation.</w:t>
      </w:r>
    </w:p>
    <w:p w14:paraId="228DFE54" w14:textId="77777777" w:rsidR="00A63D51" w:rsidRDefault="00A63D51" w:rsidP="00A63D51">
      <w:pPr>
        <w:shd w:val="clear" w:color="auto" w:fill="FFFFFF"/>
        <w:jc w:val="left"/>
        <w:rPr>
          <w:rFonts w:eastAsia="Times New Roman"/>
          <w:color w:val="000000"/>
        </w:rPr>
      </w:pPr>
    </w:p>
    <w:p w14:paraId="3C629A08" w14:textId="77777777" w:rsidR="00A63D51" w:rsidRPr="00401527" w:rsidRDefault="00A63D51" w:rsidP="00A63D51">
      <w:pPr>
        <w:jc w:val="left"/>
        <w:rPr>
          <w:b/>
        </w:rPr>
      </w:pPr>
      <w:r>
        <w:rPr>
          <w:b/>
        </w:rPr>
        <w:t xml:space="preserve">4. </w:t>
      </w:r>
      <w:r w:rsidRPr="00401527">
        <w:rPr>
          <w:b/>
        </w:rPr>
        <w:t>The effect of Vitamin D</w:t>
      </w:r>
      <w:r w:rsidRPr="00401527">
        <w:rPr>
          <w:b/>
          <w:vertAlign w:val="subscript"/>
        </w:rPr>
        <w:t>3</w:t>
      </w:r>
      <w:r w:rsidRPr="00401527">
        <w:rPr>
          <w:b/>
        </w:rPr>
        <w:t xml:space="preserve"> on hospital length of stay in moderate-severe COVID-19</w:t>
      </w:r>
      <w:r>
        <w:rPr>
          <w:rFonts w:eastAsia="Times New Roman"/>
          <w:bCs/>
          <w:color w:val="000000"/>
          <w:vertAlign w:val="superscript"/>
        </w:rPr>
        <w:t xml:space="preserve"> </w:t>
      </w:r>
      <w:r>
        <w:rPr>
          <w:b/>
        </w:rPr>
        <w:t>(6)</w:t>
      </w:r>
    </w:p>
    <w:p w14:paraId="2DBC039E" w14:textId="77777777" w:rsidR="00A63D51" w:rsidRPr="00401527" w:rsidRDefault="00A63D51" w:rsidP="00A63D51">
      <w:pPr>
        <w:jc w:val="left"/>
        <w:rPr>
          <w:b/>
        </w:rPr>
      </w:pPr>
      <w:r w:rsidRPr="00401527">
        <w:rPr>
          <w:b/>
        </w:rPr>
        <w:t>Topic – Treatment</w:t>
      </w:r>
    </w:p>
    <w:p w14:paraId="20E38EA8" w14:textId="77777777" w:rsidR="00A63D51" w:rsidRPr="00401527" w:rsidRDefault="00A63D51" w:rsidP="00A63D51">
      <w:pPr>
        <w:jc w:val="left"/>
        <w:rPr>
          <w:b/>
        </w:rPr>
      </w:pPr>
      <w:r w:rsidRPr="00401527">
        <w:rPr>
          <w:b/>
        </w:rPr>
        <w:t>Rating – Head turner</w:t>
      </w:r>
    </w:p>
    <w:p w14:paraId="54E476BB" w14:textId="77777777" w:rsidR="00A63D51" w:rsidRPr="00401527" w:rsidRDefault="00A63D51" w:rsidP="00A63D51">
      <w:pPr>
        <w:jc w:val="left"/>
        <w:rPr>
          <w:rFonts w:eastAsia="Times New Roman"/>
        </w:rPr>
      </w:pPr>
      <w:r w:rsidRPr="00401527">
        <w:t xml:space="preserve">Vitamin D for the prevention or treatment of COVID-19 has been a focus for high-profile controversy during the pandemic. It has been postulated that </w:t>
      </w:r>
      <w:r w:rsidRPr="00401527">
        <w:rPr>
          <w:rFonts w:eastAsia="Times New Roman"/>
          <w:color w:val="333333"/>
        </w:rPr>
        <w:t>Vitamin D</w:t>
      </w:r>
      <w:r w:rsidRPr="00401527">
        <w:rPr>
          <w:rFonts w:eastAsia="Times New Roman"/>
          <w:color w:val="333333"/>
          <w:vertAlign w:val="subscript"/>
        </w:rPr>
        <w:t>3</w:t>
      </w:r>
      <w:r w:rsidRPr="00401527">
        <w:rPr>
          <w:rFonts w:eastAsia="Times New Roman"/>
          <w:color w:val="333333"/>
        </w:rPr>
        <w:t> supplementation could improve the function of macrophages and dendritic cells to enhance the overall immune response.</w:t>
      </w:r>
      <w:r w:rsidRPr="00401527">
        <w:rPr>
          <w:rFonts w:eastAsia="Times New Roman"/>
        </w:rPr>
        <w:t xml:space="preserve"> </w:t>
      </w:r>
      <w:r>
        <w:t>This</w:t>
      </w:r>
      <w:r w:rsidRPr="00401527">
        <w:t xml:space="preserve"> double-blind randomized controlled trial </w:t>
      </w:r>
      <w:r>
        <w:t>from</w:t>
      </w:r>
      <w:r w:rsidRPr="00401527">
        <w:t xml:space="preserve"> Brazil</w:t>
      </w:r>
      <w:r>
        <w:t xml:space="preserve"> recruited</w:t>
      </w:r>
      <w:r w:rsidRPr="00401527">
        <w:t xml:space="preserve"> 237 hospitalised patients with moderate-severe COVID-19</w:t>
      </w:r>
      <w:r>
        <w:t xml:space="preserve"> who</w:t>
      </w:r>
      <w:r w:rsidRPr="00401527">
        <w:t xml:space="preserve"> were randomized to receive either a single dose of 200,000IU oral Vitamin D</w:t>
      </w:r>
      <w:r w:rsidRPr="00401527">
        <w:rPr>
          <w:vertAlign w:val="subscript"/>
        </w:rPr>
        <w:t>3</w:t>
      </w:r>
      <w:r w:rsidRPr="00401527">
        <w:t xml:space="preserve"> or placebo. The patients were not well matched for baseline characteristics</w:t>
      </w:r>
      <w:r>
        <w:t>,</w:t>
      </w:r>
      <w:r w:rsidRPr="00401527">
        <w:t xml:space="preserve"> with more males, BMI&gt;30 and black patients in the treatment arm. The study found no statistically significant difference in the median length of stay, in-hospital mortality or rates of ITU admission between the groups. In a sub-group analysis the study also found no benefit in patients who had low levels of </w:t>
      </w:r>
      <w:r w:rsidRPr="00401527">
        <w:rPr>
          <w:rFonts w:eastAsia="Times New Roman"/>
          <w:color w:val="333333"/>
        </w:rPr>
        <w:t>25-hydroxyvitamin D</w:t>
      </w:r>
      <w:r w:rsidRPr="00401527">
        <w:t xml:space="preserve"> at admission and therefore the authors concluded it does not support the use of Vitamin D</w:t>
      </w:r>
      <w:r w:rsidRPr="00401527">
        <w:rPr>
          <w:vertAlign w:val="subscript"/>
        </w:rPr>
        <w:t>3</w:t>
      </w:r>
      <w:r w:rsidRPr="00401527">
        <w:t xml:space="preserve"> for the treatment of COVID-19.</w:t>
      </w:r>
      <w:r>
        <w:t xml:space="preserve"> </w:t>
      </w:r>
    </w:p>
    <w:p w14:paraId="5BABCA82" w14:textId="77777777" w:rsidR="00A63D51" w:rsidRPr="00401527" w:rsidRDefault="00A63D51" w:rsidP="00A63D51">
      <w:pPr>
        <w:jc w:val="left"/>
      </w:pPr>
      <w:r w:rsidRPr="00401527">
        <w:t>In view of the lack of harm from these supplements, further RCT’s in Vitamin D are justified with several currently in progress. Any future trials should consider different doses, duration of dosing in relation to onset of symptoms, baseline vitamin D levels in participants (perhaps concentrating on those who have low levels at recruitment) and the potential effects on different patient subgroups (older, comorbidities such as obesity, or ethnic minority patients). UK national guidance currently recommends routine vitamin D supplementation of 400IU a day during the winter months with no change for COVID-19.</w:t>
      </w:r>
    </w:p>
    <w:p w14:paraId="6884D09D" w14:textId="77777777" w:rsidR="00A63D51" w:rsidRDefault="00A63D51" w:rsidP="00A63D51">
      <w:pPr>
        <w:jc w:val="left"/>
        <w:rPr>
          <w:rFonts w:eastAsia="Times New Roman"/>
          <w:color w:val="333333"/>
        </w:rPr>
      </w:pPr>
      <w:r w:rsidRPr="00401527">
        <w:rPr>
          <w:i/>
        </w:rPr>
        <w:t>Bottom line:</w:t>
      </w:r>
      <w:r w:rsidRPr="00401527">
        <w:t xml:space="preserve"> </w:t>
      </w:r>
      <w:r>
        <w:rPr>
          <w:rFonts w:eastAsia="Times New Roman"/>
          <w:color w:val="333333"/>
        </w:rPr>
        <w:t>This</w:t>
      </w:r>
      <w:r w:rsidRPr="00401527">
        <w:rPr>
          <w:rFonts w:eastAsia="Times New Roman"/>
          <w:color w:val="333333"/>
        </w:rPr>
        <w:t xml:space="preserve"> study does not support the use of a high single dose of vitamin D</w:t>
      </w:r>
      <w:r w:rsidRPr="00401527">
        <w:rPr>
          <w:rFonts w:eastAsia="Times New Roman"/>
          <w:color w:val="333333"/>
          <w:vertAlign w:val="subscript"/>
        </w:rPr>
        <w:t>3</w:t>
      </w:r>
      <w:r w:rsidRPr="00401527">
        <w:rPr>
          <w:rFonts w:eastAsia="Times New Roman"/>
          <w:color w:val="333333"/>
        </w:rPr>
        <w:t> for treatment of moderate to severe COVID-19 in hospitalized patients.</w:t>
      </w:r>
    </w:p>
    <w:p w14:paraId="4A440CBF" w14:textId="77777777" w:rsidR="00A63D51" w:rsidRPr="00401527" w:rsidRDefault="00A63D51" w:rsidP="00A63D51">
      <w:pPr>
        <w:jc w:val="left"/>
        <w:rPr>
          <w:rFonts w:eastAsia="Times New Roman"/>
        </w:rPr>
      </w:pPr>
    </w:p>
    <w:p w14:paraId="2FA9E2F0" w14:textId="77777777" w:rsidR="00A63D51" w:rsidRDefault="00A63D51" w:rsidP="00A63D51">
      <w:pPr>
        <w:jc w:val="left"/>
        <w:rPr>
          <w:b/>
          <w:bCs/>
        </w:rPr>
      </w:pPr>
      <w:r w:rsidRPr="00401527">
        <w:rPr>
          <w:rFonts w:eastAsia="Times New Roman"/>
          <w:b/>
          <w:color w:val="000000"/>
        </w:rPr>
        <w:t xml:space="preserve">5. </w:t>
      </w:r>
      <w:r w:rsidRPr="001D7A96">
        <w:rPr>
          <w:b/>
          <w:bCs/>
        </w:rPr>
        <w:t xml:space="preserve">Effect of </w:t>
      </w:r>
      <w:proofErr w:type="spellStart"/>
      <w:r w:rsidRPr="001D7A96">
        <w:rPr>
          <w:b/>
          <w:bCs/>
        </w:rPr>
        <w:t>tocilizumab</w:t>
      </w:r>
      <w:proofErr w:type="spellEnd"/>
      <w:r w:rsidRPr="001D7A96">
        <w:rPr>
          <w:b/>
          <w:bCs/>
        </w:rPr>
        <w:t xml:space="preserve"> on patients with severe </w:t>
      </w:r>
      <w:r>
        <w:rPr>
          <w:b/>
          <w:bCs/>
        </w:rPr>
        <w:t>COVID-19 (7)</w:t>
      </w:r>
    </w:p>
    <w:p w14:paraId="2373EC14" w14:textId="77777777" w:rsidR="00A63D51" w:rsidRDefault="00A63D51" w:rsidP="00A63D51">
      <w:pPr>
        <w:jc w:val="left"/>
        <w:rPr>
          <w:b/>
          <w:bCs/>
        </w:rPr>
      </w:pPr>
      <w:r>
        <w:rPr>
          <w:b/>
          <w:bCs/>
        </w:rPr>
        <w:t>Topic – Treatment</w:t>
      </w:r>
    </w:p>
    <w:p w14:paraId="31347B68" w14:textId="77777777" w:rsidR="00A63D51" w:rsidRPr="0095085B" w:rsidRDefault="00A63D51" w:rsidP="00A63D51">
      <w:pPr>
        <w:jc w:val="left"/>
        <w:rPr>
          <w:b/>
          <w:bCs/>
        </w:rPr>
      </w:pPr>
      <w:r>
        <w:rPr>
          <w:b/>
          <w:bCs/>
        </w:rPr>
        <w:t>Rating – Worth a peek</w:t>
      </w:r>
    </w:p>
    <w:p w14:paraId="456F0AD7" w14:textId="77777777" w:rsidR="00A63D51" w:rsidRDefault="00A63D51" w:rsidP="00A63D51">
      <w:pPr>
        <w:jc w:val="left"/>
        <w:rPr>
          <w:bCs/>
        </w:rPr>
      </w:pPr>
      <w:r>
        <w:t xml:space="preserve">This multicentre Brazilian RCT investigated the potential benefit of single dose </w:t>
      </w:r>
      <w:proofErr w:type="spellStart"/>
      <w:r w:rsidRPr="001D7A96">
        <w:rPr>
          <w:bCs/>
        </w:rPr>
        <w:t>tocilizumab</w:t>
      </w:r>
      <w:proofErr w:type="spellEnd"/>
      <w:r>
        <w:rPr>
          <w:bCs/>
        </w:rPr>
        <w:t xml:space="preserve"> over standard care in adult patients with COVID-19. </w:t>
      </w:r>
      <w:proofErr w:type="spellStart"/>
      <w:r w:rsidRPr="001D7A96">
        <w:rPr>
          <w:bCs/>
        </w:rPr>
        <w:t>Tocilizumab</w:t>
      </w:r>
      <w:proofErr w:type="spellEnd"/>
      <w:r>
        <w:rPr>
          <w:bCs/>
        </w:rPr>
        <w:t xml:space="preserve"> inhibits interleukin 6, an inflammatory cytokine, which is raised in other viral infections and is approved for conditions such as Rheumatoid arthritis and Giant cell arteritis. Reduction of this interleukin is hypothesised to reduce the inflammatory response and pathophysiology of lung and organ dysfunction in COVID-19. Recruited patients had confirmed COVID-19 with positive lung imaging, requiring oxygen supplementation or mechanical ventilation, and had at least two abnormal biomarkers (CRP, LDH, D-dimer or ferritin). The primary outcome was the clinical status at day 15 (using an ordinal scale) with secondary outcomes including 28-day mortality and organ failure. </w:t>
      </w:r>
    </w:p>
    <w:p w14:paraId="4FFFAD93" w14:textId="77777777" w:rsidR="00A63D51" w:rsidRDefault="00A63D51" w:rsidP="00A63D51">
      <w:pPr>
        <w:jc w:val="left"/>
        <w:rPr>
          <w:bCs/>
        </w:rPr>
      </w:pPr>
      <w:r>
        <w:rPr>
          <w:bCs/>
        </w:rPr>
        <w:t xml:space="preserve">129 patients were recruited (80% power n=150) before the trial was prematurely stopped by the data monitoring committee due to excess deaths in the </w:t>
      </w:r>
      <w:proofErr w:type="spellStart"/>
      <w:r w:rsidRPr="001D7A96">
        <w:rPr>
          <w:bCs/>
        </w:rPr>
        <w:t>tocilizumab</w:t>
      </w:r>
      <w:proofErr w:type="spellEnd"/>
      <w:r>
        <w:rPr>
          <w:bCs/>
        </w:rPr>
        <w:t xml:space="preserve"> treatment arm n=11:3 (17%</w:t>
      </w:r>
      <w:proofErr w:type="gramStart"/>
      <w:r>
        <w:rPr>
          <w:bCs/>
        </w:rPr>
        <w:t>:3</w:t>
      </w:r>
      <w:proofErr w:type="gramEnd"/>
      <w:r>
        <w:rPr>
          <w:bCs/>
        </w:rPr>
        <w:t xml:space="preserve">% </w:t>
      </w:r>
      <w:r w:rsidRPr="00D31BC7">
        <w:rPr>
          <w:bCs/>
        </w:rPr>
        <w:t>odds ratio 6.42, 1.59 to 43.2</w:t>
      </w:r>
      <w:r>
        <w:rPr>
          <w:bCs/>
        </w:rPr>
        <w:t xml:space="preserve">). All patients were followed up in this trial and at 28 days there was no statistical difference in overall mortality. Although appropriately stopped for safety this dataset suffers from being so small and therefore not conclusive. Additional limitations include a lack of blinding, variable concomitant treatment used for standard care (antibiotics, antivirals, or corticosteroids) and deaths being in those patients who were mechanically ventilated. </w:t>
      </w:r>
    </w:p>
    <w:p w14:paraId="1EB2C795" w14:textId="77777777" w:rsidR="00A63D51" w:rsidRDefault="00A63D51" w:rsidP="00A63D51">
      <w:pPr>
        <w:jc w:val="left"/>
        <w:rPr>
          <w:bCs/>
          <w:i/>
        </w:rPr>
      </w:pPr>
      <w:r>
        <w:rPr>
          <w:bCs/>
        </w:rPr>
        <w:t xml:space="preserve">The results of this study vary from the findings of the REMAP-CAP, EMPACTA, and COVACTA trials where there was suggestion of less clinical deterioration or a mortality benefit from </w:t>
      </w:r>
      <w:proofErr w:type="spellStart"/>
      <w:r>
        <w:rPr>
          <w:bCs/>
        </w:rPr>
        <w:t>Tocilizumab</w:t>
      </w:r>
      <w:proofErr w:type="spellEnd"/>
      <w:r>
        <w:rPr>
          <w:bCs/>
        </w:rPr>
        <w:t xml:space="preserve"> in COVID-19. Results of the upcoming RECOVERY trial of </w:t>
      </w:r>
      <w:proofErr w:type="spellStart"/>
      <w:r>
        <w:rPr>
          <w:bCs/>
        </w:rPr>
        <w:t>Tocilizumab</w:t>
      </w:r>
      <w:proofErr w:type="spellEnd"/>
      <w:r>
        <w:rPr>
          <w:bCs/>
        </w:rPr>
        <w:t xml:space="preserve"> may help answer the question. </w:t>
      </w:r>
    </w:p>
    <w:p w14:paraId="4B9F572D" w14:textId="77777777" w:rsidR="00A63D51" w:rsidRPr="0095085B" w:rsidRDefault="00A63D51" w:rsidP="00A63D51">
      <w:pPr>
        <w:jc w:val="left"/>
        <w:rPr>
          <w:bCs/>
        </w:rPr>
      </w:pPr>
      <w:r w:rsidRPr="0095085B">
        <w:rPr>
          <w:bCs/>
          <w:i/>
        </w:rPr>
        <w:t>Bottom line</w:t>
      </w:r>
      <w:r>
        <w:rPr>
          <w:bCs/>
        </w:rPr>
        <w:t xml:space="preserve">: </w:t>
      </w:r>
      <w:proofErr w:type="spellStart"/>
      <w:r>
        <w:rPr>
          <w:bCs/>
        </w:rPr>
        <w:t>T</w:t>
      </w:r>
      <w:r w:rsidRPr="008348A9">
        <w:rPr>
          <w:bCs/>
        </w:rPr>
        <w:t>ocilizumab</w:t>
      </w:r>
      <w:proofErr w:type="spellEnd"/>
      <w:r w:rsidRPr="008348A9">
        <w:rPr>
          <w:bCs/>
        </w:rPr>
        <w:t xml:space="preserve"> </w:t>
      </w:r>
      <w:r>
        <w:rPr>
          <w:bCs/>
        </w:rPr>
        <w:t>plus</w:t>
      </w:r>
      <w:r w:rsidRPr="008348A9">
        <w:rPr>
          <w:bCs/>
        </w:rPr>
        <w:t xml:space="preserve"> standard care </w:t>
      </w:r>
      <w:r>
        <w:rPr>
          <w:bCs/>
        </w:rPr>
        <w:t>was</w:t>
      </w:r>
      <w:r w:rsidRPr="008348A9">
        <w:rPr>
          <w:bCs/>
        </w:rPr>
        <w:t xml:space="preserve"> not superior to standard care alone in improving </w:t>
      </w:r>
      <w:r>
        <w:rPr>
          <w:bCs/>
        </w:rPr>
        <w:t>clinical outcome at 15 days and may increase mortality.</w:t>
      </w:r>
    </w:p>
    <w:p w14:paraId="3AE02E18" w14:textId="77777777" w:rsidR="00A63D51" w:rsidRPr="0095085B" w:rsidRDefault="00A63D51" w:rsidP="00A63D51">
      <w:pPr>
        <w:jc w:val="left"/>
        <w:rPr>
          <w:b/>
          <w:highlight w:val="white"/>
        </w:rPr>
      </w:pPr>
      <w:r w:rsidRPr="0095085B">
        <w:rPr>
          <w:b/>
          <w:highlight w:val="white"/>
        </w:rPr>
        <w:t>Contribution</w:t>
      </w:r>
    </w:p>
    <w:p w14:paraId="455512E7" w14:textId="77777777" w:rsidR="00A63D51" w:rsidRPr="00401527" w:rsidRDefault="00A63D51" w:rsidP="00A63D51">
      <w:pPr>
        <w:jc w:val="left"/>
      </w:pPr>
      <w:r w:rsidRPr="004424FD">
        <w:t xml:space="preserve">DD performed the literature search. </w:t>
      </w:r>
      <w:r w:rsidRPr="009A424A">
        <w:t>CL</w:t>
      </w:r>
      <w:r w:rsidRPr="00401527">
        <w:t xml:space="preserve"> assembled the team of authors. EH, MH, and CL screened titles in the provided literature search and </w:t>
      </w:r>
      <w:proofErr w:type="spellStart"/>
      <w:r w:rsidRPr="00401527">
        <w:t>longlisted</w:t>
      </w:r>
      <w:proofErr w:type="spellEnd"/>
      <w:r w:rsidRPr="00401527">
        <w:t xml:space="preserve"> articles. CL hand searched selected journals. All authors sifted the </w:t>
      </w:r>
      <w:proofErr w:type="spellStart"/>
      <w:r w:rsidRPr="00401527">
        <w:t>longlist</w:t>
      </w:r>
      <w:proofErr w:type="spellEnd"/>
      <w:r w:rsidRPr="00401527">
        <w:t xml:space="preserve"> and selected articles for inclusion. All authors contributed to writing and editing the final piece.</w:t>
      </w:r>
    </w:p>
    <w:p w14:paraId="6BC30CFE" w14:textId="77777777" w:rsidR="00A63D51" w:rsidRPr="00401527" w:rsidRDefault="00A63D51" w:rsidP="00A63D51">
      <w:pPr>
        <w:pStyle w:val="Heading1"/>
        <w:rPr>
          <w:highlight w:val="white"/>
        </w:rPr>
      </w:pPr>
      <w:r w:rsidRPr="00401527">
        <w:rPr>
          <w:highlight w:val="white"/>
        </w:rPr>
        <w:t>Conflicts of interests</w:t>
      </w:r>
    </w:p>
    <w:p w14:paraId="34D66DC0" w14:textId="77777777" w:rsidR="00A63D51" w:rsidRPr="00401527" w:rsidRDefault="00A63D51" w:rsidP="00A63D51">
      <w:pPr>
        <w:jc w:val="left"/>
        <w:rPr>
          <w:highlight w:val="white"/>
        </w:rPr>
      </w:pPr>
      <w:r w:rsidRPr="00401527">
        <w:rPr>
          <w:highlight w:val="white"/>
        </w:rPr>
        <w:t>Nil</w:t>
      </w:r>
    </w:p>
    <w:p w14:paraId="213D33CC" w14:textId="77777777" w:rsidR="00A63D51" w:rsidRPr="00401527" w:rsidRDefault="00A63D51" w:rsidP="00A63D51">
      <w:pPr>
        <w:pStyle w:val="Heading1"/>
      </w:pPr>
      <w:r w:rsidRPr="00401527">
        <w:t>References</w:t>
      </w:r>
    </w:p>
    <w:p w14:paraId="43F8D2CE" w14:textId="77777777" w:rsidR="00A63D51" w:rsidRPr="00401527" w:rsidRDefault="00A63D51" w:rsidP="00A63D51">
      <w:pPr>
        <w:pStyle w:val="ListParagraph"/>
        <w:numPr>
          <w:ilvl w:val="0"/>
          <w:numId w:val="2"/>
        </w:numPr>
        <w:jc w:val="left"/>
        <w:rPr>
          <w:rFonts w:eastAsia="Times New Roman"/>
        </w:rPr>
      </w:pPr>
      <w:proofErr w:type="spellStart"/>
      <w:r w:rsidRPr="00401527">
        <w:rPr>
          <w:rFonts w:eastAsia="Times New Roman"/>
        </w:rPr>
        <w:t>Suh</w:t>
      </w:r>
      <w:proofErr w:type="spellEnd"/>
      <w:r w:rsidRPr="00401527">
        <w:rPr>
          <w:rFonts w:eastAsia="Times New Roman"/>
        </w:rPr>
        <w:t xml:space="preserve"> YJ, Hong H, </w:t>
      </w:r>
      <w:proofErr w:type="spellStart"/>
      <w:r w:rsidRPr="00401527">
        <w:rPr>
          <w:rFonts w:eastAsia="Times New Roman"/>
        </w:rPr>
        <w:t>Ohana</w:t>
      </w:r>
      <w:proofErr w:type="spellEnd"/>
      <w:r w:rsidRPr="00401527">
        <w:rPr>
          <w:rFonts w:eastAsia="Times New Roman"/>
        </w:rPr>
        <w:t xml:space="preserve"> M, et al. </w:t>
      </w:r>
      <w:hyperlink r:id="rId9" w:history="1">
        <w:r w:rsidRPr="00401527">
          <w:rPr>
            <w:rFonts w:eastAsia="Times New Roman"/>
          </w:rPr>
          <w:t xml:space="preserve">Pulmonary </w:t>
        </w:r>
        <w:r>
          <w:rPr>
            <w:rFonts w:eastAsia="Times New Roman"/>
          </w:rPr>
          <w:t>e</w:t>
        </w:r>
        <w:r w:rsidRPr="00401527">
          <w:rPr>
            <w:rFonts w:eastAsia="Times New Roman"/>
          </w:rPr>
          <w:t>mbolism and</w:t>
        </w:r>
        <w:r>
          <w:rPr>
            <w:rFonts w:eastAsia="Times New Roman"/>
          </w:rPr>
          <w:t xml:space="preserve"> d</w:t>
        </w:r>
        <w:r w:rsidRPr="00401527">
          <w:rPr>
            <w:rFonts w:eastAsia="Times New Roman"/>
          </w:rPr>
          <w:t xml:space="preserve">eep </w:t>
        </w:r>
        <w:r>
          <w:rPr>
            <w:rFonts w:eastAsia="Times New Roman"/>
          </w:rPr>
          <w:t>v</w:t>
        </w:r>
        <w:r w:rsidRPr="00401527">
          <w:rPr>
            <w:rFonts w:eastAsia="Times New Roman"/>
          </w:rPr>
          <w:t xml:space="preserve">ein </w:t>
        </w:r>
        <w:r>
          <w:rPr>
            <w:rFonts w:eastAsia="Times New Roman"/>
          </w:rPr>
          <w:t>t</w:t>
        </w:r>
        <w:r w:rsidRPr="00401527">
          <w:rPr>
            <w:rFonts w:eastAsia="Times New Roman"/>
          </w:rPr>
          <w:t xml:space="preserve">hrombosis in COVID-19: A </w:t>
        </w:r>
        <w:r>
          <w:rPr>
            <w:rFonts w:eastAsia="Times New Roman"/>
          </w:rPr>
          <w:t>s</w:t>
        </w:r>
        <w:r w:rsidRPr="00401527">
          <w:rPr>
            <w:rFonts w:eastAsia="Times New Roman"/>
          </w:rPr>
          <w:t xml:space="preserve">ystematic </w:t>
        </w:r>
        <w:r>
          <w:rPr>
            <w:rFonts w:eastAsia="Times New Roman"/>
          </w:rPr>
          <w:t>r</w:t>
        </w:r>
        <w:r w:rsidRPr="00401527">
          <w:rPr>
            <w:rFonts w:eastAsia="Times New Roman"/>
          </w:rPr>
          <w:t xml:space="preserve">eview and </w:t>
        </w:r>
        <w:r>
          <w:rPr>
            <w:rFonts w:eastAsia="Times New Roman"/>
          </w:rPr>
          <w:t>m</w:t>
        </w:r>
        <w:r w:rsidRPr="00401527">
          <w:rPr>
            <w:rFonts w:eastAsia="Times New Roman"/>
          </w:rPr>
          <w:t>eta-</w:t>
        </w:r>
        <w:r>
          <w:rPr>
            <w:rFonts w:eastAsia="Times New Roman"/>
          </w:rPr>
          <w:t>a</w:t>
        </w:r>
        <w:r w:rsidRPr="00401527">
          <w:rPr>
            <w:rFonts w:eastAsia="Times New Roman"/>
          </w:rPr>
          <w:t>nalysis</w:t>
        </w:r>
      </w:hyperlink>
      <w:r w:rsidRPr="00401527">
        <w:rPr>
          <w:rFonts w:eastAsia="Times New Roman"/>
        </w:rPr>
        <w:t>. Radiology</w:t>
      </w:r>
      <w:r w:rsidRPr="00401527">
        <w:rPr>
          <w:rFonts w:eastAsia="Times New Roman"/>
          <w:shd w:val="clear" w:color="auto" w:fill="FFFFFF"/>
        </w:rPr>
        <w:t> </w:t>
      </w:r>
      <w:r w:rsidRPr="00401527">
        <w:rPr>
          <w:rFonts w:eastAsia="Times New Roman"/>
        </w:rPr>
        <w:t>2021</w:t>
      </w:r>
      <w:r w:rsidRPr="00401527">
        <w:rPr>
          <w:rFonts w:eastAsia="Times New Roman"/>
          <w:shd w:val="clear" w:color="auto" w:fill="FFFFFF"/>
        </w:rPr>
        <w:t> </w:t>
      </w:r>
      <w:r w:rsidRPr="00401527">
        <w:rPr>
          <w:rFonts w:eastAsia="Times New Roman"/>
        </w:rPr>
        <w:t>298</w:t>
      </w:r>
      <w:r w:rsidRPr="00401527">
        <w:rPr>
          <w:rFonts w:eastAsia="Times New Roman"/>
          <w:shd w:val="clear" w:color="auto" w:fill="FFFFFF"/>
        </w:rPr>
        <w:t>:</w:t>
      </w:r>
      <w:r w:rsidRPr="00401527">
        <w:rPr>
          <w:rFonts w:eastAsia="Times New Roman"/>
        </w:rPr>
        <w:t>2</w:t>
      </w:r>
      <w:r w:rsidRPr="00401527">
        <w:rPr>
          <w:rFonts w:eastAsia="Times New Roman"/>
          <w:shd w:val="clear" w:color="auto" w:fill="FFFFFF"/>
        </w:rPr>
        <w:t>, </w:t>
      </w:r>
      <w:r w:rsidRPr="00401527">
        <w:rPr>
          <w:rFonts w:eastAsia="Times New Roman"/>
        </w:rPr>
        <w:t xml:space="preserve">E70-E80. Available online </w:t>
      </w:r>
      <w:hyperlink r:id="rId10" w:history="1">
        <w:r w:rsidRPr="00401527">
          <w:rPr>
            <w:rFonts w:eastAsia="Times New Roman"/>
          </w:rPr>
          <w:t>https://doi.org/10.1148/radiol.2020203557</w:t>
        </w:r>
      </w:hyperlink>
    </w:p>
    <w:p w14:paraId="3BBBFD6E" w14:textId="77777777" w:rsidR="00A63D51" w:rsidRPr="0005272C" w:rsidRDefault="00A63D51" w:rsidP="00A63D51">
      <w:pPr>
        <w:pStyle w:val="ListParagraph"/>
        <w:numPr>
          <w:ilvl w:val="0"/>
          <w:numId w:val="2"/>
        </w:numPr>
        <w:jc w:val="left"/>
      </w:pPr>
      <w:proofErr w:type="spellStart"/>
      <w:r w:rsidRPr="00401527">
        <w:rPr>
          <w:color w:val="333333"/>
          <w:bdr w:val="none" w:sz="0" w:space="0" w:color="auto" w:frame="1"/>
        </w:rPr>
        <w:t>Rentsch</w:t>
      </w:r>
      <w:proofErr w:type="spellEnd"/>
      <w:r w:rsidRPr="00401527">
        <w:rPr>
          <w:color w:val="333333"/>
          <w:bdr w:val="none" w:sz="0" w:space="0" w:color="auto" w:frame="1"/>
        </w:rPr>
        <w:t> C T, Beckman J A, Tomlinson L,</w:t>
      </w:r>
      <w:r w:rsidRPr="00401527" w:rsidDel="009A18E6">
        <w:rPr>
          <w:color w:val="333333"/>
          <w:bdr w:val="none" w:sz="0" w:space="0" w:color="auto" w:frame="1"/>
        </w:rPr>
        <w:t xml:space="preserve"> </w:t>
      </w:r>
      <w:r w:rsidRPr="00401527">
        <w:rPr>
          <w:color w:val="333333"/>
          <w:bdr w:val="none" w:sz="0" w:space="0" w:color="auto" w:frame="1"/>
        </w:rPr>
        <w:t>et al. Early initiation of prophylactic anticoagulation for prevention of coronavirus disease 2019 mortality in patients admitted to hospital in the United States: cohort study</w:t>
      </w:r>
      <w:r>
        <w:rPr>
          <w:color w:val="333333"/>
          <w:bdr w:val="none" w:sz="0" w:space="0" w:color="auto" w:frame="1"/>
        </w:rPr>
        <w:t>.</w:t>
      </w:r>
      <w:r>
        <w:rPr>
          <w:color w:val="333333"/>
          <w:shd w:val="clear" w:color="auto" w:fill="EEEEEE"/>
        </w:rPr>
        <w:t xml:space="preserve"> </w:t>
      </w:r>
      <w:proofErr w:type="gramStart"/>
      <w:r w:rsidRPr="00401527">
        <w:rPr>
          <w:i/>
          <w:iCs/>
          <w:color w:val="333333"/>
          <w:bdr w:val="none" w:sz="0" w:space="0" w:color="auto" w:frame="1"/>
        </w:rPr>
        <w:t>BMJ  </w:t>
      </w:r>
      <w:r w:rsidRPr="00401527">
        <w:rPr>
          <w:color w:val="555555"/>
          <w:bdr w:val="none" w:sz="0" w:space="0" w:color="auto" w:frame="1"/>
        </w:rPr>
        <w:t>2021</w:t>
      </w:r>
      <w:proofErr w:type="gramEnd"/>
      <w:r w:rsidRPr="00401527">
        <w:rPr>
          <w:color w:val="555555"/>
          <w:bdr w:val="none" w:sz="0" w:space="0" w:color="auto" w:frame="1"/>
        </w:rPr>
        <w:t>; </w:t>
      </w:r>
      <w:r w:rsidRPr="00401527">
        <w:rPr>
          <w:color w:val="333333"/>
          <w:bdr w:val="none" w:sz="0" w:space="0" w:color="auto" w:frame="1"/>
        </w:rPr>
        <w:t>372 :n311 doi:10.1136/bmj.n311</w:t>
      </w:r>
    </w:p>
    <w:p w14:paraId="35F64193" w14:textId="77777777" w:rsidR="00A63D51" w:rsidRPr="00A067B9" w:rsidRDefault="00A63D51" w:rsidP="00A63D51">
      <w:pPr>
        <w:pStyle w:val="ListParagraph"/>
        <w:numPr>
          <w:ilvl w:val="0"/>
          <w:numId w:val="2"/>
        </w:numPr>
        <w:jc w:val="left"/>
        <w:rPr>
          <w:rFonts w:eastAsia="Times New Roman"/>
          <w:sz w:val="20"/>
          <w:szCs w:val="20"/>
        </w:rPr>
      </w:pPr>
      <w:r w:rsidRPr="00A067B9">
        <w:rPr>
          <w:rFonts w:eastAsia="Times New Roman"/>
          <w:color w:val="212121"/>
          <w:shd w:val="clear" w:color="auto" w:fill="FFFFFF"/>
        </w:rPr>
        <w:t xml:space="preserve">Campbell MJ. What is propensity score modelling? </w:t>
      </w:r>
      <w:proofErr w:type="spellStart"/>
      <w:r w:rsidRPr="00A067B9">
        <w:rPr>
          <w:rFonts w:eastAsia="Times New Roman"/>
          <w:color w:val="212121"/>
          <w:shd w:val="clear" w:color="auto" w:fill="FFFFFF"/>
        </w:rPr>
        <w:t>Emerg</w:t>
      </w:r>
      <w:proofErr w:type="spellEnd"/>
      <w:r w:rsidRPr="00A067B9">
        <w:rPr>
          <w:rFonts w:eastAsia="Times New Roman"/>
          <w:color w:val="212121"/>
          <w:shd w:val="clear" w:color="auto" w:fill="FFFFFF"/>
        </w:rPr>
        <w:t xml:space="preserve"> Med J. 2017 Mar</w:t>
      </w:r>
      <w:proofErr w:type="gramStart"/>
      <w:r w:rsidRPr="00A067B9">
        <w:rPr>
          <w:rFonts w:eastAsia="Times New Roman"/>
          <w:color w:val="212121"/>
          <w:shd w:val="clear" w:color="auto" w:fill="FFFFFF"/>
        </w:rPr>
        <w:t>;34</w:t>
      </w:r>
      <w:proofErr w:type="gramEnd"/>
      <w:r w:rsidRPr="00A067B9">
        <w:rPr>
          <w:rFonts w:eastAsia="Times New Roman"/>
          <w:color w:val="212121"/>
          <w:shd w:val="clear" w:color="auto" w:fill="FFFFFF"/>
        </w:rPr>
        <w:t xml:space="preserve">(3):129-131. </w:t>
      </w:r>
      <w:proofErr w:type="spellStart"/>
      <w:proofErr w:type="gramStart"/>
      <w:r w:rsidRPr="00A067B9">
        <w:rPr>
          <w:rFonts w:eastAsia="Times New Roman"/>
          <w:color w:val="212121"/>
          <w:shd w:val="clear" w:color="auto" w:fill="FFFFFF"/>
        </w:rPr>
        <w:t>doi</w:t>
      </w:r>
      <w:proofErr w:type="spellEnd"/>
      <w:proofErr w:type="gramEnd"/>
      <w:r w:rsidRPr="00A067B9">
        <w:rPr>
          <w:rFonts w:eastAsia="Times New Roman"/>
          <w:color w:val="212121"/>
          <w:shd w:val="clear" w:color="auto" w:fill="FFFFFF"/>
        </w:rPr>
        <w:t xml:space="preserve">: 10.1136/emermed-2016-206542. </w:t>
      </w:r>
      <w:proofErr w:type="spellStart"/>
      <w:r w:rsidRPr="00A067B9">
        <w:rPr>
          <w:rFonts w:eastAsia="Times New Roman"/>
          <w:color w:val="212121"/>
          <w:shd w:val="clear" w:color="auto" w:fill="FFFFFF"/>
        </w:rPr>
        <w:t>Epub</w:t>
      </w:r>
      <w:proofErr w:type="spellEnd"/>
      <w:r w:rsidRPr="00A067B9">
        <w:rPr>
          <w:rFonts w:eastAsia="Times New Roman"/>
          <w:color w:val="212121"/>
          <w:shd w:val="clear" w:color="auto" w:fill="FFFFFF"/>
        </w:rPr>
        <w:t xml:space="preserve"> 2017 Jan 31. PMID: 28143814.</w:t>
      </w:r>
    </w:p>
    <w:p w14:paraId="433E6B5C" w14:textId="77777777" w:rsidR="00A63D51" w:rsidRPr="0005272C" w:rsidRDefault="00A63D51" w:rsidP="00A63D51">
      <w:pPr>
        <w:pStyle w:val="ListParagraph"/>
        <w:jc w:val="left"/>
        <w:rPr>
          <w:rFonts w:eastAsia="Times New Roman"/>
          <w:color w:val="212121"/>
        </w:rPr>
      </w:pPr>
    </w:p>
    <w:p w14:paraId="4CA982C9" w14:textId="77777777" w:rsidR="00A63D51" w:rsidRPr="00A067B9" w:rsidRDefault="00A63D51" w:rsidP="00A63D51">
      <w:pPr>
        <w:pStyle w:val="ListParagraph"/>
        <w:numPr>
          <w:ilvl w:val="0"/>
          <w:numId w:val="2"/>
        </w:numPr>
        <w:jc w:val="left"/>
        <w:rPr>
          <w:rFonts w:eastAsia="Times New Roman"/>
        </w:rPr>
      </w:pPr>
      <w:proofErr w:type="spellStart"/>
      <w:r w:rsidRPr="00401527">
        <w:rPr>
          <w:rFonts w:eastAsia="Times New Roman"/>
          <w:color w:val="212121"/>
        </w:rPr>
        <w:t>Bahl</w:t>
      </w:r>
      <w:proofErr w:type="spellEnd"/>
      <w:r w:rsidRPr="00401527">
        <w:rPr>
          <w:rFonts w:eastAsia="Times New Roman"/>
          <w:color w:val="212121"/>
        </w:rPr>
        <w:t xml:space="preserve"> A, Johnson S, Chen NW. Timing of corticosteroids impacts mortality in hospitalized COVID-19 patients. Intern </w:t>
      </w:r>
      <w:proofErr w:type="spellStart"/>
      <w:r w:rsidRPr="00401527">
        <w:rPr>
          <w:rFonts w:eastAsia="Times New Roman"/>
          <w:color w:val="212121"/>
        </w:rPr>
        <w:t>Emerg</w:t>
      </w:r>
      <w:proofErr w:type="spellEnd"/>
      <w:r w:rsidRPr="00401527">
        <w:rPr>
          <w:rFonts w:eastAsia="Times New Roman"/>
          <w:color w:val="212121"/>
        </w:rPr>
        <w:t xml:space="preserve"> Med. 2021 Feb 5:1–11. </w:t>
      </w:r>
      <w:proofErr w:type="spellStart"/>
      <w:proofErr w:type="gramStart"/>
      <w:r w:rsidRPr="00401527">
        <w:rPr>
          <w:rFonts w:eastAsia="Times New Roman"/>
          <w:color w:val="212121"/>
        </w:rPr>
        <w:t>doi</w:t>
      </w:r>
      <w:proofErr w:type="spellEnd"/>
      <w:proofErr w:type="gramEnd"/>
      <w:r w:rsidRPr="00401527">
        <w:rPr>
          <w:rFonts w:eastAsia="Times New Roman"/>
          <w:color w:val="212121"/>
        </w:rPr>
        <w:t xml:space="preserve">: 10.1007/s11739-021-02655-6. </w:t>
      </w:r>
      <w:proofErr w:type="spellStart"/>
      <w:r w:rsidRPr="00401527">
        <w:rPr>
          <w:rFonts w:eastAsia="Times New Roman"/>
          <w:color w:val="212121"/>
        </w:rPr>
        <w:t>Epub</w:t>
      </w:r>
      <w:proofErr w:type="spellEnd"/>
      <w:r w:rsidRPr="00401527">
        <w:rPr>
          <w:rFonts w:eastAsia="Times New Roman"/>
          <w:color w:val="212121"/>
        </w:rPr>
        <w:t xml:space="preserve"> ahead of print. PMID: 33547620; PMCID: PMC7864133.</w:t>
      </w:r>
    </w:p>
    <w:p w14:paraId="1E0B351C" w14:textId="77777777" w:rsidR="00A63D51" w:rsidRPr="00A067B9" w:rsidRDefault="00A63D51" w:rsidP="00A63D51">
      <w:pPr>
        <w:pStyle w:val="ListParagraph"/>
        <w:numPr>
          <w:ilvl w:val="0"/>
          <w:numId w:val="2"/>
        </w:numPr>
        <w:jc w:val="left"/>
        <w:rPr>
          <w:rFonts w:eastAsia="Times New Roman"/>
        </w:rPr>
      </w:pPr>
      <w:r w:rsidRPr="00A067B9">
        <w:rPr>
          <w:rFonts w:eastAsia="Times New Roman"/>
          <w:color w:val="212121"/>
          <w:shd w:val="clear" w:color="auto" w:fill="FFFFFF"/>
        </w:rPr>
        <w:t xml:space="preserve">RECOVERY Collaborative Group. Dexamethasone in Hospitalized Patients with Covid-19. N </w:t>
      </w:r>
      <w:proofErr w:type="spellStart"/>
      <w:r w:rsidRPr="00A067B9">
        <w:rPr>
          <w:rFonts w:eastAsia="Times New Roman"/>
          <w:color w:val="212121"/>
          <w:shd w:val="clear" w:color="auto" w:fill="FFFFFF"/>
        </w:rPr>
        <w:t>Engl</w:t>
      </w:r>
      <w:proofErr w:type="spellEnd"/>
      <w:r w:rsidRPr="00A067B9">
        <w:rPr>
          <w:rFonts w:eastAsia="Times New Roman"/>
          <w:color w:val="212121"/>
          <w:shd w:val="clear" w:color="auto" w:fill="FFFFFF"/>
        </w:rPr>
        <w:t xml:space="preserve"> J Med. 2021 Feb 25</w:t>
      </w:r>
      <w:proofErr w:type="gramStart"/>
      <w:r w:rsidRPr="00A067B9">
        <w:rPr>
          <w:rFonts w:eastAsia="Times New Roman"/>
          <w:color w:val="212121"/>
          <w:shd w:val="clear" w:color="auto" w:fill="FFFFFF"/>
        </w:rPr>
        <w:t>;384</w:t>
      </w:r>
      <w:proofErr w:type="gramEnd"/>
      <w:r w:rsidRPr="00A067B9">
        <w:rPr>
          <w:rFonts w:eastAsia="Times New Roman"/>
          <w:color w:val="212121"/>
          <w:shd w:val="clear" w:color="auto" w:fill="FFFFFF"/>
        </w:rPr>
        <w:t xml:space="preserve">(8):693-704. </w:t>
      </w:r>
      <w:proofErr w:type="spellStart"/>
      <w:r w:rsidRPr="00A067B9">
        <w:rPr>
          <w:rFonts w:eastAsia="Times New Roman"/>
          <w:color w:val="212121"/>
          <w:shd w:val="clear" w:color="auto" w:fill="FFFFFF"/>
        </w:rPr>
        <w:t>doi</w:t>
      </w:r>
      <w:proofErr w:type="spellEnd"/>
      <w:r w:rsidRPr="00A067B9">
        <w:rPr>
          <w:rFonts w:eastAsia="Times New Roman"/>
          <w:color w:val="212121"/>
          <w:shd w:val="clear" w:color="auto" w:fill="FFFFFF"/>
        </w:rPr>
        <w:t xml:space="preserve">: 10.1056/NEJMoa2021436. </w:t>
      </w:r>
      <w:proofErr w:type="spellStart"/>
      <w:r w:rsidRPr="00A067B9">
        <w:rPr>
          <w:rFonts w:eastAsia="Times New Roman"/>
          <w:color w:val="212121"/>
          <w:shd w:val="clear" w:color="auto" w:fill="FFFFFF"/>
        </w:rPr>
        <w:t>Epub</w:t>
      </w:r>
      <w:proofErr w:type="spellEnd"/>
      <w:r w:rsidRPr="00A067B9">
        <w:rPr>
          <w:rFonts w:eastAsia="Times New Roman"/>
          <w:color w:val="212121"/>
          <w:shd w:val="clear" w:color="auto" w:fill="FFFFFF"/>
        </w:rPr>
        <w:t xml:space="preserve"> 2020 Jul 17. PMID: 32678530; PMCID: PMC7383595.</w:t>
      </w:r>
    </w:p>
    <w:p w14:paraId="2F012FB7" w14:textId="77777777" w:rsidR="00A63D51" w:rsidRPr="00A067B9" w:rsidRDefault="00A63D51" w:rsidP="00A63D51">
      <w:pPr>
        <w:pStyle w:val="ListParagraph"/>
        <w:numPr>
          <w:ilvl w:val="0"/>
          <w:numId w:val="2"/>
        </w:numPr>
        <w:jc w:val="left"/>
        <w:rPr>
          <w:rFonts w:eastAsia="Times New Roman"/>
        </w:rPr>
      </w:pPr>
      <w:proofErr w:type="spellStart"/>
      <w:r w:rsidRPr="00401527">
        <w:rPr>
          <w:rFonts w:eastAsia="Times New Roman"/>
          <w:color w:val="333333"/>
          <w:shd w:val="clear" w:color="auto" w:fill="FFFFFF"/>
        </w:rPr>
        <w:t>Murai</w:t>
      </w:r>
      <w:proofErr w:type="spellEnd"/>
      <w:r w:rsidRPr="00401527">
        <w:rPr>
          <w:rFonts w:eastAsia="Times New Roman"/>
          <w:color w:val="333333"/>
          <w:shd w:val="clear" w:color="auto" w:fill="FFFFFF"/>
        </w:rPr>
        <w:t xml:space="preserve"> IH, </w:t>
      </w:r>
      <w:proofErr w:type="spellStart"/>
      <w:r w:rsidRPr="00401527">
        <w:rPr>
          <w:rFonts w:eastAsia="Times New Roman"/>
          <w:color w:val="333333"/>
          <w:shd w:val="clear" w:color="auto" w:fill="FFFFFF"/>
        </w:rPr>
        <w:t>Fernandes</w:t>
      </w:r>
      <w:proofErr w:type="spellEnd"/>
      <w:r w:rsidRPr="00401527">
        <w:rPr>
          <w:rFonts w:eastAsia="Times New Roman"/>
          <w:color w:val="333333"/>
          <w:shd w:val="clear" w:color="auto" w:fill="FFFFFF"/>
        </w:rPr>
        <w:t xml:space="preserve"> AL, Sales LP, et al. Effect of a </w:t>
      </w:r>
      <w:r>
        <w:rPr>
          <w:rFonts w:eastAsia="Times New Roman"/>
          <w:color w:val="333333"/>
          <w:shd w:val="clear" w:color="auto" w:fill="FFFFFF"/>
        </w:rPr>
        <w:t>s</w:t>
      </w:r>
      <w:r w:rsidRPr="00401527">
        <w:rPr>
          <w:rFonts w:eastAsia="Times New Roman"/>
          <w:color w:val="333333"/>
          <w:shd w:val="clear" w:color="auto" w:fill="FFFFFF"/>
        </w:rPr>
        <w:t xml:space="preserve">ingle </w:t>
      </w:r>
      <w:r>
        <w:rPr>
          <w:rFonts w:eastAsia="Times New Roman"/>
          <w:color w:val="333333"/>
          <w:shd w:val="clear" w:color="auto" w:fill="FFFFFF"/>
        </w:rPr>
        <w:t>h</w:t>
      </w:r>
      <w:r w:rsidRPr="00401527">
        <w:rPr>
          <w:rFonts w:eastAsia="Times New Roman"/>
          <w:color w:val="333333"/>
          <w:shd w:val="clear" w:color="auto" w:fill="FFFFFF"/>
        </w:rPr>
        <w:t xml:space="preserve">igh </w:t>
      </w:r>
      <w:r>
        <w:rPr>
          <w:rFonts w:eastAsia="Times New Roman"/>
          <w:color w:val="333333"/>
          <w:shd w:val="clear" w:color="auto" w:fill="FFFFFF"/>
        </w:rPr>
        <w:t>d</w:t>
      </w:r>
      <w:r w:rsidRPr="00401527">
        <w:rPr>
          <w:rFonts w:eastAsia="Times New Roman"/>
          <w:color w:val="333333"/>
          <w:shd w:val="clear" w:color="auto" w:fill="FFFFFF"/>
        </w:rPr>
        <w:t xml:space="preserve">ose of </w:t>
      </w:r>
      <w:r>
        <w:rPr>
          <w:rFonts w:eastAsia="Times New Roman"/>
          <w:color w:val="333333"/>
          <w:shd w:val="clear" w:color="auto" w:fill="FFFFFF"/>
        </w:rPr>
        <w:t>v</w:t>
      </w:r>
      <w:r w:rsidRPr="00401527">
        <w:rPr>
          <w:rFonts w:eastAsia="Times New Roman"/>
          <w:color w:val="333333"/>
          <w:shd w:val="clear" w:color="auto" w:fill="FFFFFF"/>
        </w:rPr>
        <w:t>itamin D</w:t>
      </w:r>
      <w:r w:rsidRPr="00401527">
        <w:rPr>
          <w:rFonts w:eastAsia="Times New Roman"/>
          <w:color w:val="333333"/>
          <w:vertAlign w:val="subscript"/>
        </w:rPr>
        <w:t>3</w:t>
      </w:r>
      <w:r w:rsidRPr="00401527">
        <w:rPr>
          <w:rFonts w:eastAsia="Times New Roman"/>
          <w:color w:val="333333"/>
          <w:shd w:val="clear" w:color="auto" w:fill="FFFFFF"/>
        </w:rPr>
        <w:t xml:space="preserve"> on </w:t>
      </w:r>
      <w:r>
        <w:rPr>
          <w:rFonts w:eastAsia="Times New Roman"/>
          <w:color w:val="333333"/>
          <w:shd w:val="clear" w:color="auto" w:fill="FFFFFF"/>
        </w:rPr>
        <w:t>h</w:t>
      </w:r>
      <w:r w:rsidRPr="00401527">
        <w:rPr>
          <w:rFonts w:eastAsia="Times New Roman"/>
          <w:color w:val="333333"/>
          <w:shd w:val="clear" w:color="auto" w:fill="FFFFFF"/>
        </w:rPr>
        <w:t xml:space="preserve">ospital </w:t>
      </w:r>
      <w:r>
        <w:rPr>
          <w:rFonts w:eastAsia="Times New Roman"/>
          <w:color w:val="333333"/>
          <w:shd w:val="clear" w:color="auto" w:fill="FFFFFF"/>
        </w:rPr>
        <w:t>l</w:t>
      </w:r>
      <w:r w:rsidRPr="00401527">
        <w:rPr>
          <w:rFonts w:eastAsia="Times New Roman"/>
          <w:color w:val="333333"/>
          <w:shd w:val="clear" w:color="auto" w:fill="FFFFFF"/>
        </w:rPr>
        <w:t xml:space="preserve">ength of </w:t>
      </w:r>
      <w:r>
        <w:rPr>
          <w:rFonts w:eastAsia="Times New Roman"/>
          <w:color w:val="333333"/>
          <w:shd w:val="clear" w:color="auto" w:fill="FFFFFF"/>
        </w:rPr>
        <w:t>s</w:t>
      </w:r>
      <w:r w:rsidRPr="00401527">
        <w:rPr>
          <w:rFonts w:eastAsia="Times New Roman"/>
          <w:color w:val="333333"/>
          <w:shd w:val="clear" w:color="auto" w:fill="FFFFFF"/>
        </w:rPr>
        <w:t xml:space="preserve">tay in </w:t>
      </w:r>
      <w:r>
        <w:rPr>
          <w:rFonts w:eastAsia="Times New Roman"/>
          <w:color w:val="333333"/>
          <w:shd w:val="clear" w:color="auto" w:fill="FFFFFF"/>
        </w:rPr>
        <w:t>p</w:t>
      </w:r>
      <w:r w:rsidRPr="00401527">
        <w:rPr>
          <w:rFonts w:eastAsia="Times New Roman"/>
          <w:color w:val="333333"/>
          <w:shd w:val="clear" w:color="auto" w:fill="FFFFFF"/>
        </w:rPr>
        <w:t xml:space="preserve">atients </w:t>
      </w:r>
      <w:r>
        <w:rPr>
          <w:rFonts w:eastAsia="Times New Roman"/>
          <w:color w:val="333333"/>
          <w:shd w:val="clear" w:color="auto" w:fill="FFFFFF"/>
        </w:rPr>
        <w:t>w</w:t>
      </w:r>
      <w:r w:rsidRPr="00401527">
        <w:rPr>
          <w:rFonts w:eastAsia="Times New Roman"/>
          <w:color w:val="333333"/>
          <w:shd w:val="clear" w:color="auto" w:fill="FFFFFF"/>
        </w:rPr>
        <w:t xml:space="preserve">ith </w:t>
      </w:r>
      <w:r>
        <w:rPr>
          <w:rFonts w:eastAsia="Times New Roman"/>
          <w:color w:val="333333"/>
          <w:shd w:val="clear" w:color="auto" w:fill="FFFFFF"/>
        </w:rPr>
        <w:t>m</w:t>
      </w:r>
      <w:r w:rsidRPr="00401527">
        <w:rPr>
          <w:rFonts w:eastAsia="Times New Roman"/>
          <w:color w:val="333333"/>
          <w:shd w:val="clear" w:color="auto" w:fill="FFFFFF"/>
        </w:rPr>
        <w:t xml:space="preserve">oderate to </w:t>
      </w:r>
      <w:r>
        <w:rPr>
          <w:rFonts w:eastAsia="Times New Roman"/>
          <w:color w:val="333333"/>
          <w:shd w:val="clear" w:color="auto" w:fill="FFFFFF"/>
        </w:rPr>
        <w:t>s</w:t>
      </w:r>
      <w:r w:rsidRPr="00401527">
        <w:rPr>
          <w:rFonts w:eastAsia="Times New Roman"/>
          <w:color w:val="333333"/>
          <w:shd w:val="clear" w:color="auto" w:fill="FFFFFF"/>
        </w:rPr>
        <w:t>evere COVID-19</w:t>
      </w:r>
      <w:r w:rsidRPr="00401527">
        <w:rPr>
          <w:rFonts w:eastAsia="Times New Roman"/>
          <w:color w:val="333333"/>
        </w:rPr>
        <w:t xml:space="preserve">: A </w:t>
      </w:r>
      <w:r>
        <w:rPr>
          <w:rFonts w:eastAsia="Times New Roman"/>
          <w:color w:val="333333"/>
        </w:rPr>
        <w:t>r</w:t>
      </w:r>
      <w:r w:rsidRPr="00401527">
        <w:rPr>
          <w:rFonts w:eastAsia="Times New Roman"/>
          <w:color w:val="333333"/>
        </w:rPr>
        <w:t xml:space="preserve">andomized </w:t>
      </w:r>
      <w:r>
        <w:rPr>
          <w:rFonts w:eastAsia="Times New Roman"/>
          <w:color w:val="333333"/>
        </w:rPr>
        <w:t>c</w:t>
      </w:r>
      <w:r w:rsidRPr="00401527">
        <w:rPr>
          <w:rFonts w:eastAsia="Times New Roman"/>
          <w:color w:val="333333"/>
        </w:rPr>
        <w:t xml:space="preserve">linical </w:t>
      </w:r>
      <w:r>
        <w:rPr>
          <w:rFonts w:eastAsia="Times New Roman"/>
          <w:color w:val="333333"/>
        </w:rPr>
        <w:t>t</w:t>
      </w:r>
      <w:r w:rsidRPr="00401527">
        <w:rPr>
          <w:rFonts w:eastAsia="Times New Roman"/>
          <w:color w:val="333333"/>
        </w:rPr>
        <w:t>rial</w:t>
      </w:r>
      <w:r w:rsidRPr="00401527">
        <w:rPr>
          <w:rFonts w:eastAsia="Times New Roman"/>
          <w:color w:val="333333"/>
          <w:shd w:val="clear" w:color="auto" w:fill="FFFFFF"/>
        </w:rPr>
        <w:t>. </w:t>
      </w:r>
      <w:r w:rsidRPr="00401527">
        <w:rPr>
          <w:rFonts w:eastAsia="Times New Roman"/>
          <w:i/>
          <w:iCs/>
          <w:color w:val="333333"/>
        </w:rPr>
        <w:t>JAMA.</w:t>
      </w:r>
      <w:r w:rsidRPr="00401527">
        <w:rPr>
          <w:rFonts w:eastAsia="Times New Roman"/>
          <w:color w:val="333333"/>
          <w:shd w:val="clear" w:color="auto" w:fill="FFFFFF"/>
        </w:rPr>
        <w:t xml:space="preserve"> Published online February 17, 2021. </w:t>
      </w:r>
      <w:proofErr w:type="gramStart"/>
      <w:r w:rsidRPr="00401527">
        <w:rPr>
          <w:rFonts w:eastAsia="Times New Roman"/>
          <w:color w:val="333333"/>
          <w:shd w:val="clear" w:color="auto" w:fill="FFFFFF"/>
        </w:rPr>
        <w:t>doi:10.1001</w:t>
      </w:r>
      <w:proofErr w:type="gramEnd"/>
      <w:r w:rsidRPr="00401527">
        <w:rPr>
          <w:rFonts w:eastAsia="Times New Roman"/>
          <w:color w:val="333333"/>
          <w:shd w:val="clear" w:color="auto" w:fill="FFFFFF"/>
        </w:rPr>
        <w:t>/jama.2020.26848</w:t>
      </w:r>
    </w:p>
    <w:p w14:paraId="5B905054" w14:textId="77777777" w:rsidR="00A63D51" w:rsidRPr="00A067B9" w:rsidRDefault="00A63D51" w:rsidP="00A63D51">
      <w:pPr>
        <w:pStyle w:val="ListParagraph"/>
        <w:numPr>
          <w:ilvl w:val="0"/>
          <w:numId w:val="2"/>
        </w:numPr>
        <w:jc w:val="left"/>
        <w:rPr>
          <w:rFonts w:eastAsia="Times New Roman"/>
        </w:rPr>
      </w:pPr>
      <w:proofErr w:type="spellStart"/>
      <w:r w:rsidRPr="00A067B9">
        <w:rPr>
          <w:rFonts w:eastAsia="Times New Roman"/>
          <w:color w:val="333333"/>
          <w:bdr w:val="none" w:sz="0" w:space="0" w:color="auto" w:frame="1"/>
        </w:rPr>
        <w:t>Veiga</w:t>
      </w:r>
      <w:proofErr w:type="spellEnd"/>
      <w:r w:rsidRPr="00A067B9">
        <w:rPr>
          <w:rFonts w:eastAsia="Times New Roman"/>
          <w:color w:val="333333"/>
          <w:bdr w:val="none" w:sz="0" w:space="0" w:color="auto" w:frame="1"/>
        </w:rPr>
        <w:t> VC, </w:t>
      </w:r>
      <w:proofErr w:type="spellStart"/>
      <w:r w:rsidRPr="00A067B9">
        <w:rPr>
          <w:rFonts w:eastAsia="Times New Roman"/>
          <w:color w:val="333333"/>
          <w:bdr w:val="none" w:sz="0" w:space="0" w:color="auto" w:frame="1"/>
        </w:rPr>
        <w:t>Prats</w:t>
      </w:r>
      <w:proofErr w:type="spellEnd"/>
      <w:r w:rsidRPr="00A067B9">
        <w:rPr>
          <w:rFonts w:eastAsia="Times New Roman"/>
          <w:color w:val="333333"/>
          <w:bdr w:val="none" w:sz="0" w:space="0" w:color="auto" w:frame="1"/>
        </w:rPr>
        <w:t> JAG, </w:t>
      </w:r>
      <w:proofErr w:type="spellStart"/>
      <w:r w:rsidRPr="00A067B9">
        <w:rPr>
          <w:rFonts w:eastAsia="Times New Roman"/>
          <w:color w:val="333333"/>
          <w:bdr w:val="none" w:sz="0" w:space="0" w:color="auto" w:frame="1"/>
        </w:rPr>
        <w:t>Farias</w:t>
      </w:r>
      <w:proofErr w:type="spellEnd"/>
      <w:r w:rsidRPr="00A067B9">
        <w:rPr>
          <w:rFonts w:eastAsia="Times New Roman"/>
          <w:color w:val="333333"/>
          <w:bdr w:val="none" w:sz="0" w:space="0" w:color="auto" w:frame="1"/>
        </w:rPr>
        <w:t xml:space="preserve"> DLC, et al. Effect of </w:t>
      </w:r>
      <w:proofErr w:type="spellStart"/>
      <w:r w:rsidRPr="00A067B9">
        <w:rPr>
          <w:rFonts w:eastAsia="Times New Roman"/>
          <w:color w:val="333333"/>
          <w:bdr w:val="none" w:sz="0" w:space="0" w:color="auto" w:frame="1"/>
        </w:rPr>
        <w:t>tocilizumab</w:t>
      </w:r>
      <w:proofErr w:type="spellEnd"/>
      <w:r w:rsidRPr="00A067B9">
        <w:rPr>
          <w:rFonts w:eastAsia="Times New Roman"/>
          <w:color w:val="333333"/>
          <w:bdr w:val="none" w:sz="0" w:space="0" w:color="auto" w:frame="1"/>
        </w:rPr>
        <w:t xml:space="preserve"> on clinical outcomes at 15 days in patients with severe or critical coronavirus disease 2019: randomised controlled trial</w:t>
      </w:r>
      <w:r w:rsidRPr="00A067B9">
        <w:rPr>
          <w:rFonts w:eastAsia="Times New Roman"/>
          <w:color w:val="333333"/>
          <w:shd w:val="clear" w:color="auto" w:fill="EEEEEE"/>
        </w:rPr>
        <w:t xml:space="preserve">. </w:t>
      </w:r>
      <w:r w:rsidRPr="00A067B9">
        <w:rPr>
          <w:rFonts w:eastAsia="Times New Roman"/>
          <w:i/>
          <w:iCs/>
          <w:color w:val="333333"/>
          <w:bdr w:val="none" w:sz="0" w:space="0" w:color="auto" w:frame="1"/>
        </w:rPr>
        <w:t>BMJ </w:t>
      </w:r>
      <w:r>
        <w:rPr>
          <w:rFonts w:eastAsia="Times New Roman"/>
          <w:color w:val="555555"/>
          <w:bdr w:val="none" w:sz="0" w:space="0" w:color="auto" w:frame="1"/>
        </w:rPr>
        <w:t>2021</w:t>
      </w:r>
      <w:proofErr w:type="gramStart"/>
      <w:r>
        <w:rPr>
          <w:rFonts w:eastAsia="Times New Roman"/>
          <w:color w:val="555555"/>
          <w:bdr w:val="none" w:sz="0" w:space="0" w:color="auto" w:frame="1"/>
        </w:rPr>
        <w:t>;</w:t>
      </w:r>
      <w:r>
        <w:rPr>
          <w:rFonts w:eastAsia="Times New Roman"/>
          <w:color w:val="333333"/>
          <w:bdr w:val="none" w:sz="0" w:space="0" w:color="auto" w:frame="1"/>
        </w:rPr>
        <w:t>372</w:t>
      </w:r>
      <w:r w:rsidRPr="00A067B9">
        <w:rPr>
          <w:rFonts w:eastAsia="Times New Roman"/>
          <w:color w:val="333333"/>
          <w:bdr w:val="none" w:sz="0" w:space="0" w:color="auto" w:frame="1"/>
        </w:rPr>
        <w:t>:n84</w:t>
      </w:r>
      <w:proofErr w:type="gramEnd"/>
      <w:r w:rsidRPr="00A067B9">
        <w:rPr>
          <w:rFonts w:eastAsia="Times New Roman"/>
          <w:color w:val="333333"/>
          <w:bdr w:val="none" w:sz="0" w:space="0" w:color="auto" w:frame="1"/>
        </w:rPr>
        <w:t> doi:10.1136/bmj.n84</w:t>
      </w:r>
    </w:p>
    <w:p w14:paraId="4A667FFB" w14:textId="77777777" w:rsidR="00A63D51" w:rsidRPr="00401527" w:rsidRDefault="00A63D51" w:rsidP="00A63D51">
      <w:pPr>
        <w:pStyle w:val="ListParagraph"/>
        <w:jc w:val="left"/>
        <w:rPr>
          <w:rFonts w:eastAsia="Times New Roman"/>
        </w:rPr>
      </w:pPr>
    </w:p>
    <w:p w14:paraId="59489560" w14:textId="77777777" w:rsidR="00A63D51" w:rsidRPr="00401527" w:rsidRDefault="00A63D51" w:rsidP="00A63D51">
      <w:pPr>
        <w:jc w:val="left"/>
      </w:pPr>
    </w:p>
    <w:p w14:paraId="509771DE" w14:textId="77777777" w:rsidR="00A63D51" w:rsidRDefault="00A63D51" w:rsidP="00A63D51">
      <w:pPr>
        <w:jc w:val="left"/>
      </w:pPr>
    </w:p>
    <w:p w14:paraId="5CF8445D" w14:textId="77777777" w:rsidR="00A63D51" w:rsidRPr="00A63D51" w:rsidRDefault="00A63D51" w:rsidP="00A63D51"/>
    <w:p w14:paraId="3B638125" w14:textId="77777777" w:rsidR="001669CB" w:rsidRPr="00A63D51" w:rsidRDefault="001669CB" w:rsidP="00A63D51"/>
    <w:bookmarkEnd w:id="1"/>
    <w:sectPr w:rsidR="001669CB" w:rsidRPr="00A63D51">
      <w:headerReference w:type="even" r:id="rId11"/>
      <w:headerReference w:type="default" r:id="rId12"/>
      <w:footerReference w:type="even" r:id="rId13"/>
      <w:footerReference w:type="default" r:id="rId14"/>
      <w:headerReference w:type="first" r:id="rId15"/>
      <w:footerReference w:type="first" r:id="rId16"/>
      <w:pgSz w:w="11906" w:h="16838"/>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F0ABC" w14:textId="77777777" w:rsidR="00DE383B" w:rsidRDefault="00F72E0D">
    <w:pPr>
      <w:pBdr>
        <w:top w:val="nil"/>
        <w:left w:val="nil"/>
        <w:bottom w:val="nil"/>
        <w:right w:val="nil"/>
        <w:between w:val="nil"/>
      </w:pBdr>
      <w:tabs>
        <w:tab w:val="center" w:pos="4513"/>
        <w:tab w:val="right" w:pos="9026"/>
      </w:tabs>
      <w:spacing w:before="0" w:after="0"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E9AEB" w14:textId="77777777" w:rsidR="00DE383B" w:rsidRDefault="00F72E0D">
    <w:pPr>
      <w:pBdr>
        <w:top w:val="nil"/>
        <w:left w:val="nil"/>
        <w:bottom w:val="nil"/>
        <w:right w:val="nil"/>
        <w:between w:val="nil"/>
      </w:pBdr>
      <w:tabs>
        <w:tab w:val="center" w:pos="4513"/>
        <w:tab w:val="right" w:pos="9026"/>
      </w:tabs>
      <w:spacing w:before="0" w:after="0" w:line="240" w:lineRule="auto"/>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28963" w14:textId="77777777" w:rsidR="00DE383B" w:rsidRDefault="00F72E0D">
    <w:pPr>
      <w:pBdr>
        <w:top w:val="nil"/>
        <w:left w:val="nil"/>
        <w:bottom w:val="nil"/>
        <w:right w:val="nil"/>
        <w:between w:val="nil"/>
      </w:pBdr>
      <w:tabs>
        <w:tab w:val="center" w:pos="4513"/>
        <w:tab w:val="right" w:pos="9026"/>
      </w:tabs>
      <w:spacing w:before="0" w:after="0" w:line="240" w:lineRule="auto"/>
      <w:rPr>
        <w:color w:val="000000"/>
      </w:rP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E4EB7" w14:textId="77777777" w:rsidR="00DE383B" w:rsidRDefault="00F72E0D">
    <w:pPr>
      <w:pBdr>
        <w:top w:val="nil"/>
        <w:left w:val="nil"/>
        <w:bottom w:val="nil"/>
        <w:right w:val="nil"/>
        <w:between w:val="nil"/>
      </w:pBdr>
      <w:tabs>
        <w:tab w:val="center" w:pos="4513"/>
        <w:tab w:val="right" w:pos="9026"/>
      </w:tabs>
      <w:spacing w:before="0" w:after="0"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66941" w14:textId="77777777" w:rsidR="00DE383B" w:rsidRDefault="00F72E0D">
    <w:pPr>
      <w:pBdr>
        <w:top w:val="nil"/>
        <w:left w:val="nil"/>
        <w:bottom w:val="nil"/>
        <w:right w:val="nil"/>
        <w:between w:val="nil"/>
      </w:pBdr>
      <w:tabs>
        <w:tab w:val="center" w:pos="4513"/>
        <w:tab w:val="right" w:pos="9026"/>
      </w:tabs>
      <w:spacing w:before="0" w:after="0" w:line="240" w:lineRule="auto"/>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626" w14:textId="77777777" w:rsidR="00DE383B" w:rsidRDefault="00F72E0D">
    <w:pPr>
      <w:pBdr>
        <w:top w:val="nil"/>
        <w:left w:val="nil"/>
        <w:bottom w:val="nil"/>
        <w:right w:val="nil"/>
        <w:between w:val="nil"/>
      </w:pBdr>
      <w:tabs>
        <w:tab w:val="center" w:pos="4513"/>
        <w:tab w:val="right" w:pos="9026"/>
      </w:tabs>
      <w:spacing w:before="0"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E59CD"/>
    <w:multiLevelType w:val="multilevel"/>
    <w:tmpl w:val="CD8C1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9FF4B56"/>
    <w:multiLevelType w:val="hybridMultilevel"/>
    <w:tmpl w:val="5B52E7DC"/>
    <w:lvl w:ilvl="0" w:tplc="95684382">
      <w:start w:val="1"/>
      <w:numFmt w:val="decimal"/>
      <w:lvlText w:val="%1."/>
      <w:lvlJc w:val="left"/>
      <w:pPr>
        <w:ind w:left="720" w:hanging="360"/>
      </w:pPr>
      <w:rPr>
        <w:rFonts w:eastAsia="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D51"/>
    <w:rsid w:val="001669CB"/>
    <w:rsid w:val="00A63D51"/>
    <w:rsid w:val="00E77943"/>
    <w:rsid w:val="00F72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A6F2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51"/>
    <w:pPr>
      <w:spacing w:before="280" w:after="280" w:line="360" w:lineRule="auto"/>
      <w:jc w:val="both"/>
    </w:pPr>
    <w:rPr>
      <w:rFonts w:ascii="Arial" w:eastAsia="Arial" w:hAnsi="Arial" w:cs="Arial"/>
      <w:lang w:val="en-GB"/>
    </w:rPr>
  </w:style>
  <w:style w:type="paragraph" w:styleId="Heading1">
    <w:name w:val="heading 1"/>
    <w:basedOn w:val="Normal"/>
    <w:next w:val="Normal"/>
    <w:link w:val="Heading1Char"/>
    <w:uiPriority w:val="9"/>
    <w:qFormat/>
    <w:rsid w:val="00A63D51"/>
    <w:pPr>
      <w:keepNext/>
      <w:keepLines/>
      <w:spacing w:line="240" w:lineRule="auto"/>
      <w:jc w:val="lef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63D51"/>
  </w:style>
  <w:style w:type="character" w:customStyle="1" w:styleId="Heading1Char">
    <w:name w:val="Heading 1 Char"/>
    <w:basedOn w:val="DefaultParagraphFont"/>
    <w:link w:val="Heading1"/>
    <w:uiPriority w:val="9"/>
    <w:rsid w:val="00A63D51"/>
    <w:rPr>
      <w:rFonts w:ascii="Arial" w:eastAsia="Arial" w:hAnsi="Arial" w:cs="Arial"/>
      <w:b/>
      <w:lang w:val="en-GB"/>
    </w:rPr>
  </w:style>
  <w:style w:type="paragraph" w:styleId="CommentText">
    <w:name w:val="annotation text"/>
    <w:basedOn w:val="Normal"/>
    <w:link w:val="CommentTextChar"/>
    <w:uiPriority w:val="99"/>
    <w:unhideWhenUsed/>
    <w:rsid w:val="00A63D51"/>
    <w:pPr>
      <w:spacing w:line="240" w:lineRule="auto"/>
    </w:pPr>
    <w:rPr>
      <w:sz w:val="20"/>
      <w:szCs w:val="20"/>
    </w:rPr>
  </w:style>
  <w:style w:type="character" w:customStyle="1" w:styleId="CommentTextChar">
    <w:name w:val="Comment Text Char"/>
    <w:basedOn w:val="DefaultParagraphFont"/>
    <w:link w:val="CommentText"/>
    <w:uiPriority w:val="99"/>
    <w:rsid w:val="00A63D51"/>
    <w:rPr>
      <w:rFonts w:ascii="Arial" w:eastAsia="Arial" w:hAnsi="Arial" w:cs="Arial"/>
      <w:sz w:val="20"/>
      <w:szCs w:val="20"/>
      <w:lang w:val="en-GB"/>
    </w:rPr>
  </w:style>
  <w:style w:type="paragraph" w:styleId="ListParagraph">
    <w:name w:val="List Paragraph"/>
    <w:basedOn w:val="Normal"/>
    <w:uiPriority w:val="34"/>
    <w:qFormat/>
    <w:rsid w:val="00A63D51"/>
    <w:pPr>
      <w:ind w:left="720"/>
      <w:contextualSpacing/>
    </w:pPr>
  </w:style>
  <w:style w:type="character" w:styleId="Hyperlink">
    <w:name w:val="Hyperlink"/>
    <w:basedOn w:val="DefaultParagraphFont"/>
    <w:uiPriority w:val="99"/>
    <w:unhideWhenUsed/>
    <w:rsid w:val="00A63D5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51"/>
    <w:pPr>
      <w:spacing w:before="280" w:after="280" w:line="360" w:lineRule="auto"/>
      <w:jc w:val="both"/>
    </w:pPr>
    <w:rPr>
      <w:rFonts w:ascii="Arial" w:eastAsia="Arial" w:hAnsi="Arial" w:cs="Arial"/>
      <w:lang w:val="en-GB"/>
    </w:rPr>
  </w:style>
  <w:style w:type="paragraph" w:styleId="Heading1">
    <w:name w:val="heading 1"/>
    <w:basedOn w:val="Normal"/>
    <w:next w:val="Normal"/>
    <w:link w:val="Heading1Char"/>
    <w:uiPriority w:val="9"/>
    <w:qFormat/>
    <w:rsid w:val="00A63D51"/>
    <w:pPr>
      <w:keepNext/>
      <w:keepLines/>
      <w:spacing w:line="240" w:lineRule="auto"/>
      <w:jc w:val="lef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63D51"/>
  </w:style>
  <w:style w:type="character" w:customStyle="1" w:styleId="Heading1Char">
    <w:name w:val="Heading 1 Char"/>
    <w:basedOn w:val="DefaultParagraphFont"/>
    <w:link w:val="Heading1"/>
    <w:uiPriority w:val="9"/>
    <w:rsid w:val="00A63D51"/>
    <w:rPr>
      <w:rFonts w:ascii="Arial" w:eastAsia="Arial" w:hAnsi="Arial" w:cs="Arial"/>
      <w:b/>
      <w:lang w:val="en-GB"/>
    </w:rPr>
  </w:style>
  <w:style w:type="paragraph" w:styleId="CommentText">
    <w:name w:val="annotation text"/>
    <w:basedOn w:val="Normal"/>
    <w:link w:val="CommentTextChar"/>
    <w:uiPriority w:val="99"/>
    <w:unhideWhenUsed/>
    <w:rsid w:val="00A63D51"/>
    <w:pPr>
      <w:spacing w:line="240" w:lineRule="auto"/>
    </w:pPr>
    <w:rPr>
      <w:sz w:val="20"/>
      <w:szCs w:val="20"/>
    </w:rPr>
  </w:style>
  <w:style w:type="character" w:customStyle="1" w:styleId="CommentTextChar">
    <w:name w:val="Comment Text Char"/>
    <w:basedOn w:val="DefaultParagraphFont"/>
    <w:link w:val="CommentText"/>
    <w:uiPriority w:val="99"/>
    <w:rsid w:val="00A63D51"/>
    <w:rPr>
      <w:rFonts w:ascii="Arial" w:eastAsia="Arial" w:hAnsi="Arial" w:cs="Arial"/>
      <w:sz w:val="20"/>
      <w:szCs w:val="20"/>
      <w:lang w:val="en-GB"/>
    </w:rPr>
  </w:style>
  <w:style w:type="paragraph" w:styleId="ListParagraph">
    <w:name w:val="List Paragraph"/>
    <w:basedOn w:val="Normal"/>
    <w:uiPriority w:val="34"/>
    <w:qFormat/>
    <w:rsid w:val="00A63D51"/>
    <w:pPr>
      <w:ind w:left="720"/>
      <w:contextualSpacing/>
    </w:pPr>
  </w:style>
  <w:style w:type="character" w:styleId="Hyperlink">
    <w:name w:val="Hyperlink"/>
    <w:basedOn w:val="DefaultParagraphFont"/>
    <w:uiPriority w:val="99"/>
    <w:unhideWhenUsed/>
    <w:rsid w:val="00A63D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036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elwan@le.ac.uk" TargetMode="External"/><Relationship Id="rId7" Type="http://schemas.openxmlformats.org/officeDocument/2006/relationships/hyperlink" Target="mailto:alasdairmoffat@hotmail.com" TargetMode="External"/><Relationship Id="rId8" Type="http://schemas.openxmlformats.org/officeDocument/2006/relationships/hyperlink" Target="mailto:dsdarbyshire@doctors.org.uk" TargetMode="External"/><Relationship Id="rId9" Type="http://schemas.openxmlformats.org/officeDocument/2006/relationships/hyperlink" Target="https://pubs.rsna.org/doi/abs/10.1148/radiol.2020203557" TargetMode="External"/><Relationship Id="rId10" Type="http://schemas.openxmlformats.org/officeDocument/2006/relationships/hyperlink" Target="https://doi.org/10.1148/radiol.2020203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2217</Words>
  <Characters>12638</Characters>
  <Application>Microsoft Macintosh Word</Application>
  <DocSecurity>0</DocSecurity>
  <Lines>105</Lines>
  <Paragraphs>29</Paragraphs>
  <ScaleCrop>false</ScaleCrop>
  <Company/>
  <LinksUpToDate>false</LinksUpToDate>
  <CharactersWithSpaces>14826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3</cp:revision>
  <dcterms:created xsi:type="dcterms:W3CDTF">2021-03-26T13:50:00Z</dcterms:created>
  <dcterms:modified xsi:type="dcterms:W3CDTF">2021-03-26T14:00:00Z</dcterms:modified>
</cp:coreProperties>
</file>