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364C" w14:textId="5267E56D" w:rsidR="007377D3" w:rsidRPr="007F47EC" w:rsidRDefault="007377D3" w:rsidP="007F47EC">
      <w:pPr>
        <w:pBdr>
          <w:top w:val="nil"/>
          <w:left w:val="nil"/>
          <w:bottom w:val="nil"/>
          <w:right w:val="nil"/>
          <w:between w:val="nil"/>
        </w:pBdr>
        <w:spacing w:line="480" w:lineRule="auto"/>
        <w:rPr>
          <w:b/>
          <w:color w:val="000000"/>
        </w:rPr>
      </w:pPr>
      <w:r w:rsidRPr="007F47EC">
        <w:rPr>
          <w:b/>
          <w:color w:val="000000"/>
        </w:rPr>
        <w:t>Special section</w:t>
      </w:r>
    </w:p>
    <w:p w14:paraId="126DA0BE" w14:textId="056004D6" w:rsidR="007377D3" w:rsidRPr="007F47EC" w:rsidRDefault="007377D3" w:rsidP="007F47EC">
      <w:pPr>
        <w:pBdr>
          <w:top w:val="nil"/>
          <w:left w:val="nil"/>
          <w:bottom w:val="nil"/>
          <w:right w:val="nil"/>
          <w:between w:val="nil"/>
        </w:pBdr>
        <w:spacing w:line="480" w:lineRule="auto"/>
        <w:rPr>
          <w:b/>
          <w:color w:val="000000"/>
        </w:rPr>
      </w:pPr>
      <w:r w:rsidRPr="007F47EC">
        <w:rPr>
          <w:b/>
          <w:color w:val="000000"/>
        </w:rPr>
        <w:t>Introduction</w:t>
      </w:r>
    </w:p>
    <w:p w14:paraId="6A05FF37" w14:textId="6608E52E" w:rsidR="0076420D" w:rsidRDefault="00B679EB" w:rsidP="007F47EC">
      <w:pPr>
        <w:pBdr>
          <w:top w:val="nil"/>
          <w:left w:val="nil"/>
          <w:bottom w:val="nil"/>
          <w:right w:val="nil"/>
          <w:between w:val="nil"/>
        </w:pBdr>
        <w:spacing w:line="480" w:lineRule="auto"/>
        <w:rPr>
          <w:b/>
          <w:iCs/>
          <w:color w:val="000000"/>
        </w:rPr>
      </w:pPr>
      <w:r w:rsidRPr="007F47EC">
        <w:rPr>
          <w:b/>
          <w:iCs/>
          <w:color w:val="000000"/>
        </w:rPr>
        <w:t>Unruly Landscapes</w:t>
      </w:r>
    </w:p>
    <w:p w14:paraId="1FF96D06" w14:textId="0D78B009" w:rsidR="00B679EB" w:rsidRPr="004C6C5D" w:rsidRDefault="00B679EB" w:rsidP="007F47EC">
      <w:pPr>
        <w:pBdr>
          <w:top w:val="nil"/>
          <w:left w:val="nil"/>
          <w:bottom w:val="nil"/>
          <w:right w:val="nil"/>
          <w:between w:val="nil"/>
        </w:pBdr>
        <w:spacing w:line="480" w:lineRule="auto"/>
        <w:rPr>
          <w:bCs/>
          <w:iCs/>
          <w:color w:val="000000"/>
          <w:lang w:val="it-IT"/>
        </w:rPr>
      </w:pPr>
      <w:proofErr w:type="spellStart"/>
      <w:r w:rsidRPr="004C6C5D">
        <w:rPr>
          <w:bCs/>
          <w:iCs/>
          <w:color w:val="000000"/>
          <w:lang w:val="it-IT"/>
        </w:rPr>
        <w:t>Mobility</w:t>
      </w:r>
      <w:proofErr w:type="spellEnd"/>
      <w:r w:rsidRPr="004C6C5D">
        <w:rPr>
          <w:bCs/>
          <w:iCs/>
          <w:color w:val="000000"/>
          <w:lang w:val="it-IT"/>
        </w:rPr>
        <w:t xml:space="preserve">, </w:t>
      </w:r>
      <w:proofErr w:type="spellStart"/>
      <w:r w:rsidRPr="004C6C5D">
        <w:rPr>
          <w:bCs/>
          <w:iCs/>
          <w:color w:val="000000"/>
          <w:lang w:val="it-IT"/>
        </w:rPr>
        <w:t>Transience</w:t>
      </w:r>
      <w:proofErr w:type="spellEnd"/>
      <w:r w:rsidRPr="004C6C5D">
        <w:rPr>
          <w:bCs/>
          <w:iCs/>
          <w:color w:val="000000"/>
          <w:lang w:val="it-IT"/>
        </w:rPr>
        <w:t xml:space="preserve">, and </w:t>
      </w:r>
      <w:proofErr w:type="spellStart"/>
      <w:r w:rsidRPr="004C6C5D">
        <w:rPr>
          <w:bCs/>
          <w:iCs/>
          <w:color w:val="000000"/>
          <w:lang w:val="it-IT"/>
        </w:rPr>
        <w:t>Transformation</w:t>
      </w:r>
      <w:proofErr w:type="spellEnd"/>
    </w:p>
    <w:p w14:paraId="17B79423" w14:textId="410138E6" w:rsidR="00D24BC0" w:rsidRPr="006E445F" w:rsidRDefault="00C625E7" w:rsidP="007F47EC">
      <w:pPr>
        <w:spacing w:line="480" w:lineRule="auto"/>
        <w:rPr>
          <w:bCs/>
          <w:i/>
          <w:iCs/>
          <w:lang w:val="it-IT"/>
        </w:rPr>
      </w:pPr>
      <w:r w:rsidRPr="006E445F">
        <w:rPr>
          <w:bCs/>
          <w:i/>
          <w:iCs/>
          <w:lang w:val="it-IT"/>
        </w:rPr>
        <w:t>Lynne Pearce, Chiara Rabbiosi, Giada Peterle, Laura Lo Presti</w:t>
      </w:r>
      <w:r w:rsidR="00FF7DCA">
        <w:rPr>
          <w:bCs/>
          <w:i/>
          <w:iCs/>
          <w:lang w:val="it-IT"/>
        </w:rPr>
        <w:t>,</w:t>
      </w:r>
      <w:r w:rsidR="006E445F" w:rsidRPr="006E445F">
        <w:rPr>
          <w:bCs/>
          <w:i/>
          <w:iCs/>
          <w:lang w:val="it-IT"/>
        </w:rPr>
        <w:t xml:space="preserve"> </w:t>
      </w:r>
      <w:r w:rsidR="006E445F">
        <w:rPr>
          <w:bCs/>
          <w:i/>
          <w:iCs/>
          <w:lang w:val="it-IT"/>
        </w:rPr>
        <w:t>and</w:t>
      </w:r>
      <w:r w:rsidRPr="006E445F">
        <w:rPr>
          <w:bCs/>
          <w:i/>
          <w:iCs/>
          <w:lang w:val="it-IT"/>
        </w:rPr>
        <w:t xml:space="preserve"> </w:t>
      </w:r>
      <w:r w:rsidR="00D24BC0" w:rsidRPr="006E445F">
        <w:rPr>
          <w:bCs/>
          <w:i/>
          <w:iCs/>
          <w:lang w:val="it-IT"/>
        </w:rPr>
        <w:t>Margherita Cisani</w:t>
      </w:r>
    </w:p>
    <w:p w14:paraId="3ED835BA" w14:textId="2FF6B65B" w:rsidR="00B679EB" w:rsidRPr="006E445F" w:rsidRDefault="00B679EB" w:rsidP="007F47EC">
      <w:pPr>
        <w:pBdr>
          <w:top w:val="nil"/>
          <w:left w:val="nil"/>
          <w:bottom w:val="nil"/>
          <w:right w:val="nil"/>
          <w:between w:val="nil"/>
        </w:pBdr>
        <w:spacing w:line="480" w:lineRule="auto"/>
        <w:rPr>
          <w:b/>
          <w:color w:val="000000"/>
          <w:lang w:val="it-IT"/>
        </w:rPr>
      </w:pPr>
    </w:p>
    <w:p w14:paraId="1FAA5132" w14:textId="23E3141E" w:rsidR="00B679EB" w:rsidRPr="007F47EC" w:rsidRDefault="00B679EB" w:rsidP="007F47EC">
      <w:pPr>
        <w:pBdr>
          <w:top w:val="nil"/>
          <w:left w:val="nil"/>
          <w:bottom w:val="nil"/>
          <w:right w:val="nil"/>
          <w:between w:val="nil"/>
        </w:pBdr>
        <w:spacing w:line="480" w:lineRule="auto"/>
        <w:rPr>
          <w:color w:val="000000"/>
          <w:vertAlign w:val="superscript"/>
        </w:rPr>
      </w:pPr>
      <w:r w:rsidRPr="007F47EC">
        <w:rPr>
          <w:color w:val="000000"/>
        </w:rPr>
        <w:t>In June 2020, the Centre for Mobilities Research (CeMoRe) at the University of Lancaster (UK) and the Centre for Advanced Studies in Mobility &amp; Humanities (</w:t>
      </w:r>
      <w:proofErr w:type="spellStart"/>
      <w:r w:rsidRPr="007F47EC">
        <w:rPr>
          <w:color w:val="000000"/>
        </w:rPr>
        <w:t>MoHu</w:t>
      </w:r>
      <w:proofErr w:type="spellEnd"/>
      <w:r w:rsidRPr="007F47EC">
        <w:rPr>
          <w:color w:val="000000"/>
        </w:rPr>
        <w:t xml:space="preserve">) at the University of Padua (Italy) co-hosted an international conference on the theme of </w:t>
      </w:r>
      <w:r w:rsidR="007377D3" w:rsidRPr="007F47EC">
        <w:rPr>
          <w:color w:val="000000"/>
        </w:rPr>
        <w:t>“</w:t>
      </w:r>
      <w:r w:rsidRPr="007F47EC">
        <w:rPr>
          <w:color w:val="000000"/>
        </w:rPr>
        <w:t>Unruly Landscapes.</w:t>
      </w:r>
      <w:r w:rsidR="007377D3" w:rsidRPr="007F47EC">
        <w:rPr>
          <w:color w:val="000000"/>
        </w:rPr>
        <w:t>”</w:t>
      </w:r>
      <w:r w:rsidRPr="007F47EC">
        <w:rPr>
          <w:color w:val="000000"/>
        </w:rPr>
        <w:t xml:space="preserve"> As a result of the pandemic, the two-day event had to be moved online, but participants nevertheless enjoyed two days of inspiring discussion as the speakers engaged with the intersection of landscape and mobility from a variety of disciplines and approaches.</w:t>
      </w:r>
      <w:r w:rsidR="007F47EC">
        <w:rPr>
          <w:rStyle w:val="EndnoteReference"/>
          <w:color w:val="000000"/>
        </w:rPr>
        <w:endnoteReference w:id="1"/>
      </w:r>
    </w:p>
    <w:p w14:paraId="63F9BFFB" w14:textId="1DB3FD65" w:rsidR="00B679EB" w:rsidRPr="007F47EC" w:rsidRDefault="00B679EB" w:rsidP="00FF7DCA">
      <w:pPr>
        <w:pBdr>
          <w:top w:val="nil"/>
          <w:left w:val="nil"/>
          <w:bottom w:val="nil"/>
          <w:right w:val="nil"/>
          <w:between w:val="nil"/>
        </w:pBdr>
        <w:spacing w:line="480" w:lineRule="auto"/>
        <w:ind w:firstLine="708"/>
        <w:rPr>
          <w:color w:val="000000"/>
          <w:vertAlign w:val="superscript"/>
        </w:rPr>
      </w:pPr>
      <w:r w:rsidRPr="007F47EC">
        <w:rPr>
          <w:color w:val="000000"/>
        </w:rPr>
        <w:t xml:space="preserve">It was striking that this was a theme that attracted scholars from diverse scholarly and artistic communities, and we have attempted to reproduce the freshness of these dynamic, cross-disciplinary perspectives in the way we have grouped the articles here. Indeed, in order to maximize the diversity of the contributions, </w:t>
      </w:r>
      <w:r w:rsidRPr="007F47EC">
        <w:t>we sought</w:t>
      </w:r>
      <w:r w:rsidRPr="007F47EC">
        <w:rPr>
          <w:color w:val="000000"/>
        </w:rPr>
        <w:t xml:space="preserve"> approval from the </w:t>
      </w:r>
      <w:r w:rsidRPr="007F47EC">
        <w:rPr>
          <w:i/>
          <w:color w:val="000000"/>
        </w:rPr>
        <w:t>Transfers</w:t>
      </w:r>
      <w:r w:rsidRPr="007F47EC">
        <w:rPr>
          <w:color w:val="000000"/>
        </w:rPr>
        <w:t xml:space="preserve"> editors to publish </w:t>
      </w:r>
      <w:r w:rsidRPr="007F47EC">
        <w:rPr>
          <w:color w:val="000000" w:themeColor="text1"/>
        </w:rPr>
        <w:t xml:space="preserve">eleven </w:t>
      </w:r>
      <w:r w:rsidRPr="007F47EC">
        <w:rPr>
          <w:color w:val="000000"/>
        </w:rPr>
        <w:t xml:space="preserve">shorter articles of </w:t>
      </w:r>
      <w:r w:rsidR="00DE5AB6">
        <w:rPr>
          <w:color w:val="000000"/>
        </w:rPr>
        <w:t>five thousand</w:t>
      </w:r>
      <w:r w:rsidRPr="007F47EC">
        <w:rPr>
          <w:color w:val="000000"/>
        </w:rPr>
        <w:t xml:space="preserve"> words each across two special sections. We trust that readers of the journal will enjoy our purposefully </w:t>
      </w:r>
      <w:r w:rsidR="007377D3" w:rsidRPr="007F47EC">
        <w:rPr>
          <w:color w:val="000000"/>
        </w:rPr>
        <w:t>“</w:t>
      </w:r>
      <w:r w:rsidRPr="007F47EC">
        <w:rPr>
          <w:color w:val="000000"/>
        </w:rPr>
        <w:t>unruly</w:t>
      </w:r>
      <w:r w:rsidR="007377D3" w:rsidRPr="007F47EC">
        <w:rPr>
          <w:color w:val="000000"/>
        </w:rPr>
        <w:t>”</w:t>
      </w:r>
      <w:r w:rsidRPr="007F47EC">
        <w:rPr>
          <w:color w:val="000000"/>
        </w:rPr>
        <w:t xml:space="preserve"> juxtaposition of disciplines and approaches, including the different ways that our contributors have understood and conceptualized the mobile landscape. </w:t>
      </w:r>
      <w:r w:rsidRPr="007F47EC">
        <w:rPr>
          <w:color w:val="000000" w:themeColor="text1"/>
        </w:rPr>
        <w:t>However, both in our Introduction to Unruly Landscapes No. 1</w:t>
      </w:r>
      <w:r w:rsidRPr="007F47EC">
        <w:rPr>
          <w:color w:val="0079BF"/>
        </w:rPr>
        <w:t xml:space="preserve"> </w:t>
      </w:r>
      <w:r w:rsidRPr="007F47EC">
        <w:rPr>
          <w:color w:val="000000"/>
        </w:rPr>
        <w:t xml:space="preserve">and Unruly Landscapes No. 2, we have sought to make sense of what is going on in each article and to indicate how it contributes to the recent debates that most interest readers of this journal. We would also like to take this opportunity to thank Professor Tim Ingold for his </w:t>
      </w:r>
      <w:r w:rsidRPr="007F47EC">
        <w:rPr>
          <w:color w:val="000000"/>
        </w:rPr>
        <w:lastRenderedPageBreak/>
        <w:t xml:space="preserve">keynote lecture at the conference which spoke about his recent work on landscape as </w:t>
      </w:r>
      <w:r w:rsidR="007377D3" w:rsidRPr="007F47EC">
        <w:rPr>
          <w:color w:val="000000"/>
        </w:rPr>
        <w:t>“</w:t>
      </w:r>
      <w:r w:rsidRPr="007F47EC">
        <w:rPr>
          <w:color w:val="000000"/>
        </w:rPr>
        <w:t>palimpsest</w:t>
      </w:r>
      <w:r w:rsidR="007377D3" w:rsidRPr="007F47EC">
        <w:rPr>
          <w:color w:val="000000"/>
        </w:rPr>
        <w:t>”</w:t>
      </w:r>
      <w:r w:rsidR="007F47EC">
        <w:rPr>
          <w:rStyle w:val="EndnoteReference"/>
          <w:color w:val="000000"/>
        </w:rPr>
        <w:endnoteReference w:id="2"/>
      </w:r>
      <w:r w:rsidRPr="007F47EC">
        <w:rPr>
          <w:color w:val="000000"/>
        </w:rPr>
        <w:t xml:space="preserve">—as well as artist Jen Southern (Lancaster University) for allowing us to use her formulation of the </w:t>
      </w:r>
      <w:r w:rsidR="007377D3" w:rsidRPr="007F47EC">
        <w:rPr>
          <w:color w:val="000000"/>
        </w:rPr>
        <w:t>“</w:t>
      </w:r>
      <w:r w:rsidRPr="007F47EC">
        <w:rPr>
          <w:color w:val="000000"/>
        </w:rPr>
        <w:t>unruly</w:t>
      </w:r>
      <w:r w:rsidR="007377D3" w:rsidRPr="007F47EC">
        <w:rPr>
          <w:color w:val="000000"/>
        </w:rPr>
        <w:t>”</w:t>
      </w:r>
      <w:r w:rsidRPr="007F47EC">
        <w:rPr>
          <w:color w:val="000000"/>
        </w:rPr>
        <w:t xml:space="preserve"> for our event.</w:t>
      </w:r>
      <w:r w:rsidR="007F47EC">
        <w:rPr>
          <w:rStyle w:val="EndnoteReference"/>
          <w:color w:val="000000"/>
        </w:rPr>
        <w:endnoteReference w:id="3"/>
      </w:r>
    </w:p>
    <w:p w14:paraId="4B55A70F" w14:textId="77777777" w:rsidR="00B679EB" w:rsidRPr="007F47EC" w:rsidRDefault="00B679EB" w:rsidP="007F47EC">
      <w:pPr>
        <w:pBdr>
          <w:top w:val="nil"/>
          <w:left w:val="nil"/>
          <w:bottom w:val="nil"/>
          <w:right w:val="nil"/>
          <w:between w:val="nil"/>
        </w:pBdr>
        <w:spacing w:line="480" w:lineRule="auto"/>
        <w:rPr>
          <w:color w:val="000000"/>
          <w:vertAlign w:val="superscript"/>
        </w:rPr>
      </w:pPr>
    </w:p>
    <w:p w14:paraId="3A0EED89" w14:textId="7E85ED9E" w:rsidR="00B679EB" w:rsidRPr="007F47EC" w:rsidRDefault="00B679EB" w:rsidP="007F47EC">
      <w:pPr>
        <w:pBdr>
          <w:top w:val="nil"/>
          <w:left w:val="nil"/>
          <w:bottom w:val="nil"/>
          <w:right w:val="nil"/>
          <w:between w:val="nil"/>
        </w:pBdr>
        <w:spacing w:line="480" w:lineRule="auto"/>
        <w:rPr>
          <w:b/>
          <w:color w:val="000000"/>
        </w:rPr>
      </w:pPr>
      <w:r w:rsidRPr="007F47EC">
        <w:rPr>
          <w:b/>
          <w:color w:val="000000"/>
        </w:rPr>
        <w:t>Special Section 2: Unruly Landscapes No. 2</w:t>
      </w:r>
    </w:p>
    <w:p w14:paraId="088DBE08" w14:textId="088A198E" w:rsidR="007377D3" w:rsidRPr="007F47EC" w:rsidRDefault="00B679EB" w:rsidP="007F47EC">
      <w:pPr>
        <w:pBdr>
          <w:top w:val="nil"/>
          <w:left w:val="nil"/>
          <w:bottom w:val="nil"/>
          <w:right w:val="nil"/>
          <w:between w:val="nil"/>
        </w:pBdr>
        <w:spacing w:line="480" w:lineRule="auto"/>
        <w:rPr>
          <w:b/>
          <w:color w:val="000000"/>
        </w:rPr>
      </w:pPr>
      <w:r w:rsidRPr="007F47EC">
        <w:rPr>
          <w:color w:val="000000"/>
        </w:rPr>
        <w:t>In the Introduction to 12.1 we reflected on how recent theoretical trends in human geography have placed movement and mobility at the heart of how landscape is now defined and understood. This is in marked contrast to historical models with their origins in Romantic aesthetics which—as Tim Cresswell has observed—characteri</w:t>
      </w:r>
      <w:r w:rsidR="00FF7DCA">
        <w:rPr>
          <w:color w:val="000000"/>
        </w:rPr>
        <w:t>z</w:t>
      </w:r>
      <w:r w:rsidRPr="007F47EC">
        <w:rPr>
          <w:color w:val="000000"/>
        </w:rPr>
        <w:t xml:space="preserve">e landscape as </w:t>
      </w:r>
      <w:r w:rsidR="007377D3" w:rsidRPr="007F47EC">
        <w:rPr>
          <w:color w:val="000000"/>
        </w:rPr>
        <w:t>“</w:t>
      </w:r>
      <w:r w:rsidRPr="007F47EC">
        <w:rPr>
          <w:color w:val="000000"/>
        </w:rPr>
        <w:t>a portion of the earth</w:t>
      </w:r>
      <w:r w:rsidR="007377D3" w:rsidRPr="007F47EC">
        <w:rPr>
          <w:color w:val="000000"/>
        </w:rPr>
        <w:t>’</w:t>
      </w:r>
      <w:r w:rsidRPr="007F47EC">
        <w:rPr>
          <w:color w:val="000000"/>
        </w:rPr>
        <w:t>s surface that can be seen from one spot</w:t>
      </w:r>
      <w:r w:rsidR="007377D3" w:rsidRPr="007F47EC">
        <w:rPr>
          <w:color w:val="000000"/>
        </w:rPr>
        <w:t>”</w:t>
      </w:r>
      <w:r w:rsidRPr="007F47EC">
        <w:rPr>
          <w:color w:val="000000"/>
        </w:rPr>
        <w:t xml:space="preserve"> and also as </w:t>
      </w:r>
      <w:r w:rsidR="007377D3" w:rsidRPr="007F47EC">
        <w:rPr>
          <w:color w:val="000000"/>
        </w:rPr>
        <w:t>“</w:t>
      </w:r>
      <w:r w:rsidRPr="007F47EC">
        <w:rPr>
          <w:color w:val="000000"/>
        </w:rPr>
        <w:t>an intensely visual idea</w:t>
      </w:r>
      <w:r w:rsidR="007377D3" w:rsidRPr="007F47EC">
        <w:rPr>
          <w:color w:val="000000"/>
        </w:rPr>
        <w:t>”</w:t>
      </w:r>
      <w:r w:rsidRPr="007F47EC">
        <w:rPr>
          <w:color w:val="000000"/>
        </w:rPr>
        <w:t xml:space="preserve"> that the viewer remains </w:t>
      </w:r>
      <w:r w:rsidR="007377D3" w:rsidRPr="007F47EC">
        <w:rPr>
          <w:color w:val="000000"/>
        </w:rPr>
        <w:t>“</w:t>
      </w:r>
      <w:r w:rsidRPr="007F47EC">
        <w:rPr>
          <w:color w:val="000000"/>
        </w:rPr>
        <w:t>outside of</w:t>
      </w:r>
      <w:r w:rsidR="00DE5AB6">
        <w:rPr>
          <w:color w:val="000000"/>
        </w:rPr>
        <w:t>.</w:t>
      </w:r>
      <w:r w:rsidR="007377D3" w:rsidRPr="007F47EC">
        <w:rPr>
          <w:color w:val="000000"/>
        </w:rPr>
        <w:t>”</w:t>
      </w:r>
      <w:r w:rsidR="007F47EC">
        <w:rPr>
          <w:rStyle w:val="EndnoteReference"/>
          <w:color w:val="000000"/>
        </w:rPr>
        <w:endnoteReference w:id="4"/>
      </w:r>
      <w:r w:rsidRPr="007F47EC">
        <w:rPr>
          <w:color w:val="000000"/>
        </w:rPr>
        <w:t xml:space="preserve"> By contrast, a wide spectrum of theoretical approaches</w:t>
      </w:r>
      <w:r w:rsidR="007F47EC">
        <w:rPr>
          <w:rStyle w:val="EndnoteReference"/>
          <w:color w:val="000000"/>
        </w:rPr>
        <w:endnoteReference w:id="5"/>
      </w:r>
      <w:r w:rsidRPr="007F47EC">
        <w:rPr>
          <w:color w:val="000000"/>
        </w:rPr>
        <w:t xml:space="preserve"> have now been enlisted to show that not only is landscape processual (i.e., in a constant state of flux and becoming) but also that human subjects can experience it </w:t>
      </w:r>
      <w:r w:rsidR="007377D3" w:rsidRPr="007F47EC">
        <w:rPr>
          <w:color w:val="000000"/>
        </w:rPr>
        <w:t>“</w:t>
      </w:r>
      <w:r w:rsidRPr="007F47EC">
        <w:rPr>
          <w:color w:val="000000"/>
        </w:rPr>
        <w:t>from the inside</w:t>
      </w:r>
      <w:r w:rsidR="007377D3" w:rsidRPr="007F47EC">
        <w:rPr>
          <w:color w:val="000000"/>
        </w:rPr>
        <w:t>”</w:t>
      </w:r>
      <w:r w:rsidRPr="007F47EC">
        <w:rPr>
          <w:color w:val="000000"/>
        </w:rPr>
        <w:t xml:space="preserve"> and through practical engagement</w:t>
      </w:r>
      <w:r w:rsidR="007F47EC">
        <w:rPr>
          <w:rStyle w:val="EndnoteReference"/>
          <w:color w:val="000000"/>
        </w:rPr>
        <w:endnoteReference w:id="6"/>
      </w:r>
      <w:r w:rsidRPr="007F47EC">
        <w:rPr>
          <w:color w:val="000000"/>
          <w:vertAlign w:val="superscript"/>
        </w:rPr>
        <w:t xml:space="preserve"> </w:t>
      </w:r>
      <w:r w:rsidRPr="007F47EC">
        <w:rPr>
          <w:color w:val="000000"/>
        </w:rPr>
        <w:t>in a multi-sensory way. A consequence of this, however, is that landscape has become an increasingly mobile and slippery concept to work with, not least because so many of the qualities and practices that have</w:t>
      </w:r>
      <w:r w:rsidR="00DE5AB6">
        <w:rPr>
          <w:color w:val="000000"/>
        </w:rPr>
        <w:t xml:space="preserve"> been</w:t>
      </w:r>
      <w:r w:rsidRPr="007F47EC">
        <w:rPr>
          <w:color w:val="000000"/>
        </w:rPr>
        <w:t xml:space="preserve"> redefined are the same as those geographers employ to understand </w:t>
      </w:r>
      <w:r w:rsidR="00FF7DCA">
        <w:rPr>
          <w:color w:val="000000"/>
        </w:rPr>
        <w:t>“</w:t>
      </w:r>
      <w:r w:rsidRPr="007F47EC">
        <w:rPr>
          <w:color w:val="000000"/>
        </w:rPr>
        <w:t>place.</w:t>
      </w:r>
      <w:r w:rsidR="00FF7DCA">
        <w:rPr>
          <w:color w:val="000000"/>
        </w:rPr>
        <w:t>”</w:t>
      </w:r>
      <w:r w:rsidR="007F47EC">
        <w:rPr>
          <w:rStyle w:val="EndnoteReference"/>
          <w:color w:val="000000"/>
        </w:rPr>
        <w:endnoteReference w:id="7"/>
      </w:r>
    </w:p>
    <w:p w14:paraId="0F6CE62A" w14:textId="2CC48EC0" w:rsidR="00B679EB" w:rsidRPr="007F47EC" w:rsidRDefault="00B679EB" w:rsidP="00FF7DCA">
      <w:pPr>
        <w:pBdr>
          <w:top w:val="nil"/>
          <w:left w:val="nil"/>
          <w:bottom w:val="nil"/>
          <w:right w:val="nil"/>
          <w:between w:val="nil"/>
        </w:pBdr>
        <w:spacing w:line="480" w:lineRule="auto"/>
        <w:ind w:firstLine="708"/>
        <w:rPr>
          <w:color w:val="000000"/>
        </w:rPr>
      </w:pPr>
      <w:r w:rsidRPr="007F47EC">
        <w:rPr>
          <w:color w:val="000000"/>
        </w:rPr>
        <w:t xml:space="preserve">As noted in the Introduction to 12.1, the </w:t>
      </w:r>
      <w:r w:rsidR="00DE5AB6">
        <w:rPr>
          <w:color w:val="000000"/>
        </w:rPr>
        <w:t>articles</w:t>
      </w:r>
      <w:r w:rsidR="00DE5AB6" w:rsidRPr="007F47EC">
        <w:rPr>
          <w:color w:val="000000"/>
        </w:rPr>
        <w:t xml:space="preserve"> </w:t>
      </w:r>
      <w:r w:rsidRPr="007F47EC">
        <w:rPr>
          <w:color w:val="000000"/>
        </w:rPr>
        <w:t xml:space="preserve">gathered here certainly engage with the concept of landscape in a contemporary, expansive way—with a particular focus on embodied, practiced and multi-sensory engagements with the environment in question. Landscape is rarely construed as the </w:t>
      </w:r>
      <w:r w:rsidR="007377D3" w:rsidRPr="007F47EC">
        <w:rPr>
          <w:color w:val="000000"/>
        </w:rPr>
        <w:t>“</w:t>
      </w:r>
      <w:r w:rsidRPr="007F47EC">
        <w:rPr>
          <w:color w:val="000000"/>
        </w:rPr>
        <w:t>object</w:t>
      </w:r>
      <w:r w:rsidR="007377D3" w:rsidRPr="007F47EC">
        <w:rPr>
          <w:color w:val="000000"/>
        </w:rPr>
        <w:t>”</w:t>
      </w:r>
      <w:r w:rsidRPr="007F47EC">
        <w:rPr>
          <w:color w:val="000000"/>
        </w:rPr>
        <w:t xml:space="preserve"> of the gaze of an </w:t>
      </w:r>
      <w:r w:rsidR="007377D3" w:rsidRPr="007F47EC">
        <w:rPr>
          <w:color w:val="000000"/>
        </w:rPr>
        <w:t>“</w:t>
      </w:r>
      <w:r w:rsidRPr="007F47EC">
        <w:rPr>
          <w:color w:val="000000"/>
        </w:rPr>
        <w:t>external</w:t>
      </w:r>
      <w:r w:rsidR="007377D3" w:rsidRPr="007F47EC">
        <w:rPr>
          <w:color w:val="000000"/>
        </w:rPr>
        <w:t>”</w:t>
      </w:r>
      <w:r w:rsidRPr="007F47EC">
        <w:rPr>
          <w:color w:val="000000"/>
        </w:rPr>
        <w:t xml:space="preserve"> viewer, although this way of seeing is sometimes implicitly critiqued</w:t>
      </w:r>
      <w:r w:rsidR="00DE5AB6">
        <w:rPr>
          <w:color w:val="000000"/>
        </w:rPr>
        <w:t>,</w:t>
      </w:r>
      <w:r w:rsidRPr="007F47EC">
        <w:rPr>
          <w:color w:val="000000"/>
        </w:rPr>
        <w:t xml:space="preserve"> as i</w:t>
      </w:r>
      <w:r w:rsidR="00DE5AB6">
        <w:rPr>
          <w:color w:val="000000"/>
        </w:rPr>
        <w:t>n</w:t>
      </w:r>
      <w:r w:rsidRPr="007F47EC">
        <w:rPr>
          <w:color w:val="000000"/>
        </w:rPr>
        <w:t xml:space="preserve"> Mary Gearey</w:t>
      </w:r>
      <w:r w:rsidR="007377D3" w:rsidRPr="007F47EC">
        <w:rPr>
          <w:color w:val="000000"/>
        </w:rPr>
        <w:t>’</w:t>
      </w:r>
      <w:r w:rsidRPr="007F47EC">
        <w:rPr>
          <w:color w:val="000000"/>
        </w:rPr>
        <w:t xml:space="preserve">s article (following), which contrasts the </w:t>
      </w:r>
      <w:r w:rsidR="007377D3" w:rsidRPr="007F47EC">
        <w:rPr>
          <w:color w:val="000000"/>
        </w:rPr>
        <w:t>“</w:t>
      </w:r>
      <w:r w:rsidRPr="007F47EC">
        <w:rPr>
          <w:color w:val="000000"/>
        </w:rPr>
        <w:t>immersive</w:t>
      </w:r>
      <w:r w:rsidR="00DE5AB6">
        <w:rPr>
          <w:color w:val="000000"/>
        </w:rPr>
        <w:t>,</w:t>
      </w:r>
      <w:r w:rsidR="007377D3" w:rsidRPr="007F47EC">
        <w:rPr>
          <w:color w:val="000000"/>
        </w:rPr>
        <w:t>”</w:t>
      </w:r>
      <w:r w:rsidRPr="007F47EC">
        <w:rPr>
          <w:color w:val="000000"/>
        </w:rPr>
        <w:t xml:space="preserve"> recreational ways in which people now engage with wetland landscapes with their </w:t>
      </w:r>
      <w:r w:rsidRPr="007F47EC">
        <w:rPr>
          <w:color w:val="000000"/>
        </w:rPr>
        <w:lastRenderedPageBreak/>
        <w:t xml:space="preserve">historical textual and discursive representation as a </w:t>
      </w:r>
      <w:r w:rsidR="007377D3" w:rsidRPr="007F47EC">
        <w:rPr>
          <w:color w:val="000000"/>
        </w:rPr>
        <w:t>“</w:t>
      </w:r>
      <w:r w:rsidRPr="007F47EC">
        <w:rPr>
          <w:color w:val="000000"/>
        </w:rPr>
        <w:t>delinquent space</w:t>
      </w:r>
      <w:r w:rsidR="007377D3" w:rsidRPr="007F47EC">
        <w:rPr>
          <w:color w:val="000000"/>
        </w:rPr>
        <w:t>”</w:t>
      </w:r>
      <w:r w:rsidRPr="007F47EC">
        <w:rPr>
          <w:color w:val="000000"/>
        </w:rPr>
        <w:t xml:space="preserve"> best viewed from a distance. Indeed, immersive landscape experiences of various kinds have emerged as one</w:t>
      </w:r>
      <w:r w:rsidR="00595BC9" w:rsidRPr="007F47EC">
        <w:rPr>
          <w:color w:val="000000"/>
        </w:rPr>
        <w:t xml:space="preserve"> of</w:t>
      </w:r>
      <w:r w:rsidRPr="007F47EC">
        <w:rPr>
          <w:color w:val="000000"/>
        </w:rPr>
        <w:t xml:space="preserve"> the defining features of the double special section as a whole; similarly, the means by which non-human phenomena (including transport infrastructures—e.g., roads, railways, tramways) are not merely situated </w:t>
      </w:r>
      <w:r w:rsidRPr="007F47EC">
        <w:rPr>
          <w:i/>
          <w:color w:val="000000"/>
        </w:rPr>
        <w:t>in</w:t>
      </w:r>
      <w:r w:rsidRPr="007F47EC">
        <w:rPr>
          <w:color w:val="000000"/>
        </w:rPr>
        <w:t xml:space="preserve"> the landscape but</w:t>
      </w:r>
      <w:r w:rsidRPr="007F47EC">
        <w:rPr>
          <w:i/>
          <w:color w:val="000000"/>
        </w:rPr>
        <w:t xml:space="preserve"> </w:t>
      </w:r>
      <w:r w:rsidRPr="007F47EC">
        <w:rPr>
          <w:color w:val="000000"/>
        </w:rPr>
        <w:t xml:space="preserve">are an integral </w:t>
      </w:r>
      <w:r w:rsidRPr="007F47EC">
        <w:rPr>
          <w:i/>
          <w:iCs/>
          <w:color w:val="000000"/>
        </w:rPr>
        <w:t>part of</w:t>
      </w:r>
      <w:r w:rsidRPr="007F47EC">
        <w:rPr>
          <w:color w:val="000000"/>
        </w:rPr>
        <w:t xml:space="preserve"> it. Hence, the popularity of terms such as </w:t>
      </w:r>
      <w:r w:rsidR="00FF7DCA">
        <w:rPr>
          <w:color w:val="000000"/>
        </w:rPr>
        <w:t>“</w:t>
      </w:r>
      <w:proofErr w:type="spellStart"/>
      <w:r w:rsidRPr="007F47EC">
        <w:rPr>
          <w:color w:val="000000"/>
        </w:rPr>
        <w:t>roadscape</w:t>
      </w:r>
      <w:proofErr w:type="spellEnd"/>
      <w:r w:rsidR="00FF7DCA">
        <w:rPr>
          <w:color w:val="000000"/>
        </w:rPr>
        <w:t>”</w:t>
      </w:r>
      <w:r w:rsidRPr="007F47EC">
        <w:rPr>
          <w:color w:val="000000"/>
        </w:rPr>
        <w:t xml:space="preserve"> (Moser, 12.1) and </w:t>
      </w:r>
      <w:r w:rsidR="00FF7DCA">
        <w:rPr>
          <w:color w:val="000000"/>
        </w:rPr>
        <w:t>“</w:t>
      </w:r>
      <w:proofErr w:type="spellStart"/>
      <w:r w:rsidRPr="007F47EC">
        <w:rPr>
          <w:color w:val="000000"/>
        </w:rPr>
        <w:t>tramscape</w:t>
      </w:r>
      <w:proofErr w:type="spellEnd"/>
      <w:r w:rsidR="00FF7DCA">
        <w:rPr>
          <w:color w:val="000000"/>
        </w:rPr>
        <w:t>”</w:t>
      </w:r>
      <w:r w:rsidRPr="007F47EC">
        <w:rPr>
          <w:color w:val="000000"/>
        </w:rPr>
        <w:t xml:space="preserve"> (Finch, 12.1).</w:t>
      </w:r>
    </w:p>
    <w:p w14:paraId="3C2CFE87" w14:textId="797B196C" w:rsidR="007377D3" w:rsidRPr="007F47EC" w:rsidRDefault="00B679EB" w:rsidP="00FF7DCA">
      <w:pPr>
        <w:pBdr>
          <w:top w:val="nil"/>
          <w:left w:val="nil"/>
          <w:bottom w:val="nil"/>
          <w:right w:val="nil"/>
          <w:between w:val="nil"/>
        </w:pBdr>
        <w:spacing w:line="480" w:lineRule="auto"/>
        <w:ind w:firstLine="708"/>
        <w:rPr>
          <w:color w:val="000000"/>
        </w:rPr>
      </w:pPr>
      <w:r w:rsidRPr="007F47EC">
        <w:rPr>
          <w:color w:val="000000"/>
        </w:rPr>
        <w:t>However, while it may</w:t>
      </w:r>
      <w:r w:rsidR="00DE5AB6">
        <w:rPr>
          <w:color w:val="000000"/>
        </w:rPr>
        <w:t xml:space="preserve"> be</w:t>
      </w:r>
      <w:r w:rsidRPr="007F47EC">
        <w:rPr>
          <w:color w:val="000000"/>
        </w:rPr>
        <w:t xml:space="preserve"> relatively easy to make the case for the role of movement and mobility in the production and experience of landscape, it is rather more difficult to evaluate what an informed knowledge of landscape offers mobilities scholarship. Tauri Tuvikene, in his </w:t>
      </w:r>
      <w:r w:rsidR="00DE5AB6">
        <w:rPr>
          <w:color w:val="000000"/>
        </w:rPr>
        <w:t>article</w:t>
      </w:r>
      <w:r w:rsidR="00DE5AB6" w:rsidRPr="007F47EC">
        <w:rPr>
          <w:color w:val="000000"/>
        </w:rPr>
        <w:t xml:space="preserve"> </w:t>
      </w:r>
      <w:r w:rsidRPr="007F47EC">
        <w:rPr>
          <w:color w:val="000000"/>
        </w:rPr>
        <w:t xml:space="preserve">(following) on an unfinished tram project in Estonia, provides one example by demonstrating how the concept of </w:t>
      </w:r>
      <w:r w:rsidR="007377D3" w:rsidRPr="007F47EC">
        <w:rPr>
          <w:color w:val="000000"/>
        </w:rPr>
        <w:t>“</w:t>
      </w:r>
      <w:r w:rsidRPr="007F47EC">
        <w:rPr>
          <w:color w:val="000000"/>
        </w:rPr>
        <w:t>absent presence</w:t>
      </w:r>
      <w:r w:rsidR="007377D3" w:rsidRPr="007F47EC">
        <w:rPr>
          <w:color w:val="000000"/>
        </w:rPr>
        <w:t>”</w:t>
      </w:r>
      <w:r w:rsidR="007F47EC">
        <w:rPr>
          <w:rStyle w:val="EndnoteReference"/>
          <w:color w:val="000000"/>
        </w:rPr>
        <w:endnoteReference w:id="8"/>
      </w:r>
      <w:r w:rsidRPr="007F47EC">
        <w:rPr>
          <w:color w:val="000000"/>
        </w:rPr>
        <w:t>—popular among cultural geographers—helps identify some of the more elusive ways in which communities are invested in transport systems and their infrastructures. Simply because such a feature disappears from a landscape—either suddenly or over time—it doesn</w:t>
      </w:r>
      <w:r w:rsidR="007377D3" w:rsidRPr="007F47EC">
        <w:rPr>
          <w:color w:val="000000"/>
        </w:rPr>
        <w:t>’</w:t>
      </w:r>
      <w:r w:rsidRPr="007F47EC">
        <w:rPr>
          <w:color w:val="000000"/>
        </w:rPr>
        <w:t>t mean that it is forgotten or ceases to play an orientating role in people</w:t>
      </w:r>
      <w:r w:rsidR="007377D3" w:rsidRPr="007F47EC">
        <w:rPr>
          <w:color w:val="000000"/>
        </w:rPr>
        <w:t>’</w:t>
      </w:r>
      <w:r w:rsidRPr="007F47EC">
        <w:rPr>
          <w:color w:val="000000"/>
        </w:rPr>
        <w:t>s everyday lives.</w:t>
      </w:r>
      <w:r w:rsidR="007F47EC">
        <w:rPr>
          <w:rStyle w:val="EndnoteReference"/>
          <w:color w:val="000000"/>
        </w:rPr>
        <w:endnoteReference w:id="9"/>
      </w:r>
      <w:r w:rsidRPr="007F47EC">
        <w:rPr>
          <w:color w:val="000000"/>
        </w:rPr>
        <w:t xml:space="preserve"> This recognition of the complex ways in which transport infrastructures figure in the community and in/as the landscapes shifts attention away from their mere utility. Similarly, for </w:t>
      </w:r>
      <w:r w:rsidR="00DE5AB6">
        <w:rPr>
          <w:color w:val="000000"/>
        </w:rPr>
        <w:t xml:space="preserve">Lorenzo </w:t>
      </w:r>
      <w:r w:rsidRPr="007F47EC">
        <w:rPr>
          <w:color w:val="000000"/>
        </w:rPr>
        <w:t xml:space="preserve">Bagnoli (following), the cultural significance of a transport system (in this case, the railway) is to be found in the wider mobility environment: in this case, the place names of stations. This </w:t>
      </w:r>
      <w:r w:rsidR="007377D3" w:rsidRPr="007F47EC">
        <w:rPr>
          <w:color w:val="000000"/>
        </w:rPr>
        <w:t>“</w:t>
      </w:r>
      <w:r w:rsidRPr="007F47EC">
        <w:rPr>
          <w:color w:val="000000"/>
        </w:rPr>
        <w:t>toponymical landscape</w:t>
      </w:r>
      <w:r w:rsidR="007377D3" w:rsidRPr="007F47EC">
        <w:rPr>
          <w:color w:val="000000"/>
        </w:rPr>
        <w:t>”</w:t>
      </w:r>
      <w:r w:rsidRPr="007F47EC">
        <w:rPr>
          <w:color w:val="000000"/>
        </w:rPr>
        <w:t xml:space="preserve"> reveals a complex politics behind who </w:t>
      </w:r>
      <w:r w:rsidR="007377D3" w:rsidRPr="007F47EC">
        <w:rPr>
          <w:color w:val="000000"/>
        </w:rPr>
        <w:t>“</w:t>
      </w:r>
      <w:r w:rsidRPr="007F47EC">
        <w:rPr>
          <w:color w:val="000000"/>
        </w:rPr>
        <w:t>owns</w:t>
      </w:r>
      <w:r w:rsidR="007377D3" w:rsidRPr="007F47EC">
        <w:rPr>
          <w:color w:val="000000"/>
        </w:rPr>
        <w:t>”</w:t>
      </w:r>
      <w:r w:rsidRPr="007F47EC">
        <w:rPr>
          <w:color w:val="000000"/>
        </w:rPr>
        <w:t xml:space="preserve"> the place-identity of the locations through which the trains and their travelers pass.</w:t>
      </w:r>
    </w:p>
    <w:p w14:paraId="197B9325" w14:textId="21F8AE10" w:rsidR="00B679EB" w:rsidRPr="007F47EC" w:rsidRDefault="00B679EB" w:rsidP="00FF7DCA">
      <w:pPr>
        <w:pBdr>
          <w:top w:val="nil"/>
          <w:left w:val="nil"/>
          <w:bottom w:val="nil"/>
          <w:right w:val="nil"/>
          <w:between w:val="nil"/>
        </w:pBdr>
        <w:spacing w:line="480" w:lineRule="auto"/>
        <w:ind w:firstLine="708"/>
        <w:rPr>
          <w:color w:val="000000"/>
        </w:rPr>
      </w:pPr>
      <w:r w:rsidRPr="007F47EC">
        <w:rPr>
          <w:color w:val="000000"/>
        </w:rPr>
        <w:t xml:space="preserve">Another way in which a </w:t>
      </w:r>
      <w:r w:rsidR="007377D3" w:rsidRPr="007F47EC">
        <w:rPr>
          <w:color w:val="000000"/>
        </w:rPr>
        <w:t>“</w:t>
      </w:r>
      <w:r w:rsidRPr="007F47EC">
        <w:rPr>
          <w:color w:val="000000"/>
        </w:rPr>
        <w:t>landscape approach</w:t>
      </w:r>
      <w:r w:rsidR="007377D3" w:rsidRPr="007F47EC">
        <w:rPr>
          <w:color w:val="000000"/>
        </w:rPr>
        <w:t>”</w:t>
      </w:r>
      <w:r w:rsidRPr="007F47EC">
        <w:rPr>
          <w:color w:val="000000"/>
        </w:rPr>
        <w:t xml:space="preserve"> (Tuvikene</w:t>
      </w:r>
      <w:r w:rsidR="00DE5AB6">
        <w:rPr>
          <w:color w:val="000000"/>
        </w:rPr>
        <w:t>,</w:t>
      </w:r>
      <w:r w:rsidRPr="007F47EC">
        <w:rPr>
          <w:color w:val="000000"/>
        </w:rPr>
        <w:t xml:space="preserve"> </w:t>
      </w:r>
      <w:r w:rsidR="00DE5AB6">
        <w:rPr>
          <w:color w:val="000000"/>
        </w:rPr>
        <w:t>this issue</w:t>
      </w:r>
      <w:r w:rsidRPr="007F47EC">
        <w:rPr>
          <w:color w:val="000000"/>
        </w:rPr>
        <w:t xml:space="preserve">) to mobility may prove instructive is by reminding us of the different elements (air, water, earth) which support mobility systems and in which mobile events occur. Although the mobilities studies field now </w:t>
      </w:r>
      <w:r w:rsidRPr="007F47EC">
        <w:rPr>
          <w:color w:val="000000"/>
        </w:rPr>
        <w:lastRenderedPageBreak/>
        <w:t>includes many publications on aviation and shipping as well as earth-bound mobilities, cultural geographers</w:t>
      </w:r>
      <w:r w:rsidR="007377D3" w:rsidRPr="007F47EC">
        <w:rPr>
          <w:color w:val="000000"/>
        </w:rPr>
        <w:t>’</w:t>
      </w:r>
      <w:r w:rsidRPr="007F47EC">
        <w:rPr>
          <w:color w:val="000000"/>
        </w:rPr>
        <w:t xml:space="preserve"> appreciation of the special qualities associated with the landscapes supported by these different elements further enrich</w:t>
      </w:r>
      <w:r w:rsidR="00DE5AB6">
        <w:rPr>
          <w:color w:val="000000"/>
        </w:rPr>
        <w:t>es</w:t>
      </w:r>
      <w:r w:rsidRPr="007F47EC">
        <w:rPr>
          <w:color w:val="000000"/>
        </w:rPr>
        <w:t xml:space="preserve"> our understanding of what is distinctive about them. Indeed, in his recent book, </w:t>
      </w:r>
      <w:r w:rsidRPr="007F47EC">
        <w:rPr>
          <w:i/>
          <w:color w:val="000000"/>
        </w:rPr>
        <w:t>Landscape, Materiality and Heritage</w:t>
      </w:r>
      <w:r w:rsidRPr="007F47EC">
        <w:rPr>
          <w:b/>
          <w:color w:val="000000"/>
        </w:rPr>
        <w:t xml:space="preserve"> </w:t>
      </w:r>
      <w:r w:rsidRPr="007F47EC">
        <w:rPr>
          <w:color w:val="000000"/>
        </w:rPr>
        <w:t>(2022),</w:t>
      </w:r>
      <w:r w:rsidR="007F47EC">
        <w:rPr>
          <w:rStyle w:val="EndnoteReference"/>
          <w:color w:val="000000"/>
        </w:rPr>
        <w:endnoteReference w:id="10"/>
      </w:r>
      <w:r w:rsidRPr="007F47EC">
        <w:rPr>
          <w:b/>
          <w:color w:val="000000"/>
        </w:rPr>
        <w:t xml:space="preserve"> </w:t>
      </w:r>
      <w:r w:rsidRPr="007F47EC">
        <w:rPr>
          <w:color w:val="000000"/>
        </w:rPr>
        <w:t xml:space="preserve">Tim Edensor reminds us that </w:t>
      </w:r>
      <w:r w:rsidR="007377D3" w:rsidRPr="007F47EC">
        <w:rPr>
          <w:color w:val="000000"/>
        </w:rPr>
        <w:t>“</w:t>
      </w:r>
      <w:r w:rsidRPr="007F47EC">
        <w:rPr>
          <w:color w:val="000000"/>
        </w:rPr>
        <w:t>an exclusive focus on the surface of the land</w:t>
      </w:r>
      <w:r w:rsidR="007377D3" w:rsidRPr="007F47EC">
        <w:rPr>
          <w:color w:val="000000"/>
        </w:rPr>
        <w:t>”</w:t>
      </w:r>
      <w:r w:rsidRPr="007F47EC">
        <w:rPr>
          <w:color w:val="000000"/>
        </w:rPr>
        <w:t xml:space="preserve"> has severely limited landscape studies in the past and invokes Tim Ingold</w:t>
      </w:r>
      <w:r w:rsidR="007377D3" w:rsidRPr="007F47EC">
        <w:rPr>
          <w:color w:val="000000"/>
        </w:rPr>
        <w:t>’</w:t>
      </w:r>
      <w:r w:rsidRPr="007F47EC">
        <w:rPr>
          <w:color w:val="000000"/>
        </w:rPr>
        <w:t xml:space="preserve">s concept of the land as a </w:t>
      </w:r>
      <w:r w:rsidR="007377D3" w:rsidRPr="007F47EC">
        <w:rPr>
          <w:color w:val="000000"/>
        </w:rPr>
        <w:t>“</w:t>
      </w:r>
      <w:r w:rsidRPr="007F47EC">
        <w:rPr>
          <w:color w:val="000000"/>
        </w:rPr>
        <w:t>zone of admixture and mingling</w:t>
      </w:r>
      <w:r w:rsidR="007377D3" w:rsidRPr="007F47EC">
        <w:rPr>
          <w:color w:val="000000"/>
        </w:rPr>
        <w:t>”</w:t>
      </w:r>
      <w:r w:rsidRPr="007F47EC">
        <w:rPr>
          <w:color w:val="000000"/>
        </w:rPr>
        <w:t xml:space="preserve"> in order to remind us that </w:t>
      </w:r>
      <w:r w:rsidR="007377D3" w:rsidRPr="007F47EC">
        <w:rPr>
          <w:color w:val="000000"/>
        </w:rPr>
        <w:t>“</w:t>
      </w:r>
      <w:r w:rsidRPr="007F47EC">
        <w:rPr>
          <w:color w:val="000000"/>
        </w:rPr>
        <w:t>water and air penetrate the earth</w:t>
      </w:r>
      <w:r w:rsidR="00DE5AB6">
        <w:rPr>
          <w:color w:val="000000"/>
        </w:rPr>
        <w:t>.</w:t>
      </w:r>
      <w:r w:rsidR="007377D3" w:rsidRPr="007F47EC">
        <w:rPr>
          <w:color w:val="000000"/>
        </w:rPr>
        <w:t>”</w:t>
      </w:r>
      <w:r w:rsidRPr="007F47EC">
        <w:rPr>
          <w:color w:val="000000"/>
        </w:rPr>
        <w:t xml:space="preserve"> In issue 12.1, Carolyn Deby</w:t>
      </w:r>
      <w:r w:rsidR="007377D3" w:rsidRPr="007F47EC">
        <w:rPr>
          <w:color w:val="000000"/>
        </w:rPr>
        <w:t>’</w:t>
      </w:r>
      <w:r w:rsidRPr="007F47EC">
        <w:rPr>
          <w:color w:val="000000"/>
        </w:rPr>
        <w:t xml:space="preserve">s </w:t>
      </w:r>
      <w:r w:rsidR="00DE5AB6">
        <w:rPr>
          <w:color w:val="000000"/>
        </w:rPr>
        <w:t>article</w:t>
      </w:r>
      <w:r w:rsidR="00DE5AB6" w:rsidRPr="007F47EC">
        <w:rPr>
          <w:color w:val="000000"/>
        </w:rPr>
        <w:t xml:space="preserve"> </w:t>
      </w:r>
      <w:r w:rsidRPr="007F47EC">
        <w:rPr>
          <w:color w:val="000000"/>
        </w:rPr>
        <w:t>(itself based upon an artwork)</w:t>
      </w:r>
      <w:r w:rsidR="00DE5AB6">
        <w:rPr>
          <w:color w:val="000000"/>
        </w:rPr>
        <w:t>,</w:t>
      </w:r>
      <w:r w:rsidRPr="007F47EC">
        <w:rPr>
          <w:color w:val="000000"/>
        </w:rPr>
        <w:t xml:space="preserve"> </w:t>
      </w:r>
      <w:r w:rsidR="007377D3" w:rsidRPr="007F47EC">
        <w:rPr>
          <w:color w:val="000000"/>
        </w:rPr>
        <w:t>“</w:t>
      </w:r>
      <w:r w:rsidRPr="007F47EC">
        <w:rPr>
          <w:color w:val="000000"/>
        </w:rPr>
        <w:t>Still/</w:t>
      </w:r>
      <w:r w:rsidR="00DE5AB6">
        <w:rPr>
          <w:color w:val="000000"/>
        </w:rPr>
        <w:t>W</w:t>
      </w:r>
      <w:r w:rsidRPr="007F47EC">
        <w:rPr>
          <w:color w:val="000000"/>
        </w:rPr>
        <w:t xml:space="preserve">e </w:t>
      </w:r>
      <w:r w:rsidR="00DE5AB6">
        <w:rPr>
          <w:color w:val="000000"/>
        </w:rPr>
        <w:t>N</w:t>
      </w:r>
      <w:r w:rsidRPr="007F47EC">
        <w:rPr>
          <w:color w:val="000000"/>
        </w:rPr>
        <w:t xml:space="preserve">oticed: </w:t>
      </w:r>
      <w:proofErr w:type="spellStart"/>
      <w:r w:rsidRPr="007F47EC">
        <w:rPr>
          <w:color w:val="000000"/>
        </w:rPr>
        <w:t>Lifeworlds</w:t>
      </w:r>
      <w:proofErr w:type="spellEnd"/>
      <w:r w:rsidRPr="007F47EC">
        <w:rPr>
          <w:color w:val="000000"/>
        </w:rPr>
        <w:t xml:space="preserve"> in </w:t>
      </w:r>
      <w:r w:rsidR="00DE5AB6">
        <w:rPr>
          <w:color w:val="000000"/>
        </w:rPr>
        <w:t>F</w:t>
      </w:r>
      <w:r w:rsidRPr="007F47EC">
        <w:rPr>
          <w:color w:val="000000"/>
        </w:rPr>
        <w:t>low</w:t>
      </w:r>
      <w:r w:rsidR="00DE5AB6">
        <w:rPr>
          <w:color w:val="000000"/>
        </w:rPr>
        <w:t>,</w:t>
      </w:r>
      <w:r w:rsidR="007377D3" w:rsidRPr="007F47EC">
        <w:rPr>
          <w:color w:val="000000"/>
        </w:rPr>
        <w:t>”</w:t>
      </w:r>
      <w:r w:rsidRPr="007F47EC">
        <w:rPr>
          <w:color w:val="000000"/>
        </w:rPr>
        <w:t xml:space="preserve"> immerses the reader/viewer in the aerial properties of the landscape by focusing our attention on birds and birdsong, while Nick Ferguson</w:t>
      </w:r>
      <w:r w:rsidR="007377D3" w:rsidRPr="007F47EC">
        <w:rPr>
          <w:color w:val="000000"/>
        </w:rPr>
        <w:t>’</w:t>
      </w:r>
      <w:r w:rsidRPr="007F47EC">
        <w:rPr>
          <w:color w:val="000000"/>
        </w:rPr>
        <w:t xml:space="preserve">s contribution to this volume achieves something similar, though with a disturbing twist. Once again, the reader is taken </w:t>
      </w:r>
      <w:r w:rsidR="007377D3" w:rsidRPr="007F47EC">
        <w:rPr>
          <w:color w:val="000000"/>
        </w:rPr>
        <w:t>“</w:t>
      </w:r>
      <w:r w:rsidRPr="007F47EC">
        <w:rPr>
          <w:color w:val="000000"/>
        </w:rPr>
        <w:t>into the air</w:t>
      </w:r>
      <w:r w:rsidR="00DE5AB6">
        <w:rPr>
          <w:color w:val="000000"/>
        </w:rPr>
        <w:t>,</w:t>
      </w:r>
      <w:r w:rsidR="007377D3" w:rsidRPr="007F47EC">
        <w:rPr>
          <w:color w:val="000000"/>
        </w:rPr>
        <w:t>”</w:t>
      </w:r>
      <w:r w:rsidRPr="007F47EC">
        <w:rPr>
          <w:color w:val="000000"/>
        </w:rPr>
        <w:t xml:space="preserve"> but this time via the wheel bay of a jet aircraft. As well as a space which has been known to transport vegetative matter from one continent to another, the wheel bay has also been used as a means of passage by migrants desperate to escape persecution—often with fatal consequences. By drawing out the sensory aspects of this extraordinary means of flight, Ferguson takes us deep into the extremity, and horror, of the experience. Through their art practice and associated writing techniques (informed, conceptually, by non-representational theory), both Deby and Ferguson help us understand airborne mobilities in innovative ways. Mary Gearey</w:t>
      </w:r>
      <w:r w:rsidR="007377D3" w:rsidRPr="007F47EC">
        <w:rPr>
          <w:color w:val="000000"/>
        </w:rPr>
        <w:t>’</w:t>
      </w:r>
      <w:r w:rsidRPr="007F47EC">
        <w:rPr>
          <w:color w:val="000000"/>
        </w:rPr>
        <w:t xml:space="preserve">s </w:t>
      </w:r>
      <w:r w:rsidR="00800C75">
        <w:rPr>
          <w:color w:val="000000"/>
        </w:rPr>
        <w:t>article</w:t>
      </w:r>
      <w:r w:rsidR="00800C75" w:rsidRPr="007F47EC">
        <w:rPr>
          <w:color w:val="000000"/>
        </w:rPr>
        <w:t xml:space="preserve"> </w:t>
      </w:r>
      <w:r w:rsidRPr="007F47EC">
        <w:rPr>
          <w:color w:val="000000"/>
        </w:rPr>
        <w:t xml:space="preserve">(also this issue), meanwhile, uses the watery landscape of the English </w:t>
      </w:r>
      <w:r w:rsidR="00800C75">
        <w:rPr>
          <w:color w:val="000000"/>
        </w:rPr>
        <w:t>w</w:t>
      </w:r>
      <w:r w:rsidRPr="007F47EC">
        <w:rPr>
          <w:color w:val="000000"/>
        </w:rPr>
        <w:t>etlands to explore a wide range of mobilities—human and non-human—that are unique to an environment that is a liminal space between sea and land.</w:t>
      </w:r>
    </w:p>
    <w:p w14:paraId="13C53530" w14:textId="0EA825ED" w:rsidR="00B679EB" w:rsidRPr="007F47EC" w:rsidRDefault="00B679EB" w:rsidP="00FF7DCA">
      <w:pPr>
        <w:pBdr>
          <w:top w:val="nil"/>
          <w:left w:val="nil"/>
          <w:bottom w:val="nil"/>
          <w:right w:val="nil"/>
          <w:between w:val="nil"/>
        </w:pBdr>
        <w:spacing w:line="480" w:lineRule="auto"/>
        <w:ind w:firstLine="708"/>
        <w:rPr>
          <w:color w:val="000000"/>
        </w:rPr>
      </w:pPr>
      <w:r w:rsidRPr="007F47EC">
        <w:rPr>
          <w:color w:val="000000"/>
        </w:rPr>
        <w:t>Finally, as many readers of this journal will be aware, geographical research on the role of temporality in the production and experience of landscapes (in particular th</w:t>
      </w:r>
      <w:r w:rsidR="00595BC9" w:rsidRPr="007F47EC">
        <w:rPr>
          <w:color w:val="000000"/>
        </w:rPr>
        <w:t>r</w:t>
      </w:r>
      <w:r w:rsidRPr="007F47EC">
        <w:rPr>
          <w:color w:val="000000"/>
        </w:rPr>
        <w:t xml:space="preserve">ough attention to </w:t>
      </w:r>
      <w:r w:rsidRPr="007F47EC">
        <w:rPr>
          <w:color w:val="000000"/>
        </w:rPr>
        <w:lastRenderedPageBreak/>
        <w:t>processes of repetition, rhythm</w:t>
      </w:r>
      <w:r w:rsidR="00800C75">
        <w:rPr>
          <w:color w:val="000000"/>
        </w:rPr>
        <w:t>,</w:t>
      </w:r>
      <w:r w:rsidRPr="007F47EC">
        <w:rPr>
          <w:color w:val="000000"/>
        </w:rPr>
        <w:t xml:space="preserve"> and routine)</w:t>
      </w:r>
      <w:r w:rsidR="007F47EC">
        <w:rPr>
          <w:rStyle w:val="EndnoteReference"/>
          <w:color w:val="000000"/>
        </w:rPr>
        <w:endnoteReference w:id="11"/>
      </w:r>
      <w:r w:rsidRPr="007F47EC">
        <w:rPr>
          <w:color w:val="000000"/>
        </w:rPr>
        <w:t xml:space="preserve"> has long enriched the way in which mobilities scholars think about mobile practices themselves. Tim Edensor</w:t>
      </w:r>
      <w:r w:rsidR="007377D3" w:rsidRPr="007F47EC">
        <w:rPr>
          <w:color w:val="000000"/>
        </w:rPr>
        <w:t>’</w:t>
      </w:r>
      <w:r w:rsidRPr="007F47EC">
        <w:rPr>
          <w:color w:val="000000"/>
        </w:rPr>
        <w:t>s work has been especially influential in this regard: his encounters with landscape and place always seek to capture the way in which the daily rhythms of the human and non-human world</w:t>
      </w:r>
      <w:r w:rsidR="00800C75">
        <w:rPr>
          <w:color w:val="000000"/>
        </w:rPr>
        <w:t>s</w:t>
      </w:r>
      <w:r w:rsidRPr="007F47EC">
        <w:rPr>
          <w:color w:val="000000"/>
        </w:rPr>
        <w:t xml:space="preserve"> are entangled as well as the way in which they are haunted by the mobilities of the past.</w:t>
      </w:r>
      <w:r w:rsidR="007F47EC">
        <w:rPr>
          <w:rStyle w:val="EndnoteReference"/>
          <w:color w:val="000000"/>
        </w:rPr>
        <w:endnoteReference w:id="12"/>
      </w:r>
      <w:r w:rsidRPr="007F47EC">
        <w:rPr>
          <w:color w:val="000000"/>
        </w:rPr>
        <w:t xml:space="preserve"> A similar sensitivity to </w:t>
      </w:r>
      <w:r w:rsidR="00800C75">
        <w:rPr>
          <w:color w:val="000000"/>
        </w:rPr>
        <w:t xml:space="preserve">the </w:t>
      </w:r>
      <w:r w:rsidRPr="007F47EC">
        <w:rPr>
          <w:color w:val="000000"/>
        </w:rPr>
        <w:t>way in which our everyday mobilities layer the rhythms of the past onto those of the present is to be found in Ira Hansen</w:t>
      </w:r>
      <w:r w:rsidR="007377D3" w:rsidRPr="007F47EC">
        <w:rPr>
          <w:color w:val="000000"/>
        </w:rPr>
        <w:t>’</w:t>
      </w:r>
      <w:r w:rsidRPr="007F47EC">
        <w:rPr>
          <w:color w:val="000000"/>
        </w:rPr>
        <w:t>s article on the novels of Paul Auster</w:t>
      </w:r>
      <w:r w:rsidR="00595BC9" w:rsidRPr="007F47EC">
        <w:rPr>
          <w:color w:val="000000"/>
        </w:rPr>
        <w:t xml:space="preserve"> (this issue)</w:t>
      </w:r>
      <w:r w:rsidRPr="007F47EC">
        <w:rPr>
          <w:color w:val="000000"/>
        </w:rPr>
        <w:t xml:space="preserve">; another example, then, of how theories and analytical methods that originated in geographical research focused on landscape and place have fed into an enriched understanding of mobility practices. Therefore, while—at first pass—it would seem easier to argue for how new attention to movement and mobility (across a broad spectrum of theories) transformed landscape research, the debt is most certainly reciprocal. Thinking about mobility practices in a landscape or, indeed, </w:t>
      </w:r>
      <w:r w:rsidRPr="007F47EC">
        <w:rPr>
          <w:i/>
          <w:color w:val="000000"/>
        </w:rPr>
        <w:t>as</w:t>
      </w:r>
      <w:r w:rsidRPr="007F47EC">
        <w:rPr>
          <w:color w:val="000000"/>
        </w:rPr>
        <w:t xml:space="preserve"> a landscape not only extends their cultural and affective significance but also helps us to better understand the spatial and temporal mechanisms by which we move or are moved.</w:t>
      </w:r>
    </w:p>
    <w:p w14:paraId="0F96343A" w14:textId="307149AE" w:rsidR="00B679EB" w:rsidRPr="007F47EC" w:rsidRDefault="00B679EB" w:rsidP="007F47EC">
      <w:pPr>
        <w:pBdr>
          <w:top w:val="nil"/>
          <w:left w:val="nil"/>
          <w:bottom w:val="nil"/>
          <w:right w:val="nil"/>
          <w:between w:val="nil"/>
        </w:pBdr>
        <w:spacing w:line="480" w:lineRule="auto"/>
        <w:rPr>
          <w:color w:val="000000"/>
        </w:rPr>
      </w:pPr>
    </w:p>
    <w:p w14:paraId="1F889FE7" w14:textId="4CF1BDC7" w:rsidR="00B679EB" w:rsidRPr="007F47EC" w:rsidRDefault="00B679EB" w:rsidP="007F47EC">
      <w:pPr>
        <w:pBdr>
          <w:top w:val="nil"/>
          <w:left w:val="nil"/>
          <w:bottom w:val="nil"/>
          <w:right w:val="nil"/>
          <w:between w:val="nil"/>
        </w:pBdr>
        <w:spacing w:line="480" w:lineRule="auto"/>
        <w:rPr>
          <w:b/>
          <w:color w:val="000000"/>
        </w:rPr>
      </w:pPr>
      <w:r w:rsidRPr="007F47EC">
        <w:rPr>
          <w:b/>
          <w:color w:val="000000"/>
        </w:rPr>
        <w:t>Notes</w:t>
      </w:r>
    </w:p>
    <w:sectPr w:rsidR="00B679EB" w:rsidRPr="007F47EC" w:rsidSect="007377D3">
      <w:endnotePr>
        <w:numFmt w:val="decimal"/>
      </w:endnotePr>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3140" w14:textId="77777777" w:rsidR="00C3555A" w:rsidRDefault="00C3555A" w:rsidP="007F47EC">
      <w:r>
        <w:separator/>
      </w:r>
    </w:p>
  </w:endnote>
  <w:endnote w:type="continuationSeparator" w:id="0">
    <w:p w14:paraId="0FFFFEFC" w14:textId="77777777" w:rsidR="00C3555A" w:rsidRDefault="00C3555A" w:rsidP="007F47EC">
      <w:r>
        <w:continuationSeparator/>
      </w:r>
    </w:p>
  </w:endnote>
  <w:endnote w:id="1">
    <w:p w14:paraId="59877985" w14:textId="2D447D90" w:rsidR="007F47EC" w:rsidRPr="00FF7DCA" w:rsidRDefault="007F47EC" w:rsidP="007F47EC">
      <w:pPr>
        <w:pBdr>
          <w:top w:val="nil"/>
          <w:left w:val="nil"/>
          <w:bottom w:val="nil"/>
          <w:right w:val="nil"/>
          <w:between w:val="nil"/>
        </w:pBdr>
        <w:spacing w:line="480" w:lineRule="auto"/>
        <w:rPr>
          <w:iCs/>
        </w:rPr>
      </w:pPr>
      <w:r w:rsidRPr="007F47EC">
        <w:rPr>
          <w:rStyle w:val="EndnoteReference"/>
          <w:vertAlign w:val="baseline"/>
        </w:rPr>
        <w:endnoteRef/>
      </w:r>
      <w:r>
        <w:t>.</w:t>
      </w:r>
      <w:r w:rsidRPr="007F47EC">
        <w:t xml:space="preserve"> </w:t>
      </w:r>
      <w:r w:rsidRPr="007F47EC">
        <w:rPr>
          <w:color w:val="000000"/>
        </w:rPr>
        <w:t xml:space="preserve">The book of abstracts and the video recordings of the colloquium are available at: </w:t>
      </w:r>
      <w:r w:rsidRPr="00FF7DCA">
        <w:rPr>
          <w:iCs/>
          <w:color w:val="000000"/>
        </w:rPr>
        <w:t>https://www.mobilityandhumanities.it/unruly-landscapes/</w:t>
      </w:r>
      <w:r w:rsidR="00FF7DCA">
        <w:rPr>
          <w:iCs/>
          <w:color w:val="000000"/>
        </w:rPr>
        <w:t>.</w:t>
      </w:r>
    </w:p>
  </w:endnote>
  <w:endnote w:id="2">
    <w:p w14:paraId="4E75CDCA" w14:textId="5B4B434E"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 xml:space="preserve">Ingold discusses the concept of the palimpsest in his recent essay collection, </w:t>
      </w:r>
      <w:r w:rsidRPr="007F47EC">
        <w:rPr>
          <w:i/>
          <w:color w:val="000000"/>
          <w:sz w:val="24"/>
          <w:szCs w:val="24"/>
        </w:rPr>
        <w:t>Correspondences</w:t>
      </w:r>
      <w:r w:rsidRPr="007F47EC">
        <w:rPr>
          <w:color w:val="000000"/>
          <w:sz w:val="24"/>
          <w:szCs w:val="24"/>
        </w:rPr>
        <w:t xml:space="preserve"> (Cambridge: Polity, 2021), 85–93.</w:t>
      </w:r>
    </w:p>
  </w:endnote>
  <w:endnote w:id="3">
    <w:p w14:paraId="7211B8C9" w14:textId="643B002B" w:rsidR="007F47EC" w:rsidRPr="00FF7DCA" w:rsidRDefault="007F47EC" w:rsidP="007F47EC">
      <w:pPr>
        <w:pStyle w:val="EndnoteText"/>
        <w:spacing w:line="480" w:lineRule="auto"/>
        <w:rPr>
          <w:iCs/>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 xml:space="preserve">See her research project </w:t>
      </w:r>
      <w:r w:rsidR="00FF7DCA">
        <w:rPr>
          <w:color w:val="000000"/>
          <w:sz w:val="24"/>
          <w:szCs w:val="24"/>
        </w:rPr>
        <w:t>“</w:t>
      </w:r>
      <w:r w:rsidRPr="007F47EC">
        <w:rPr>
          <w:color w:val="000000"/>
          <w:sz w:val="24"/>
          <w:szCs w:val="24"/>
        </w:rPr>
        <w:t>Unruly Pitch</w:t>
      </w:r>
      <w:r w:rsidR="00FF7DCA">
        <w:rPr>
          <w:color w:val="000000"/>
          <w:sz w:val="24"/>
          <w:szCs w:val="24"/>
        </w:rPr>
        <w:t>”</w:t>
      </w:r>
      <w:r w:rsidRPr="007F47EC">
        <w:rPr>
          <w:color w:val="000000"/>
          <w:sz w:val="24"/>
          <w:szCs w:val="24"/>
        </w:rPr>
        <w:t xml:space="preserve"> (2015): </w:t>
      </w:r>
      <w:r w:rsidRPr="00FF7DCA">
        <w:rPr>
          <w:iCs/>
          <w:color w:val="000000"/>
          <w:sz w:val="24"/>
          <w:szCs w:val="24"/>
        </w:rPr>
        <w:t>https://www.research.lancs.ac.uk/research/projects/unrulypitch</w:t>
      </w:r>
      <w:r w:rsidR="00FF7DCA">
        <w:rPr>
          <w:iCs/>
          <w:color w:val="000000"/>
          <w:sz w:val="24"/>
          <w:szCs w:val="24"/>
        </w:rPr>
        <w:t>.</w:t>
      </w:r>
    </w:p>
  </w:endnote>
  <w:endnote w:id="4">
    <w:p w14:paraId="4361BC5F" w14:textId="031BFCAD"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 xml:space="preserve">Tim Cresswell, </w:t>
      </w:r>
      <w:r w:rsidRPr="007F47EC">
        <w:rPr>
          <w:i/>
          <w:color w:val="000000"/>
          <w:sz w:val="24"/>
          <w:szCs w:val="24"/>
        </w:rPr>
        <w:t xml:space="preserve">Place: An Introduction </w:t>
      </w:r>
      <w:r w:rsidRPr="007F47EC">
        <w:rPr>
          <w:color w:val="000000"/>
          <w:sz w:val="24"/>
          <w:szCs w:val="24"/>
        </w:rPr>
        <w:t>(</w:t>
      </w:r>
      <w:r w:rsidR="00FF7DCA">
        <w:rPr>
          <w:color w:val="000000"/>
          <w:sz w:val="24"/>
          <w:szCs w:val="24"/>
        </w:rPr>
        <w:t>2</w:t>
      </w:r>
      <w:r w:rsidRPr="007F47EC">
        <w:rPr>
          <w:color w:val="000000"/>
          <w:sz w:val="24"/>
          <w:szCs w:val="24"/>
        </w:rPr>
        <w:t xml:space="preserve">nd </w:t>
      </w:r>
      <w:r w:rsidR="00FF7DCA">
        <w:rPr>
          <w:color w:val="000000"/>
          <w:sz w:val="24"/>
          <w:szCs w:val="24"/>
        </w:rPr>
        <w:t>e</w:t>
      </w:r>
      <w:r w:rsidRPr="007F47EC">
        <w:rPr>
          <w:color w:val="000000"/>
          <w:sz w:val="24"/>
          <w:szCs w:val="24"/>
        </w:rPr>
        <w:t>dition) (Oxford: Wiley Blackwell, 2015), 17.</w:t>
      </w:r>
    </w:p>
  </w:endnote>
  <w:endnote w:id="5">
    <w:p w14:paraId="0C3C65E1" w14:textId="46825487"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Phenomenology: e.g.</w:t>
      </w:r>
      <w:r w:rsidR="00DE5AB6">
        <w:rPr>
          <w:color w:val="000000"/>
          <w:sz w:val="24"/>
          <w:szCs w:val="24"/>
        </w:rPr>
        <w:t>,</w:t>
      </w:r>
      <w:r w:rsidRPr="007F47EC">
        <w:rPr>
          <w:color w:val="000000"/>
          <w:sz w:val="24"/>
          <w:szCs w:val="24"/>
        </w:rPr>
        <w:t xml:space="preserve"> </w:t>
      </w:r>
      <w:r w:rsidR="00FF7DCA">
        <w:rPr>
          <w:color w:val="000000"/>
          <w:sz w:val="24"/>
          <w:szCs w:val="24"/>
        </w:rPr>
        <w:t xml:space="preserve">Maurice </w:t>
      </w:r>
      <w:r w:rsidRPr="007F47EC">
        <w:rPr>
          <w:color w:val="000000"/>
          <w:sz w:val="24"/>
          <w:szCs w:val="24"/>
        </w:rPr>
        <w:t xml:space="preserve">Merleau-Ponty, </w:t>
      </w:r>
      <w:r w:rsidRPr="007F47EC">
        <w:rPr>
          <w:i/>
          <w:color w:val="000000"/>
          <w:sz w:val="24"/>
          <w:szCs w:val="24"/>
        </w:rPr>
        <w:t>The Phenomenology of Perception</w:t>
      </w:r>
      <w:r w:rsidRPr="007F47EC">
        <w:rPr>
          <w:color w:val="000000"/>
          <w:sz w:val="24"/>
          <w:szCs w:val="24"/>
        </w:rPr>
        <w:t xml:space="preserve"> (London: </w:t>
      </w:r>
      <w:r w:rsidR="00DE5AB6">
        <w:rPr>
          <w:color w:val="000000"/>
          <w:sz w:val="24"/>
          <w:szCs w:val="24"/>
        </w:rPr>
        <w:t xml:space="preserve">Routledge, </w:t>
      </w:r>
      <w:r w:rsidRPr="007F47EC">
        <w:rPr>
          <w:color w:val="000000"/>
          <w:sz w:val="24"/>
          <w:szCs w:val="24"/>
        </w:rPr>
        <w:t>[1962]</w:t>
      </w:r>
      <w:r w:rsidR="00FF7DCA" w:rsidRPr="00FF7DCA">
        <w:rPr>
          <w:color w:val="000000"/>
          <w:sz w:val="24"/>
          <w:szCs w:val="24"/>
        </w:rPr>
        <w:t xml:space="preserve"> </w:t>
      </w:r>
      <w:r w:rsidR="00FF7DCA" w:rsidRPr="007F47EC">
        <w:rPr>
          <w:color w:val="000000"/>
          <w:sz w:val="24"/>
          <w:szCs w:val="24"/>
        </w:rPr>
        <w:t>2000</w:t>
      </w:r>
      <w:r w:rsidRPr="007F47EC">
        <w:rPr>
          <w:color w:val="000000"/>
          <w:sz w:val="24"/>
          <w:szCs w:val="24"/>
        </w:rPr>
        <w:t xml:space="preserve">); David Seamon, </w:t>
      </w:r>
      <w:r w:rsidRPr="007F47EC">
        <w:rPr>
          <w:i/>
          <w:color w:val="000000"/>
          <w:sz w:val="24"/>
          <w:szCs w:val="24"/>
        </w:rPr>
        <w:t>Geography of the Lifeworld: Movement, Rest and Encounter</w:t>
      </w:r>
      <w:r w:rsidRPr="007F47EC">
        <w:rPr>
          <w:color w:val="000000"/>
          <w:sz w:val="24"/>
          <w:szCs w:val="24"/>
        </w:rPr>
        <w:t xml:space="preserve"> (London: Routledge, [1979]</w:t>
      </w:r>
      <w:r w:rsidR="00FF7DCA">
        <w:rPr>
          <w:color w:val="000000"/>
          <w:sz w:val="24"/>
          <w:szCs w:val="24"/>
        </w:rPr>
        <w:t xml:space="preserve"> </w:t>
      </w:r>
      <w:r w:rsidR="00FF7DCA" w:rsidRPr="007F47EC">
        <w:rPr>
          <w:color w:val="000000"/>
          <w:sz w:val="24"/>
          <w:szCs w:val="24"/>
        </w:rPr>
        <w:t>2016</w:t>
      </w:r>
      <w:r w:rsidR="00FF7DCA">
        <w:rPr>
          <w:color w:val="000000"/>
          <w:sz w:val="24"/>
          <w:szCs w:val="24"/>
        </w:rPr>
        <w:t>)</w:t>
      </w:r>
      <w:r w:rsidRPr="007F47EC">
        <w:rPr>
          <w:color w:val="000000"/>
          <w:sz w:val="24"/>
          <w:szCs w:val="24"/>
        </w:rPr>
        <w:t xml:space="preserve">; Edward Casey, </w:t>
      </w:r>
      <w:r w:rsidRPr="007F47EC">
        <w:rPr>
          <w:i/>
          <w:color w:val="000000"/>
          <w:sz w:val="24"/>
          <w:szCs w:val="24"/>
        </w:rPr>
        <w:t xml:space="preserve">Remembering: A Phenomenological Study </w:t>
      </w:r>
      <w:r w:rsidRPr="007F47EC">
        <w:rPr>
          <w:iCs/>
          <w:color w:val="000000"/>
          <w:sz w:val="24"/>
          <w:szCs w:val="24"/>
        </w:rPr>
        <w:t>(Bloomington: University of Indiana Press</w:t>
      </w:r>
      <w:r w:rsidRPr="007F47EC">
        <w:rPr>
          <w:color w:val="000000"/>
          <w:sz w:val="24"/>
          <w:szCs w:val="24"/>
        </w:rPr>
        <w:t>, [1987</w:t>
      </w:r>
      <w:r w:rsidR="00FF7DCA">
        <w:rPr>
          <w:color w:val="000000"/>
          <w:sz w:val="24"/>
          <w:szCs w:val="24"/>
        </w:rPr>
        <w:t xml:space="preserve">] </w:t>
      </w:r>
      <w:r w:rsidR="00FF7DCA" w:rsidRPr="007F47EC">
        <w:rPr>
          <w:color w:val="000000"/>
          <w:sz w:val="24"/>
          <w:szCs w:val="24"/>
        </w:rPr>
        <w:t>2000</w:t>
      </w:r>
      <w:r w:rsidRPr="007F47EC">
        <w:rPr>
          <w:color w:val="000000"/>
          <w:sz w:val="24"/>
          <w:szCs w:val="24"/>
        </w:rPr>
        <w:t>)</w:t>
      </w:r>
      <w:r w:rsidR="00FF7DCA">
        <w:rPr>
          <w:color w:val="000000"/>
          <w:sz w:val="24"/>
          <w:szCs w:val="24"/>
        </w:rPr>
        <w:t>.</w:t>
      </w:r>
      <w:r w:rsidRPr="007F47EC">
        <w:rPr>
          <w:color w:val="000000"/>
          <w:sz w:val="24"/>
          <w:szCs w:val="24"/>
        </w:rPr>
        <w:t xml:space="preserve"> Cultural/practice-cent</w:t>
      </w:r>
      <w:r w:rsidR="00FF7DCA">
        <w:rPr>
          <w:color w:val="000000"/>
          <w:sz w:val="24"/>
          <w:szCs w:val="24"/>
        </w:rPr>
        <w:t>e</w:t>
      </w:r>
      <w:r w:rsidRPr="007F47EC">
        <w:rPr>
          <w:color w:val="000000"/>
          <w:sz w:val="24"/>
          <w:szCs w:val="24"/>
        </w:rPr>
        <w:t>red approaches: e.g.</w:t>
      </w:r>
      <w:r w:rsidR="00DE5AB6">
        <w:rPr>
          <w:color w:val="000000"/>
          <w:sz w:val="24"/>
          <w:szCs w:val="24"/>
        </w:rPr>
        <w:t>,</w:t>
      </w:r>
      <w:r w:rsidRPr="007F47EC">
        <w:rPr>
          <w:color w:val="000000"/>
          <w:sz w:val="24"/>
          <w:szCs w:val="24"/>
        </w:rPr>
        <w:t xml:space="preserve"> David Matless, </w:t>
      </w:r>
      <w:r w:rsidRPr="007F47EC">
        <w:rPr>
          <w:i/>
          <w:color w:val="000000"/>
          <w:sz w:val="24"/>
          <w:szCs w:val="24"/>
        </w:rPr>
        <w:t>Landscape and Englishness</w:t>
      </w:r>
      <w:r w:rsidRPr="007F47EC">
        <w:rPr>
          <w:color w:val="000000"/>
          <w:sz w:val="24"/>
          <w:szCs w:val="24"/>
        </w:rPr>
        <w:t xml:space="preserve"> (London: Reaktion, 1998)</w:t>
      </w:r>
      <w:r w:rsidR="00FF7DCA">
        <w:rPr>
          <w:color w:val="000000"/>
          <w:sz w:val="24"/>
          <w:szCs w:val="24"/>
        </w:rPr>
        <w:t>.</w:t>
      </w:r>
      <w:r w:rsidRPr="007F47EC">
        <w:rPr>
          <w:color w:val="000000"/>
          <w:sz w:val="24"/>
          <w:szCs w:val="24"/>
        </w:rPr>
        <w:t xml:space="preserve"> Assemblage theory: Manuel DeLanda, </w:t>
      </w:r>
      <w:r w:rsidRPr="007F47EC">
        <w:rPr>
          <w:i/>
          <w:color w:val="000000"/>
          <w:sz w:val="24"/>
          <w:szCs w:val="24"/>
        </w:rPr>
        <w:t>Assemblage Theory: (Speculative Realism</w:t>
      </w:r>
      <w:r w:rsidRPr="007F47EC">
        <w:rPr>
          <w:color w:val="000000"/>
          <w:sz w:val="24"/>
          <w:szCs w:val="24"/>
        </w:rPr>
        <w:t>) (Edinburgh: Edinburgh University Press, 2016)</w:t>
      </w:r>
      <w:r w:rsidR="00FF7DCA">
        <w:rPr>
          <w:color w:val="000000"/>
          <w:sz w:val="24"/>
          <w:szCs w:val="24"/>
        </w:rPr>
        <w:t>.</w:t>
      </w:r>
      <w:r w:rsidRPr="007F47EC">
        <w:rPr>
          <w:color w:val="000000"/>
          <w:sz w:val="24"/>
          <w:szCs w:val="24"/>
        </w:rPr>
        <w:t xml:space="preserve"> Actor Network Theory: e.g.</w:t>
      </w:r>
      <w:r w:rsidR="00DE5AB6">
        <w:rPr>
          <w:color w:val="000000"/>
          <w:sz w:val="24"/>
          <w:szCs w:val="24"/>
        </w:rPr>
        <w:t>,</w:t>
      </w:r>
      <w:r w:rsidRPr="007F47EC">
        <w:rPr>
          <w:color w:val="000000"/>
          <w:sz w:val="24"/>
          <w:szCs w:val="24"/>
        </w:rPr>
        <w:t xml:space="preserve"> Bruno Latour, </w:t>
      </w:r>
      <w:r w:rsidRPr="007F47EC">
        <w:rPr>
          <w:i/>
          <w:color w:val="000000"/>
          <w:sz w:val="24"/>
          <w:szCs w:val="24"/>
        </w:rPr>
        <w:t>Reassembling the Social: An Introduction to Actor Network Theory</w:t>
      </w:r>
      <w:r w:rsidRPr="007F47EC">
        <w:rPr>
          <w:color w:val="000000"/>
          <w:sz w:val="24"/>
          <w:szCs w:val="24"/>
        </w:rPr>
        <w:t xml:space="preserve"> (Oxford: Oxford University Press, 2005)</w:t>
      </w:r>
      <w:r w:rsidR="00FF7DCA">
        <w:rPr>
          <w:color w:val="000000"/>
          <w:sz w:val="24"/>
          <w:szCs w:val="24"/>
        </w:rPr>
        <w:t>.</w:t>
      </w:r>
      <w:r w:rsidRPr="007F47EC">
        <w:rPr>
          <w:color w:val="000000"/>
          <w:sz w:val="24"/>
          <w:szCs w:val="24"/>
        </w:rPr>
        <w:t xml:space="preserve"> Rhythmanalysis: Henri Lefebvre, </w:t>
      </w:r>
      <w:r w:rsidRPr="007F47EC">
        <w:rPr>
          <w:i/>
          <w:iCs/>
          <w:color w:val="000000"/>
          <w:sz w:val="24"/>
          <w:szCs w:val="24"/>
        </w:rPr>
        <w:t>R</w:t>
      </w:r>
      <w:r w:rsidRPr="007F47EC">
        <w:rPr>
          <w:i/>
          <w:color w:val="000000"/>
          <w:sz w:val="24"/>
          <w:szCs w:val="24"/>
        </w:rPr>
        <w:t xml:space="preserve">hythmanalysis: Space, Time and Everyday Life </w:t>
      </w:r>
      <w:r w:rsidRPr="007F47EC">
        <w:rPr>
          <w:color w:val="000000"/>
          <w:sz w:val="24"/>
          <w:szCs w:val="24"/>
        </w:rPr>
        <w:t>(London: Continuum, 2004).</w:t>
      </w:r>
    </w:p>
  </w:endnote>
  <w:endnote w:id="6">
    <w:p w14:paraId="72F4D39C" w14:textId="1E29F74B"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 xml:space="preserve">For example, Tim Ingold’s concept of the </w:t>
      </w:r>
      <w:r w:rsidR="00FF7DCA">
        <w:rPr>
          <w:color w:val="000000"/>
          <w:sz w:val="24"/>
          <w:szCs w:val="24"/>
        </w:rPr>
        <w:t>“</w:t>
      </w:r>
      <w:r w:rsidRPr="007F47EC">
        <w:rPr>
          <w:color w:val="000000"/>
          <w:sz w:val="24"/>
          <w:szCs w:val="24"/>
        </w:rPr>
        <w:t>taskscape.</w:t>
      </w:r>
      <w:r w:rsidR="00FF7DCA">
        <w:rPr>
          <w:color w:val="000000"/>
          <w:sz w:val="24"/>
          <w:szCs w:val="24"/>
        </w:rPr>
        <w:t>”</w:t>
      </w:r>
      <w:r w:rsidRPr="007F47EC">
        <w:rPr>
          <w:color w:val="000000"/>
          <w:sz w:val="24"/>
          <w:szCs w:val="24"/>
        </w:rPr>
        <w:t xml:space="preserve"> See Tim Ingold, “The Temporality of Landscape</w:t>
      </w:r>
      <w:r w:rsidR="00FF7DCA">
        <w:rPr>
          <w:color w:val="000000"/>
          <w:sz w:val="24"/>
          <w:szCs w:val="24"/>
        </w:rPr>
        <w:t>,</w:t>
      </w:r>
      <w:r w:rsidRPr="007F47EC">
        <w:rPr>
          <w:color w:val="000000"/>
          <w:sz w:val="24"/>
          <w:szCs w:val="24"/>
        </w:rPr>
        <w:t xml:space="preserve">” in </w:t>
      </w:r>
      <w:r w:rsidRPr="007F47EC">
        <w:rPr>
          <w:i/>
          <w:color w:val="000000"/>
          <w:sz w:val="24"/>
          <w:szCs w:val="24"/>
        </w:rPr>
        <w:t xml:space="preserve">The Perception of the Landscape </w:t>
      </w:r>
      <w:r w:rsidRPr="007F47EC">
        <w:rPr>
          <w:color w:val="000000"/>
          <w:sz w:val="24"/>
          <w:szCs w:val="24"/>
        </w:rPr>
        <w:t>(London: Routledge, [1993]</w:t>
      </w:r>
      <w:r w:rsidR="00FF7DCA" w:rsidRPr="00FF7DCA">
        <w:rPr>
          <w:color w:val="000000"/>
          <w:sz w:val="24"/>
          <w:szCs w:val="24"/>
        </w:rPr>
        <w:t xml:space="preserve"> </w:t>
      </w:r>
      <w:r w:rsidR="00FF7DCA" w:rsidRPr="007F47EC">
        <w:rPr>
          <w:color w:val="000000"/>
          <w:sz w:val="24"/>
          <w:szCs w:val="24"/>
        </w:rPr>
        <w:t>2000</w:t>
      </w:r>
      <w:r w:rsidRPr="007F47EC">
        <w:rPr>
          <w:color w:val="000000"/>
          <w:sz w:val="24"/>
          <w:szCs w:val="24"/>
        </w:rPr>
        <w:t>).</w:t>
      </w:r>
    </w:p>
  </w:endnote>
  <w:endnote w:id="7">
    <w:p w14:paraId="1D48621E" w14:textId="143A1837"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For a useful discussion of the distinction (or not) between place and landscape</w:t>
      </w:r>
      <w:r w:rsidR="00FF7DCA">
        <w:rPr>
          <w:color w:val="000000"/>
          <w:sz w:val="24"/>
          <w:szCs w:val="24"/>
        </w:rPr>
        <w:t>,</w:t>
      </w:r>
      <w:r w:rsidRPr="007F47EC">
        <w:rPr>
          <w:color w:val="000000"/>
          <w:sz w:val="24"/>
          <w:szCs w:val="24"/>
        </w:rPr>
        <w:t xml:space="preserve"> see this roundtable discussion: Peter Merriman, George Reveill, Tim Cresswell, Hayden Lorimer, David Matless, Gillian Rose and John Wylie, “Landscape, Mobility, Practice</w:t>
      </w:r>
      <w:r w:rsidR="00FF7DCA">
        <w:rPr>
          <w:color w:val="000000"/>
          <w:sz w:val="24"/>
          <w:szCs w:val="24"/>
        </w:rPr>
        <w:t>,</w:t>
      </w:r>
      <w:r w:rsidRPr="007F47EC">
        <w:rPr>
          <w:color w:val="000000"/>
          <w:sz w:val="24"/>
          <w:szCs w:val="24"/>
        </w:rPr>
        <w:t xml:space="preserve">” </w:t>
      </w:r>
      <w:r w:rsidRPr="007F47EC">
        <w:rPr>
          <w:i/>
          <w:color w:val="000000"/>
          <w:sz w:val="24"/>
          <w:szCs w:val="24"/>
        </w:rPr>
        <w:t xml:space="preserve">Social and Cultural Geography </w:t>
      </w:r>
      <w:r w:rsidRPr="007F47EC">
        <w:rPr>
          <w:color w:val="000000"/>
          <w:sz w:val="24"/>
          <w:szCs w:val="24"/>
        </w:rPr>
        <w:t>9</w:t>
      </w:r>
      <w:r w:rsidR="00FF7DCA">
        <w:rPr>
          <w:color w:val="000000"/>
          <w:sz w:val="24"/>
          <w:szCs w:val="24"/>
        </w:rPr>
        <w:t>, no. 2</w:t>
      </w:r>
      <w:r w:rsidRPr="007F47EC">
        <w:rPr>
          <w:color w:val="000000"/>
          <w:sz w:val="24"/>
          <w:szCs w:val="24"/>
        </w:rPr>
        <w:t xml:space="preserve"> (2008)</w:t>
      </w:r>
      <w:r w:rsidR="00FF7DCA">
        <w:rPr>
          <w:color w:val="000000"/>
          <w:sz w:val="24"/>
          <w:szCs w:val="24"/>
        </w:rPr>
        <w:t>:</w:t>
      </w:r>
      <w:r w:rsidRPr="007F47EC">
        <w:rPr>
          <w:color w:val="000000"/>
          <w:sz w:val="24"/>
          <w:szCs w:val="24"/>
        </w:rPr>
        <w:t xml:space="preserve"> 191</w:t>
      </w:r>
      <w:r w:rsidR="00FF7DCA">
        <w:rPr>
          <w:color w:val="000000"/>
          <w:sz w:val="24"/>
          <w:szCs w:val="24"/>
        </w:rPr>
        <w:t>–</w:t>
      </w:r>
      <w:r w:rsidRPr="007F47EC">
        <w:rPr>
          <w:color w:val="000000"/>
          <w:sz w:val="24"/>
          <w:szCs w:val="24"/>
        </w:rPr>
        <w:t>212.</w:t>
      </w:r>
    </w:p>
  </w:endnote>
  <w:endnote w:id="8">
    <w:p w14:paraId="0CF45744" w14:textId="78D62FAE"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00FF7DCA">
        <w:rPr>
          <w:color w:val="000000"/>
          <w:sz w:val="24"/>
          <w:szCs w:val="24"/>
        </w:rPr>
        <w:t>“</w:t>
      </w:r>
      <w:r w:rsidRPr="007F47EC">
        <w:rPr>
          <w:color w:val="000000"/>
          <w:sz w:val="24"/>
          <w:szCs w:val="24"/>
        </w:rPr>
        <w:t>Absence Presence</w:t>
      </w:r>
      <w:r w:rsidR="00FF7DCA">
        <w:rPr>
          <w:color w:val="000000"/>
          <w:sz w:val="24"/>
          <w:szCs w:val="24"/>
        </w:rPr>
        <w:t>”</w:t>
      </w:r>
      <w:r w:rsidRPr="007F47EC">
        <w:rPr>
          <w:color w:val="000000"/>
          <w:sz w:val="24"/>
          <w:szCs w:val="24"/>
        </w:rPr>
        <w:t xml:space="preserve">: see Avery Gordon, </w:t>
      </w:r>
      <w:r w:rsidRPr="007F47EC">
        <w:rPr>
          <w:i/>
          <w:color w:val="000000"/>
          <w:sz w:val="24"/>
          <w:szCs w:val="24"/>
        </w:rPr>
        <w:t xml:space="preserve">Ghostly Matters </w:t>
      </w:r>
      <w:r w:rsidRPr="007F47EC">
        <w:rPr>
          <w:color w:val="000000"/>
          <w:sz w:val="24"/>
          <w:szCs w:val="24"/>
        </w:rPr>
        <w:t>(Minneapolis: Minnesota University Press, 1997</w:t>
      </w:r>
      <w:r w:rsidR="00FF7DCA">
        <w:rPr>
          <w:color w:val="000000"/>
          <w:sz w:val="24"/>
          <w:szCs w:val="24"/>
        </w:rPr>
        <w:t>)</w:t>
      </w:r>
      <w:r w:rsidRPr="007F47EC">
        <w:rPr>
          <w:color w:val="000000"/>
          <w:sz w:val="24"/>
          <w:szCs w:val="24"/>
        </w:rPr>
        <w:t xml:space="preserve">; Tim Edensor, </w:t>
      </w:r>
      <w:r w:rsidRPr="007F47EC">
        <w:rPr>
          <w:i/>
          <w:iCs/>
          <w:color w:val="000000"/>
          <w:sz w:val="24"/>
          <w:szCs w:val="24"/>
        </w:rPr>
        <w:t>I</w:t>
      </w:r>
      <w:r w:rsidRPr="007F47EC">
        <w:rPr>
          <w:i/>
          <w:color w:val="000000"/>
          <w:sz w:val="24"/>
          <w:szCs w:val="24"/>
        </w:rPr>
        <w:t xml:space="preserve">ndustrial Ruins: Aesthetics, Materiality and Memory </w:t>
      </w:r>
      <w:r w:rsidRPr="007F47EC">
        <w:rPr>
          <w:color w:val="000000"/>
          <w:sz w:val="24"/>
          <w:szCs w:val="24"/>
        </w:rPr>
        <w:t>(Oxford: Berg, 2005); Avril Maddrell, “Living with the Deceased: Absence, Presence and Absence-Presence</w:t>
      </w:r>
      <w:r w:rsidR="00FF7DCA">
        <w:rPr>
          <w:color w:val="000000"/>
          <w:sz w:val="24"/>
          <w:szCs w:val="24"/>
        </w:rPr>
        <w:t>,</w:t>
      </w:r>
      <w:r w:rsidRPr="007F47EC">
        <w:rPr>
          <w:color w:val="000000"/>
          <w:sz w:val="24"/>
          <w:szCs w:val="24"/>
        </w:rPr>
        <w:t xml:space="preserve">” </w:t>
      </w:r>
      <w:r w:rsidRPr="00FF7DCA">
        <w:rPr>
          <w:i/>
          <w:iCs/>
          <w:color w:val="000000"/>
          <w:sz w:val="24"/>
          <w:szCs w:val="24"/>
        </w:rPr>
        <w:t>cultural geographies</w:t>
      </w:r>
      <w:r w:rsidRPr="007F47EC">
        <w:rPr>
          <w:color w:val="000000"/>
          <w:sz w:val="24"/>
          <w:szCs w:val="24"/>
        </w:rPr>
        <w:t xml:space="preserve"> 20</w:t>
      </w:r>
      <w:r w:rsidR="00FF7DCA">
        <w:rPr>
          <w:color w:val="000000"/>
          <w:sz w:val="24"/>
          <w:szCs w:val="24"/>
        </w:rPr>
        <w:t xml:space="preserve">, no. </w:t>
      </w:r>
      <w:r w:rsidRPr="007F47EC">
        <w:rPr>
          <w:color w:val="000000"/>
          <w:sz w:val="24"/>
          <w:szCs w:val="24"/>
        </w:rPr>
        <w:t>4</w:t>
      </w:r>
      <w:r w:rsidR="00FF7DCA">
        <w:rPr>
          <w:color w:val="000000"/>
          <w:sz w:val="24"/>
          <w:szCs w:val="24"/>
        </w:rPr>
        <w:t xml:space="preserve"> (2013)</w:t>
      </w:r>
      <w:r w:rsidRPr="007F47EC">
        <w:rPr>
          <w:color w:val="000000"/>
          <w:sz w:val="24"/>
          <w:szCs w:val="24"/>
        </w:rPr>
        <w:t>: 501</w:t>
      </w:r>
      <w:r w:rsidR="00FF7DCA">
        <w:rPr>
          <w:color w:val="000000"/>
          <w:sz w:val="24"/>
          <w:szCs w:val="24"/>
        </w:rPr>
        <w:t>–5</w:t>
      </w:r>
      <w:r w:rsidRPr="007F47EC">
        <w:rPr>
          <w:color w:val="000000"/>
          <w:sz w:val="24"/>
          <w:szCs w:val="24"/>
        </w:rPr>
        <w:t>22.</w:t>
      </w:r>
    </w:p>
  </w:endnote>
  <w:endnote w:id="9">
    <w:p w14:paraId="19B42257" w14:textId="4BF018ED"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For a similar discussion of road infrastructure</w:t>
      </w:r>
      <w:r w:rsidR="00FF7DCA">
        <w:rPr>
          <w:color w:val="000000"/>
          <w:sz w:val="24"/>
          <w:szCs w:val="24"/>
        </w:rPr>
        <w:t>,</w:t>
      </w:r>
      <w:r w:rsidRPr="007F47EC">
        <w:rPr>
          <w:color w:val="000000"/>
          <w:sz w:val="24"/>
          <w:szCs w:val="24"/>
        </w:rPr>
        <w:t xml:space="preserve"> see Lynne Pearce, “Driving North / Driving South: Britain’s Changing Roadscape, 2000</w:t>
      </w:r>
      <w:r w:rsidR="00FF7DCA">
        <w:rPr>
          <w:color w:val="000000"/>
          <w:sz w:val="24"/>
          <w:szCs w:val="24"/>
        </w:rPr>
        <w:t>–</w:t>
      </w:r>
      <w:r w:rsidRPr="007F47EC">
        <w:rPr>
          <w:color w:val="000000"/>
          <w:sz w:val="24"/>
          <w:szCs w:val="24"/>
        </w:rPr>
        <w:t>2020,</w:t>
      </w:r>
      <w:r w:rsidR="00FF7DCA">
        <w:rPr>
          <w:color w:val="000000"/>
          <w:sz w:val="24"/>
          <w:szCs w:val="24"/>
        </w:rPr>
        <w:t>”</w:t>
      </w:r>
      <w:r w:rsidRPr="007F47EC">
        <w:rPr>
          <w:color w:val="000000"/>
          <w:sz w:val="24"/>
          <w:szCs w:val="24"/>
        </w:rPr>
        <w:t xml:space="preserve"> </w:t>
      </w:r>
      <w:r w:rsidRPr="007F47EC">
        <w:rPr>
          <w:i/>
          <w:color w:val="000000"/>
          <w:sz w:val="24"/>
          <w:szCs w:val="24"/>
        </w:rPr>
        <w:t>Mobilities</w:t>
      </w:r>
      <w:r w:rsidRPr="00FF7DCA">
        <w:rPr>
          <w:iCs/>
          <w:color w:val="000000"/>
          <w:sz w:val="24"/>
          <w:szCs w:val="24"/>
        </w:rPr>
        <w:t xml:space="preserve"> </w:t>
      </w:r>
      <w:r w:rsidR="00FF7DCA">
        <w:rPr>
          <w:iCs/>
          <w:color w:val="000000"/>
          <w:sz w:val="24"/>
          <w:szCs w:val="24"/>
        </w:rPr>
        <w:t>(</w:t>
      </w:r>
      <w:r w:rsidR="001E74D7">
        <w:rPr>
          <w:color w:val="000000"/>
          <w:sz w:val="24"/>
          <w:szCs w:val="24"/>
        </w:rPr>
        <w:t>published electronically</w:t>
      </w:r>
      <w:r w:rsidRPr="007F47EC">
        <w:rPr>
          <w:color w:val="000000"/>
          <w:sz w:val="24"/>
          <w:szCs w:val="24"/>
        </w:rPr>
        <w:t xml:space="preserve"> January 2023</w:t>
      </w:r>
      <w:r w:rsidR="00FF7DCA">
        <w:rPr>
          <w:color w:val="000000"/>
          <w:sz w:val="24"/>
          <w:szCs w:val="24"/>
        </w:rPr>
        <w:t>),</w:t>
      </w:r>
      <w:r w:rsidRPr="007F47EC">
        <w:rPr>
          <w:color w:val="000000"/>
          <w:sz w:val="24"/>
          <w:szCs w:val="24"/>
        </w:rPr>
        <w:t xml:space="preserve"> https://doi.org/10.1080/17450101.2022.2156806</w:t>
      </w:r>
      <w:r w:rsidR="00FF7DCA">
        <w:rPr>
          <w:color w:val="000000"/>
          <w:sz w:val="24"/>
          <w:szCs w:val="24"/>
        </w:rPr>
        <w:t>.</w:t>
      </w:r>
    </w:p>
  </w:endnote>
  <w:endnote w:id="10">
    <w:p w14:paraId="355CB8F1" w14:textId="12263996"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 xml:space="preserve">Tim Edensor, </w:t>
      </w:r>
      <w:r w:rsidRPr="007F47EC">
        <w:rPr>
          <w:i/>
          <w:color w:val="000000"/>
          <w:sz w:val="24"/>
          <w:szCs w:val="24"/>
        </w:rPr>
        <w:t>Landscape, Materiality and Heritage: An Object Biography</w:t>
      </w:r>
      <w:r w:rsidRPr="007F47EC">
        <w:rPr>
          <w:color w:val="000000"/>
          <w:sz w:val="24"/>
          <w:szCs w:val="24"/>
        </w:rPr>
        <w:t xml:space="preserve"> (Singapore: Palgrave Macmillan, 2022).</w:t>
      </w:r>
    </w:p>
  </w:endnote>
  <w:endnote w:id="11">
    <w:p w14:paraId="5DFC3E78" w14:textId="54F91988"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 xml:space="preserve">Chapters by David Bissell and Tim Edensor in </w:t>
      </w:r>
      <w:r w:rsidRPr="007F47EC">
        <w:rPr>
          <w:i/>
          <w:color w:val="000000"/>
          <w:sz w:val="24"/>
          <w:szCs w:val="24"/>
        </w:rPr>
        <w:t xml:space="preserve">The Routledge Handbook of Mobilities </w:t>
      </w:r>
      <w:r w:rsidRPr="007F47EC">
        <w:rPr>
          <w:color w:val="000000"/>
          <w:sz w:val="24"/>
          <w:szCs w:val="24"/>
        </w:rPr>
        <w:t>provide useful overviews of work on repetition</w:t>
      </w:r>
      <w:r w:rsidR="00800C75">
        <w:rPr>
          <w:color w:val="000000"/>
          <w:sz w:val="24"/>
          <w:szCs w:val="24"/>
        </w:rPr>
        <w:t>,</w:t>
      </w:r>
      <w:r w:rsidRPr="007F47EC">
        <w:rPr>
          <w:color w:val="000000"/>
          <w:sz w:val="24"/>
          <w:szCs w:val="24"/>
        </w:rPr>
        <w:t xml:space="preserve"> rhythm</w:t>
      </w:r>
      <w:r w:rsidR="00800C75">
        <w:rPr>
          <w:color w:val="000000"/>
          <w:sz w:val="24"/>
          <w:szCs w:val="24"/>
        </w:rPr>
        <w:t>,</w:t>
      </w:r>
      <w:r w:rsidRPr="007F47EC">
        <w:rPr>
          <w:color w:val="000000"/>
          <w:sz w:val="24"/>
          <w:szCs w:val="24"/>
        </w:rPr>
        <w:t xml:space="preserve"> and routine. See David Bissell, “Habits</w:t>
      </w:r>
      <w:r w:rsidR="00FF7DCA">
        <w:rPr>
          <w:color w:val="000000"/>
          <w:sz w:val="24"/>
          <w:szCs w:val="24"/>
        </w:rPr>
        <w:t>,</w:t>
      </w:r>
      <w:r w:rsidRPr="007F47EC">
        <w:rPr>
          <w:color w:val="000000"/>
          <w:sz w:val="24"/>
          <w:szCs w:val="24"/>
        </w:rPr>
        <w:t xml:space="preserve">” in </w:t>
      </w:r>
      <w:r w:rsidRPr="007F47EC">
        <w:rPr>
          <w:i/>
          <w:color w:val="000000"/>
          <w:sz w:val="24"/>
          <w:szCs w:val="24"/>
        </w:rPr>
        <w:t>The Routledge Handbook of Mobilities</w:t>
      </w:r>
      <w:r w:rsidRPr="007F47EC">
        <w:rPr>
          <w:color w:val="000000"/>
          <w:sz w:val="24"/>
          <w:szCs w:val="24"/>
        </w:rPr>
        <w:t>, ed</w:t>
      </w:r>
      <w:r w:rsidR="00FF7DCA">
        <w:rPr>
          <w:color w:val="000000"/>
          <w:sz w:val="24"/>
          <w:szCs w:val="24"/>
        </w:rPr>
        <w:t>.</w:t>
      </w:r>
      <w:r w:rsidRPr="007F47EC">
        <w:rPr>
          <w:color w:val="000000"/>
          <w:sz w:val="24"/>
          <w:szCs w:val="24"/>
        </w:rPr>
        <w:t xml:space="preserve"> Peter Adey, Kevin Hannam, Peter Merriman</w:t>
      </w:r>
      <w:r w:rsidRPr="007F47EC">
        <w:rPr>
          <w:color w:val="000000"/>
          <w:sz w:val="24"/>
          <w:szCs w:val="24"/>
        </w:rPr>
        <w:t xml:space="preserve"> and Mimi Sheller (London: Routledge, 2014), 483</w:t>
      </w:r>
      <w:r w:rsidR="00FF7DCA">
        <w:rPr>
          <w:color w:val="000000"/>
          <w:sz w:val="24"/>
          <w:szCs w:val="24"/>
        </w:rPr>
        <w:t>–4</w:t>
      </w:r>
      <w:r w:rsidRPr="007F47EC">
        <w:rPr>
          <w:color w:val="000000"/>
          <w:sz w:val="24"/>
          <w:szCs w:val="24"/>
        </w:rPr>
        <w:t>92; Tim Edensor, “Rhythm and Arrythmia</w:t>
      </w:r>
      <w:r w:rsidR="00FF7DCA">
        <w:rPr>
          <w:color w:val="000000"/>
          <w:sz w:val="24"/>
          <w:szCs w:val="24"/>
        </w:rPr>
        <w:t>,</w:t>
      </w:r>
      <w:r w:rsidRPr="007F47EC">
        <w:rPr>
          <w:color w:val="000000"/>
          <w:sz w:val="24"/>
          <w:szCs w:val="24"/>
        </w:rPr>
        <w:t xml:space="preserve">” in </w:t>
      </w:r>
      <w:r w:rsidR="00FF7DCA">
        <w:rPr>
          <w:color w:val="000000"/>
          <w:sz w:val="24"/>
          <w:szCs w:val="24"/>
        </w:rPr>
        <w:t xml:space="preserve">Adey et al., </w:t>
      </w:r>
      <w:r w:rsidRPr="007F47EC">
        <w:rPr>
          <w:i/>
          <w:iCs/>
          <w:color w:val="000000"/>
          <w:sz w:val="24"/>
          <w:szCs w:val="24"/>
        </w:rPr>
        <w:t>T</w:t>
      </w:r>
      <w:r w:rsidRPr="007F47EC">
        <w:rPr>
          <w:i/>
          <w:color w:val="000000"/>
          <w:sz w:val="24"/>
          <w:szCs w:val="24"/>
        </w:rPr>
        <w:t>he Routledge Handbook of Mobilities</w:t>
      </w:r>
      <w:r w:rsidRPr="007F47EC">
        <w:rPr>
          <w:color w:val="000000"/>
          <w:sz w:val="24"/>
          <w:szCs w:val="24"/>
        </w:rPr>
        <w:t>, 163</w:t>
      </w:r>
      <w:r w:rsidR="00FF7DCA">
        <w:rPr>
          <w:color w:val="000000"/>
          <w:sz w:val="24"/>
          <w:szCs w:val="24"/>
        </w:rPr>
        <w:t>–1</w:t>
      </w:r>
      <w:r w:rsidRPr="007F47EC">
        <w:rPr>
          <w:color w:val="000000"/>
          <w:sz w:val="24"/>
          <w:szCs w:val="24"/>
        </w:rPr>
        <w:t>71.</w:t>
      </w:r>
    </w:p>
  </w:endnote>
  <w:endnote w:id="12">
    <w:p w14:paraId="581B6151" w14:textId="77921724" w:rsidR="007F47EC" w:rsidRPr="007F47EC" w:rsidRDefault="007F47EC" w:rsidP="007F47EC">
      <w:pPr>
        <w:pStyle w:val="EndnoteText"/>
        <w:spacing w:line="480" w:lineRule="auto"/>
        <w:rPr>
          <w:sz w:val="24"/>
          <w:szCs w:val="24"/>
          <w:lang w:val="en-GB"/>
        </w:rPr>
      </w:pPr>
      <w:r w:rsidRPr="007F47EC">
        <w:rPr>
          <w:rStyle w:val="EndnoteReference"/>
          <w:sz w:val="24"/>
          <w:szCs w:val="24"/>
          <w:vertAlign w:val="baseline"/>
        </w:rPr>
        <w:endnoteRef/>
      </w:r>
      <w:r>
        <w:rPr>
          <w:sz w:val="24"/>
          <w:szCs w:val="24"/>
        </w:rPr>
        <w:t>.</w:t>
      </w:r>
      <w:r w:rsidRPr="007F47EC">
        <w:rPr>
          <w:sz w:val="24"/>
          <w:szCs w:val="24"/>
        </w:rPr>
        <w:t xml:space="preserve"> </w:t>
      </w:r>
      <w:r w:rsidRPr="007F47EC">
        <w:rPr>
          <w:color w:val="000000"/>
          <w:sz w:val="24"/>
          <w:szCs w:val="24"/>
        </w:rPr>
        <w:t xml:space="preserve">See Tim Edensor, “Mundane Hauntings: Commuting through the </w:t>
      </w:r>
      <w:r w:rsidR="00FF7DCA">
        <w:rPr>
          <w:color w:val="000000"/>
          <w:sz w:val="24"/>
          <w:szCs w:val="24"/>
        </w:rPr>
        <w:t>P</w:t>
      </w:r>
      <w:r w:rsidRPr="007F47EC">
        <w:rPr>
          <w:color w:val="000000"/>
          <w:sz w:val="24"/>
          <w:szCs w:val="24"/>
        </w:rPr>
        <w:t xml:space="preserve">hantasmagoric </w:t>
      </w:r>
      <w:r w:rsidR="00FF7DCA">
        <w:rPr>
          <w:color w:val="000000"/>
          <w:sz w:val="24"/>
          <w:szCs w:val="24"/>
        </w:rPr>
        <w:t>W</w:t>
      </w:r>
      <w:r w:rsidRPr="007F47EC">
        <w:rPr>
          <w:color w:val="000000"/>
          <w:sz w:val="24"/>
          <w:szCs w:val="24"/>
        </w:rPr>
        <w:t>orking-</w:t>
      </w:r>
      <w:r w:rsidR="00FF7DCA">
        <w:rPr>
          <w:color w:val="000000"/>
          <w:sz w:val="24"/>
          <w:szCs w:val="24"/>
        </w:rPr>
        <w:t>C</w:t>
      </w:r>
      <w:r w:rsidRPr="007F47EC">
        <w:rPr>
          <w:color w:val="000000"/>
          <w:sz w:val="24"/>
          <w:szCs w:val="24"/>
        </w:rPr>
        <w:t xml:space="preserve">lass </w:t>
      </w:r>
      <w:r w:rsidR="00FF7DCA">
        <w:rPr>
          <w:color w:val="000000"/>
          <w:sz w:val="24"/>
          <w:szCs w:val="24"/>
        </w:rPr>
        <w:t>S</w:t>
      </w:r>
      <w:r w:rsidRPr="007F47EC">
        <w:rPr>
          <w:color w:val="000000"/>
          <w:sz w:val="24"/>
          <w:szCs w:val="24"/>
        </w:rPr>
        <w:t>paces of Manchester, England</w:t>
      </w:r>
      <w:r w:rsidR="00FF7DCA">
        <w:rPr>
          <w:color w:val="000000"/>
          <w:sz w:val="24"/>
          <w:szCs w:val="24"/>
        </w:rPr>
        <w:t>,</w:t>
      </w:r>
      <w:r w:rsidRPr="007F47EC">
        <w:rPr>
          <w:color w:val="000000"/>
          <w:sz w:val="24"/>
          <w:szCs w:val="24"/>
        </w:rPr>
        <w:t xml:space="preserve">” </w:t>
      </w:r>
      <w:r w:rsidRPr="007F47EC">
        <w:rPr>
          <w:i/>
          <w:color w:val="000000"/>
          <w:sz w:val="24"/>
          <w:szCs w:val="24"/>
        </w:rPr>
        <w:t xml:space="preserve">cultural geographies </w:t>
      </w:r>
      <w:r w:rsidRPr="007F47EC">
        <w:rPr>
          <w:color w:val="000000"/>
          <w:sz w:val="24"/>
          <w:szCs w:val="24"/>
        </w:rPr>
        <w:t>15</w:t>
      </w:r>
      <w:r w:rsidR="001E74D7">
        <w:rPr>
          <w:color w:val="000000"/>
          <w:sz w:val="24"/>
          <w:szCs w:val="24"/>
        </w:rPr>
        <w:t>, no. 3</w:t>
      </w:r>
      <w:r w:rsidRPr="007F47EC">
        <w:rPr>
          <w:color w:val="000000"/>
          <w:sz w:val="24"/>
          <w:szCs w:val="24"/>
        </w:rPr>
        <w:t xml:space="preserve"> (2008): 313</w:t>
      </w:r>
      <w:r w:rsidR="00FF7DCA">
        <w:rPr>
          <w:color w:val="000000"/>
          <w:sz w:val="24"/>
          <w:szCs w:val="24"/>
        </w:rPr>
        <w:t>–</w:t>
      </w:r>
      <w:r w:rsidRPr="007F47EC">
        <w:rPr>
          <w:color w:val="000000"/>
          <w:sz w:val="24"/>
          <w:szCs w:val="24"/>
        </w:rPr>
        <w:t>333.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3B76" w14:textId="77777777" w:rsidR="00C3555A" w:rsidRDefault="00C3555A" w:rsidP="007F47EC">
      <w:r>
        <w:separator/>
      </w:r>
    </w:p>
  </w:footnote>
  <w:footnote w:type="continuationSeparator" w:id="0">
    <w:p w14:paraId="20D95DAF" w14:textId="77777777" w:rsidR="00C3555A" w:rsidRDefault="00C3555A" w:rsidP="007F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33B17"/>
    <w:multiLevelType w:val="multilevel"/>
    <w:tmpl w:val="22080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78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EB"/>
    <w:rsid w:val="000D7ED9"/>
    <w:rsid w:val="001149F6"/>
    <w:rsid w:val="001E74D7"/>
    <w:rsid w:val="001F6207"/>
    <w:rsid w:val="00416900"/>
    <w:rsid w:val="004A3324"/>
    <w:rsid w:val="004C6C5D"/>
    <w:rsid w:val="00580352"/>
    <w:rsid w:val="00595BC9"/>
    <w:rsid w:val="005A7255"/>
    <w:rsid w:val="006933F3"/>
    <w:rsid w:val="006E445F"/>
    <w:rsid w:val="007377D3"/>
    <w:rsid w:val="0076420D"/>
    <w:rsid w:val="007B5697"/>
    <w:rsid w:val="007E08C4"/>
    <w:rsid w:val="007F47EC"/>
    <w:rsid w:val="00800C75"/>
    <w:rsid w:val="0088718C"/>
    <w:rsid w:val="00925EDC"/>
    <w:rsid w:val="00A155AC"/>
    <w:rsid w:val="00AC3A2A"/>
    <w:rsid w:val="00B07A2E"/>
    <w:rsid w:val="00B679EB"/>
    <w:rsid w:val="00B75F16"/>
    <w:rsid w:val="00C3555A"/>
    <w:rsid w:val="00C52F95"/>
    <w:rsid w:val="00C625E7"/>
    <w:rsid w:val="00D10D44"/>
    <w:rsid w:val="00D24BC0"/>
    <w:rsid w:val="00D324B4"/>
    <w:rsid w:val="00DD4C21"/>
    <w:rsid w:val="00DE5AB6"/>
    <w:rsid w:val="00FD53D4"/>
    <w:rsid w:val="00FE4DF7"/>
    <w:rsid w:val="00FF7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5F79"/>
  <w15:chartTrackingRefBased/>
  <w15:docId w15:val="{4D0D2198-A762-1641-BA90-757D29B6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9EB"/>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rsid w:val="005A7255"/>
    <w:pPr>
      <w:tabs>
        <w:tab w:val="center" w:pos="4819"/>
        <w:tab w:val="right" w:pos="9638"/>
      </w:tabs>
      <w:jc w:val="both"/>
    </w:pPr>
    <w:rPr>
      <w:rFonts w:eastAsiaTheme="minorEastAsia"/>
      <w:color w:val="000000" w:themeColor="text1"/>
      <w:sz w:val="18"/>
    </w:rPr>
  </w:style>
  <w:style w:type="character" w:customStyle="1" w:styleId="FooterChar">
    <w:name w:val="Footer Char"/>
    <w:basedOn w:val="DefaultParagraphFont"/>
    <w:link w:val="Footer"/>
    <w:uiPriority w:val="99"/>
    <w:rsid w:val="005A7255"/>
    <w:rPr>
      <w:rFonts w:ascii="Times New Roman" w:eastAsiaTheme="minorEastAsia" w:hAnsi="Times New Roman"/>
      <w:color w:val="000000" w:themeColor="text1"/>
      <w:sz w:val="18"/>
    </w:rPr>
  </w:style>
  <w:style w:type="paragraph" w:customStyle="1" w:styleId="Stile1">
    <w:name w:val="Stile1"/>
    <w:basedOn w:val="FootnoteText"/>
    <w:autoRedefine/>
    <w:qFormat/>
    <w:rsid w:val="001F6207"/>
    <w:pPr>
      <w:ind w:firstLine="284"/>
      <w:jc w:val="both"/>
    </w:pPr>
    <w:rPr>
      <w:rFonts w:eastAsiaTheme="minorEastAsia"/>
      <w:sz w:val="18"/>
    </w:rPr>
  </w:style>
  <w:style w:type="paragraph" w:styleId="FootnoteText">
    <w:name w:val="footnote text"/>
    <w:basedOn w:val="Normal"/>
    <w:link w:val="FootnoteTextChar"/>
    <w:uiPriority w:val="99"/>
    <w:semiHidden/>
    <w:unhideWhenUsed/>
    <w:rsid w:val="005A7255"/>
    <w:rPr>
      <w:sz w:val="20"/>
      <w:szCs w:val="20"/>
    </w:rPr>
  </w:style>
  <w:style w:type="character" w:customStyle="1" w:styleId="FootnoteTextChar">
    <w:name w:val="Footnote Text Char"/>
    <w:basedOn w:val="DefaultParagraphFont"/>
    <w:link w:val="FootnoteText"/>
    <w:uiPriority w:val="99"/>
    <w:semiHidden/>
    <w:rsid w:val="005A7255"/>
    <w:rPr>
      <w:sz w:val="20"/>
      <w:szCs w:val="20"/>
    </w:rPr>
  </w:style>
  <w:style w:type="paragraph" w:customStyle="1" w:styleId="citazione">
    <w:name w:val="citazione"/>
    <w:basedOn w:val="FootnoteText"/>
    <w:autoRedefine/>
    <w:qFormat/>
    <w:rsid w:val="00B07A2E"/>
    <w:pPr>
      <w:ind w:firstLine="284"/>
      <w:jc w:val="both"/>
    </w:pPr>
    <w:rPr>
      <w:rFonts w:eastAsiaTheme="minorEastAsia"/>
    </w:rPr>
  </w:style>
  <w:style w:type="character" w:styleId="Hyperlink">
    <w:name w:val="Hyperlink"/>
    <w:basedOn w:val="DefaultParagraphFont"/>
    <w:uiPriority w:val="99"/>
    <w:semiHidden/>
    <w:unhideWhenUsed/>
    <w:rsid w:val="007377D3"/>
    <w:rPr>
      <w:color w:val="0563C1" w:themeColor="hyperlink"/>
      <w:u w:val="single"/>
    </w:rPr>
  </w:style>
  <w:style w:type="paragraph" w:styleId="EndnoteText">
    <w:name w:val="endnote text"/>
    <w:basedOn w:val="Normal"/>
    <w:link w:val="EndnoteTextChar"/>
    <w:uiPriority w:val="99"/>
    <w:semiHidden/>
    <w:unhideWhenUsed/>
    <w:rsid w:val="007F47EC"/>
    <w:rPr>
      <w:sz w:val="20"/>
      <w:szCs w:val="20"/>
    </w:rPr>
  </w:style>
  <w:style w:type="character" w:customStyle="1" w:styleId="EndnoteTextChar">
    <w:name w:val="Endnote Text Char"/>
    <w:basedOn w:val="DefaultParagraphFont"/>
    <w:link w:val="EndnoteText"/>
    <w:uiPriority w:val="99"/>
    <w:semiHidden/>
    <w:rsid w:val="007F47E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7F47EC"/>
    <w:rPr>
      <w:vertAlign w:val="superscript"/>
    </w:rPr>
  </w:style>
  <w:style w:type="paragraph" w:styleId="Revision">
    <w:name w:val="Revision"/>
    <w:hidden/>
    <w:uiPriority w:val="99"/>
    <w:semiHidden/>
    <w:rsid w:val="00FF7DC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7F60084109F42AD4A8B1D12F39A06" ma:contentTypeVersion="16" ma:contentTypeDescription="Create a new document." ma:contentTypeScope="" ma:versionID="b5dbe4aa283658065426be31f5f219cc">
  <xsd:schema xmlns:xsd="http://www.w3.org/2001/XMLSchema" xmlns:xs="http://www.w3.org/2001/XMLSchema" xmlns:p="http://schemas.microsoft.com/office/2006/metadata/properties" xmlns:ns2="f72b21a0-d3c1-4b74-9fea-1063967ae66b" xmlns:ns3="bc5ae2e1-99dc-4418-b909-b324b33b7812" targetNamespace="http://schemas.microsoft.com/office/2006/metadata/properties" ma:root="true" ma:fieldsID="2e6520dcc28809fe214f374584f39aef" ns2:_="" ns3:_="">
    <xsd:import namespace="f72b21a0-d3c1-4b74-9fea-1063967ae66b"/>
    <xsd:import namespace="bc5ae2e1-99dc-4418-b909-b324b33b78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b21a0-d3c1-4b74-9fea-1063967ae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98d0eb-4d6c-4459-a19d-29fb63956a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5ae2e1-99dc-4418-b909-b324b33b78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763d9f-8efd-4989-8396-b420e66c534b}" ma:internalName="TaxCatchAll" ma:showField="CatchAllData" ma:web="bc5ae2e1-99dc-4418-b909-b324b33b7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5ae2e1-99dc-4418-b909-b324b33b7812" xsi:nil="true"/>
    <lcf76f155ced4ddcb4097134ff3c332f xmlns="f72b21a0-d3c1-4b74-9fea-1063967ae6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081E-67B2-4B51-804A-EF3C23FF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b21a0-d3c1-4b74-9fea-1063967ae66b"/>
    <ds:schemaRef ds:uri="bc5ae2e1-99dc-4418-b909-b324b33b7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B1B38-2A61-4DD1-A12E-EA64036A4DA0}">
  <ds:schemaRefs>
    <ds:schemaRef ds:uri="http://schemas.microsoft.com/sharepoint/v3/contenttype/forms"/>
  </ds:schemaRefs>
</ds:datastoreItem>
</file>

<file path=customXml/itemProps3.xml><?xml version="1.0" encoding="utf-8"?>
<ds:datastoreItem xmlns:ds="http://schemas.openxmlformats.org/officeDocument/2006/customXml" ds:itemID="{63DCE252-D56E-4E3E-A39F-54F2BA4B92D6}">
  <ds:schemaRefs>
    <ds:schemaRef ds:uri="http://schemas.microsoft.com/office/2006/metadata/properties"/>
    <ds:schemaRef ds:uri="http://schemas.microsoft.com/office/infopath/2007/PartnerControls"/>
    <ds:schemaRef ds:uri="bc5ae2e1-99dc-4418-b909-b324b33b7812"/>
    <ds:schemaRef ds:uri="f72b21a0-d3c1-4b74-9fea-1063967ae66b"/>
  </ds:schemaRefs>
</ds:datastoreItem>
</file>

<file path=customXml/itemProps4.xml><?xml version="1.0" encoding="utf-8"?>
<ds:datastoreItem xmlns:ds="http://schemas.openxmlformats.org/officeDocument/2006/customXml" ds:itemID="{B62B933F-7944-4DD8-B8A7-A6FE5EFC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Calajo</dc:creator>
  <cp:keywords/>
  <dc:description/>
  <cp:lastModifiedBy>Pearce, Lynne</cp:lastModifiedBy>
  <cp:revision>3</cp:revision>
  <dcterms:created xsi:type="dcterms:W3CDTF">2023-11-03T16:51:00Z</dcterms:created>
  <dcterms:modified xsi:type="dcterms:W3CDTF">2023-11-03T16:52:00Z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0x0101000B67F60084109F42AD4A8B1D12F39A06</vt:lpwstr>
  </property>
</Properties>
</file>