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80F8D" w14:textId="3A5FC60A" w:rsidR="00294257" w:rsidRPr="00DD6A6F" w:rsidRDefault="00D84FD3" w:rsidP="00DD6A6F">
      <w:pPr>
        <w:rPr>
          <w:b/>
          <w:bCs/>
          <w:sz w:val="32"/>
          <w:szCs w:val="32"/>
        </w:rPr>
      </w:pPr>
      <w:r w:rsidRPr="00DD6A6F">
        <w:rPr>
          <w:b/>
          <w:bCs/>
          <w:sz w:val="32"/>
          <w:szCs w:val="32"/>
        </w:rPr>
        <w:t>Strasbourg</w:t>
      </w:r>
      <w:r w:rsidR="00BD09B0" w:rsidRPr="00DD6A6F">
        <w:rPr>
          <w:b/>
          <w:bCs/>
          <w:sz w:val="32"/>
          <w:szCs w:val="32"/>
        </w:rPr>
        <w:t>’s</w:t>
      </w:r>
      <w:r w:rsidR="00294257" w:rsidRPr="00DD6A6F">
        <w:rPr>
          <w:b/>
          <w:bCs/>
          <w:sz w:val="32"/>
          <w:szCs w:val="32"/>
        </w:rPr>
        <w:t xml:space="preserve"> View</w:t>
      </w:r>
      <w:r w:rsidR="0065044C" w:rsidRPr="00DD6A6F">
        <w:rPr>
          <w:b/>
          <w:bCs/>
          <w:sz w:val="32"/>
          <w:szCs w:val="32"/>
        </w:rPr>
        <w:t>s</w:t>
      </w:r>
      <w:r w:rsidR="00294257" w:rsidRPr="00DD6A6F">
        <w:rPr>
          <w:b/>
          <w:bCs/>
          <w:sz w:val="32"/>
          <w:szCs w:val="32"/>
        </w:rPr>
        <w:t xml:space="preserve"> on the Modern Mirror Principle</w:t>
      </w:r>
      <w:r w:rsidR="000D430E" w:rsidRPr="00DD6A6F">
        <w:rPr>
          <w:b/>
          <w:bCs/>
          <w:sz w:val="32"/>
          <w:szCs w:val="32"/>
        </w:rPr>
        <w:t>: Shattering the Mirror?</w:t>
      </w:r>
    </w:p>
    <w:p w14:paraId="00C09618" w14:textId="32FF1471" w:rsidR="007614AA" w:rsidRDefault="007614AA" w:rsidP="00A02DF8">
      <w:pPr>
        <w:jc w:val="both"/>
      </w:pPr>
    </w:p>
    <w:p w14:paraId="7EC007DE" w14:textId="5F3E54A9" w:rsidR="00DD6A6F" w:rsidRPr="00DD6A6F" w:rsidRDefault="00DD6A6F" w:rsidP="00A02DF8">
      <w:pPr>
        <w:jc w:val="both"/>
        <w:rPr>
          <w:b/>
          <w:bCs/>
          <w:sz w:val="28"/>
          <w:szCs w:val="28"/>
        </w:rPr>
      </w:pPr>
      <w:r w:rsidRPr="00DD6A6F">
        <w:rPr>
          <w:b/>
          <w:bCs/>
          <w:sz w:val="28"/>
          <w:szCs w:val="28"/>
        </w:rPr>
        <w:t>Jeremy Letwin</w:t>
      </w:r>
    </w:p>
    <w:p w14:paraId="7542B49A" w14:textId="047C02CB" w:rsidR="00DD6A6F" w:rsidRDefault="00E65B75" w:rsidP="00A02DF8">
      <w:pPr>
        <w:jc w:val="both"/>
        <w:rPr>
          <w:i/>
          <w:iCs/>
          <w:sz w:val="28"/>
          <w:szCs w:val="28"/>
        </w:rPr>
      </w:pPr>
      <w:r w:rsidRPr="00E65B75">
        <w:rPr>
          <w:i/>
          <w:iCs/>
          <w:sz w:val="28"/>
          <w:szCs w:val="28"/>
        </w:rPr>
        <w:t>Lecturer in Law, Lancaster University Law School</w:t>
      </w:r>
    </w:p>
    <w:p w14:paraId="6F45A77E" w14:textId="77777777" w:rsidR="00E65B75" w:rsidRDefault="00E65B75" w:rsidP="00A02DF8">
      <w:pPr>
        <w:jc w:val="both"/>
        <w:rPr>
          <w:i/>
          <w:iCs/>
          <w:sz w:val="28"/>
          <w:szCs w:val="28"/>
        </w:rPr>
      </w:pPr>
    </w:p>
    <w:p w14:paraId="59D1494A" w14:textId="51CF52E9" w:rsidR="00DD6A6F" w:rsidRPr="005A5E70" w:rsidRDefault="00E65B75" w:rsidP="00A02DF8">
      <w:pPr>
        <w:jc w:val="both"/>
        <w:rPr>
          <w:i/>
          <w:iCs/>
          <w:highlight w:val="yellow"/>
        </w:rPr>
      </w:pPr>
      <w:r w:rsidRPr="005A5E70">
        <w:rPr>
          <w:i/>
          <w:iCs/>
        </w:rPr>
        <w:t>Acknowledgements: I would like thank Professor Tom Hickman KC for his immensely helpful comments on an earlier draft. The usual disclaimer applies.</w:t>
      </w:r>
    </w:p>
    <w:p w14:paraId="1F359B7A" w14:textId="77777777" w:rsidR="00E65B75" w:rsidRDefault="00E65B75" w:rsidP="00A02DF8">
      <w:pPr>
        <w:jc w:val="both"/>
        <w:rPr>
          <w:i/>
          <w:iCs/>
          <w:highlight w:val="yellow"/>
        </w:rPr>
      </w:pPr>
    </w:p>
    <w:p w14:paraId="04221A6F" w14:textId="47099567" w:rsidR="00DD6A6F" w:rsidRPr="00DD6A6F" w:rsidRDefault="00DD6A6F" w:rsidP="00A02DF8">
      <w:pPr>
        <w:jc w:val="both"/>
        <w:rPr>
          <w:i/>
          <w:iCs/>
        </w:rPr>
      </w:pPr>
      <w:r w:rsidRPr="00931497">
        <w:rPr>
          <w:i/>
          <w:iCs/>
        </w:rPr>
        <w:t>Abstract</w:t>
      </w:r>
      <w:r w:rsidR="00931497" w:rsidRPr="00931497">
        <w:rPr>
          <w:i/>
          <w:iCs/>
        </w:rPr>
        <w:t>:</w:t>
      </w:r>
      <w:r w:rsidR="00931497">
        <w:rPr>
          <w:i/>
          <w:iCs/>
        </w:rPr>
        <w:t xml:space="preserve"> </w:t>
      </w:r>
      <w:r w:rsidR="00931497" w:rsidRPr="00931497">
        <w:rPr>
          <w:i/>
          <w:iCs/>
        </w:rPr>
        <w:t>I argue that the main line of ECtHR jurisprudence counter-intuitively favours less strict adherence by national courts to its own jurisprudence than is favoured by UK courts. I identify four key justifications from the UK case law that have been used to support the contention that domestic jurisprudence should generally ‘mirror’ ECtHR jurisprudence. I argue that the ECtHR’s conception of its own role, especially evident in its ‘procedural turn’, is at odds with these four key justifications from the UK case law. I show how the ECtHR’s use of principles such as subsidiarity, incrementalism, the margin of appreciation, European consensus, and judicial dialogue, militate against any strong ‘mirroring’ between domestic courts and the ECtHR, and point in favour of a more flexible approach unhindered by many of the hard and fast rules which have been developed by the UK courts in this area.</w:t>
      </w:r>
    </w:p>
    <w:p w14:paraId="1EF73157" w14:textId="77777777" w:rsidR="00DD6A6F" w:rsidRPr="008A1999" w:rsidRDefault="00DD6A6F" w:rsidP="00A02DF8">
      <w:pPr>
        <w:jc w:val="both"/>
      </w:pPr>
    </w:p>
    <w:p w14:paraId="5FE20893" w14:textId="5263A859" w:rsidR="00F14041" w:rsidRPr="00DD6A6F" w:rsidRDefault="00655AA4" w:rsidP="00A02DF8">
      <w:pPr>
        <w:jc w:val="both"/>
      </w:pPr>
      <w:r w:rsidRPr="008A1999">
        <w:t xml:space="preserve">In </w:t>
      </w:r>
      <w:r w:rsidRPr="008A1999">
        <w:rPr>
          <w:i/>
          <w:iCs/>
        </w:rPr>
        <w:t>Ullah</w:t>
      </w:r>
      <w:r w:rsidRPr="008A1999">
        <w:t xml:space="preserve">, Lord Bingham </w:t>
      </w:r>
      <w:r w:rsidR="00B972C8" w:rsidRPr="008A1999">
        <w:t xml:space="preserve">famously </w:t>
      </w:r>
      <w:r w:rsidR="002270AD" w:rsidRPr="008A1999">
        <w:t xml:space="preserve">established the </w:t>
      </w:r>
      <w:r w:rsidR="001D075A">
        <w:t>“</w:t>
      </w:r>
      <w:r w:rsidR="002270AD" w:rsidRPr="008A1999">
        <w:t>mirror principle</w:t>
      </w:r>
      <w:r w:rsidR="00CF118B">
        <w:t>”</w:t>
      </w:r>
      <w:r w:rsidR="00F57DB8" w:rsidRPr="008A1999">
        <w:t xml:space="preserve">, when he said </w:t>
      </w:r>
      <w:r w:rsidRPr="008A1999">
        <w:t xml:space="preserve">that “the duty of national courts is to keep pace with the Strasbourg jurisprudence as it evolves over time: no more, but </w:t>
      </w:r>
      <w:r w:rsidRPr="008A1999">
        <w:rPr>
          <w:color w:val="000000" w:themeColor="text1"/>
        </w:rPr>
        <w:t>certainly no less”.</w:t>
      </w:r>
      <w:r w:rsidRPr="008A1999">
        <w:rPr>
          <w:rStyle w:val="FootnoteReference"/>
          <w:color w:val="000000" w:themeColor="text1"/>
        </w:rPr>
        <w:footnoteReference w:id="1"/>
      </w:r>
      <w:r w:rsidRPr="008A1999">
        <w:rPr>
          <w:color w:val="000000" w:themeColor="text1"/>
        </w:rPr>
        <w:t xml:space="preserve"> </w:t>
      </w:r>
      <w:r w:rsidR="0087450B" w:rsidRPr="008A1999">
        <w:t>O</w:t>
      </w:r>
      <w:r w:rsidR="00526ED6" w:rsidRPr="008A1999">
        <w:t>ver the two decades</w:t>
      </w:r>
      <w:r w:rsidR="00BE0F9D" w:rsidRPr="008A1999">
        <w:t xml:space="preserve"> following </w:t>
      </w:r>
      <w:r w:rsidR="00BE0F9D" w:rsidRPr="008A1999">
        <w:rPr>
          <w:i/>
          <w:iCs/>
        </w:rPr>
        <w:t>Ullah</w:t>
      </w:r>
      <w:r w:rsidR="005433C4" w:rsidRPr="008A1999">
        <w:t>,</w:t>
      </w:r>
      <w:r w:rsidR="0087450B" w:rsidRPr="008A1999">
        <w:t xml:space="preserve"> </w:t>
      </w:r>
      <w:r w:rsidR="00747EA0" w:rsidRPr="008A1999">
        <w:rPr>
          <w:color w:val="000000" w:themeColor="text1"/>
        </w:rPr>
        <w:t xml:space="preserve">the </w:t>
      </w:r>
      <w:r w:rsidR="00C84F8E" w:rsidRPr="008A1999">
        <w:rPr>
          <w:color w:val="000000" w:themeColor="text1"/>
        </w:rPr>
        <w:t>domestic</w:t>
      </w:r>
      <w:r w:rsidR="00747EA0" w:rsidRPr="008A1999">
        <w:rPr>
          <w:color w:val="000000" w:themeColor="text1"/>
        </w:rPr>
        <w:t xml:space="preserve"> courts have </w:t>
      </w:r>
      <w:r w:rsidR="00372D9D" w:rsidRPr="008A1999">
        <w:rPr>
          <w:color w:val="000000" w:themeColor="text1"/>
        </w:rPr>
        <w:t>retained</w:t>
      </w:r>
      <w:r w:rsidR="00747EA0" w:rsidRPr="008A1999">
        <w:rPr>
          <w:color w:val="000000" w:themeColor="text1"/>
        </w:rPr>
        <w:t xml:space="preserve"> </w:t>
      </w:r>
      <w:r w:rsidR="00C84F8E" w:rsidRPr="008A1999">
        <w:t>the</w:t>
      </w:r>
      <w:r w:rsidR="00747EA0" w:rsidRPr="008A1999">
        <w:t xml:space="preserve"> underlying presumption that </w:t>
      </w:r>
      <w:r w:rsidR="004D04EC" w:rsidRPr="008A1999">
        <w:t>some such</w:t>
      </w:r>
      <w:r w:rsidR="008C7FEA" w:rsidRPr="008A1999">
        <w:t xml:space="preserve"> </w:t>
      </w:r>
      <w:r w:rsidR="00CF118B">
        <w:t>“</w:t>
      </w:r>
      <w:r w:rsidR="00440C9C" w:rsidRPr="008A1999">
        <w:t>mirror principle</w:t>
      </w:r>
      <w:r w:rsidR="00CF118B">
        <w:t>”</w:t>
      </w:r>
      <w:r w:rsidR="00EF51AA" w:rsidRPr="008A1999">
        <w:t xml:space="preserve"> </w:t>
      </w:r>
      <w:r w:rsidR="004D04EC" w:rsidRPr="008A1999">
        <w:t>flow</w:t>
      </w:r>
      <w:r w:rsidR="00C84F8E" w:rsidRPr="008A1999">
        <w:t>s</w:t>
      </w:r>
      <w:r w:rsidR="00477F34" w:rsidRPr="008A1999">
        <w:t xml:space="preserve"> from </w:t>
      </w:r>
      <w:r w:rsidR="00EF51AA" w:rsidRPr="008A1999">
        <w:t>section 2 of the Human Rights Act (</w:t>
      </w:r>
      <w:r w:rsidR="00CF118B">
        <w:t>“</w:t>
      </w:r>
      <w:r w:rsidR="00EF51AA" w:rsidRPr="008A1999">
        <w:t>HRA</w:t>
      </w:r>
      <w:r w:rsidR="00CF118B">
        <w:t>”</w:t>
      </w:r>
      <w:r w:rsidR="00EF51AA" w:rsidRPr="008A1999">
        <w:t>)</w:t>
      </w:r>
      <w:r w:rsidR="00D70DD1" w:rsidRPr="008A1999">
        <w:t>,</w:t>
      </w:r>
      <w:r w:rsidR="00EF51AA" w:rsidRPr="008A1999">
        <w:t xml:space="preserve"> </w:t>
      </w:r>
      <w:r w:rsidR="00B22F50" w:rsidRPr="008A1999">
        <w:t>which requires the</w:t>
      </w:r>
      <w:r w:rsidR="00EF51AA" w:rsidRPr="008A1999">
        <w:t xml:space="preserve"> courts</w:t>
      </w:r>
      <w:r w:rsidR="005712D7" w:rsidRPr="008A1999">
        <w:t xml:space="preserve"> </w:t>
      </w:r>
      <w:r w:rsidR="00B22F50" w:rsidRPr="008A1999">
        <w:t>to</w:t>
      </w:r>
      <w:r w:rsidR="00EF51AA" w:rsidRPr="008A1999">
        <w:t xml:space="preserve"> “take into account” the jurisprudence of the European Court of Human Rights (</w:t>
      </w:r>
      <w:r w:rsidR="00CF118B">
        <w:t>“</w:t>
      </w:r>
      <w:r w:rsidR="00EF51AA" w:rsidRPr="008A1999">
        <w:t>ECtHR</w:t>
      </w:r>
      <w:r w:rsidR="00CF118B">
        <w:t>”</w:t>
      </w:r>
      <w:r w:rsidR="00EF51AA" w:rsidRPr="008A1999">
        <w:t>)</w:t>
      </w:r>
      <w:r w:rsidR="00477F34" w:rsidRPr="008A1999">
        <w:t>.</w:t>
      </w:r>
      <w:r w:rsidR="00EF51AA" w:rsidRPr="008A1999">
        <w:t xml:space="preserve"> </w:t>
      </w:r>
      <w:r w:rsidR="005949F0" w:rsidRPr="008A1999">
        <w:t>But</w:t>
      </w:r>
      <w:r w:rsidR="00D346A8" w:rsidRPr="008A1999">
        <w:t xml:space="preserve"> </w:t>
      </w:r>
      <w:r w:rsidR="0087450B" w:rsidRPr="008A1999">
        <w:t xml:space="preserve">there has been a healthy </w:t>
      </w:r>
      <w:r w:rsidR="00BF0A21" w:rsidRPr="008A1999">
        <w:t xml:space="preserve">judicial </w:t>
      </w:r>
      <w:r w:rsidR="0087450B" w:rsidRPr="008A1999">
        <w:t>debate</w:t>
      </w:r>
      <w:r w:rsidR="00D71ECA" w:rsidRPr="008A1999">
        <w:t xml:space="preserve"> </w:t>
      </w:r>
      <w:r w:rsidR="00526ED6" w:rsidRPr="008A1999">
        <w:t xml:space="preserve">about </w:t>
      </w:r>
      <w:r w:rsidR="00764744" w:rsidRPr="008A1999">
        <w:t>th</w:t>
      </w:r>
      <w:r w:rsidR="005949F0" w:rsidRPr="008A1999">
        <w:t>e proper</w:t>
      </w:r>
      <w:r w:rsidR="004A0C87" w:rsidRPr="008A1999">
        <w:t xml:space="preserve"> interpretation of this requirement</w:t>
      </w:r>
      <w:r w:rsidR="00CA045F" w:rsidRPr="008A1999">
        <w:t xml:space="preserve">, and </w:t>
      </w:r>
      <w:r w:rsidR="00772804" w:rsidRPr="008A1999">
        <w:t>the</w:t>
      </w:r>
      <w:r w:rsidR="00C957AF" w:rsidRPr="008A1999">
        <w:t xml:space="preserve"> </w:t>
      </w:r>
      <w:r w:rsidR="00CF118B">
        <w:t>“</w:t>
      </w:r>
      <w:r w:rsidR="00A37284" w:rsidRPr="008A1999">
        <w:t xml:space="preserve">mirror </w:t>
      </w:r>
      <w:r w:rsidR="00764744" w:rsidRPr="008A1999">
        <w:t>principle</w:t>
      </w:r>
      <w:r w:rsidR="00CF118B">
        <w:t>”</w:t>
      </w:r>
      <w:r w:rsidR="002D33FD" w:rsidRPr="008A1999">
        <w:t xml:space="preserve"> </w:t>
      </w:r>
      <w:r w:rsidR="00772804" w:rsidRPr="008A1999">
        <w:t xml:space="preserve">has </w:t>
      </w:r>
      <w:r w:rsidR="00CC1ABA" w:rsidRPr="008A1999">
        <w:t>thus</w:t>
      </w:r>
      <w:r w:rsidR="00B014EE" w:rsidRPr="008A1999">
        <w:t xml:space="preserve"> </w:t>
      </w:r>
      <w:r w:rsidR="00772804" w:rsidRPr="008A1999">
        <w:t>been through a number of different iterations</w:t>
      </w:r>
      <w:r w:rsidR="00403F73" w:rsidRPr="008A1999">
        <w:t>.</w:t>
      </w:r>
      <w:r w:rsidR="004A61DC" w:rsidRPr="008A1999">
        <w:t xml:space="preserve"> </w:t>
      </w:r>
      <w:r w:rsidR="00DD6A6F">
        <w:tab/>
      </w:r>
    </w:p>
    <w:p w14:paraId="1BF89B87" w14:textId="47F6D733" w:rsidR="00F167A9" w:rsidRPr="008A1999" w:rsidRDefault="003A51DE" w:rsidP="00DD6A6F">
      <w:pPr>
        <w:ind w:firstLine="720"/>
        <w:jc w:val="both"/>
        <w:rPr>
          <w:color w:val="000000" w:themeColor="text1"/>
        </w:rPr>
      </w:pPr>
      <w:r w:rsidRPr="008A1999">
        <w:rPr>
          <w:color w:val="000000" w:themeColor="text1"/>
        </w:rPr>
        <w:t>In one respect, the</w:t>
      </w:r>
      <w:r w:rsidR="009A29E6" w:rsidRPr="008A1999">
        <w:rPr>
          <w:color w:val="000000" w:themeColor="text1"/>
        </w:rPr>
        <w:t xml:space="preserve"> </w:t>
      </w:r>
      <w:r w:rsidR="004B7408" w:rsidRPr="008A1999">
        <w:rPr>
          <w:color w:val="000000" w:themeColor="text1"/>
        </w:rPr>
        <w:t>mirror principle has been heavily qualified. D</w:t>
      </w:r>
      <w:r w:rsidR="00980714" w:rsidRPr="008A1999">
        <w:rPr>
          <w:color w:val="000000" w:themeColor="text1"/>
        </w:rPr>
        <w:t>omestic</w:t>
      </w:r>
      <w:r w:rsidR="00353E97" w:rsidRPr="008A1999">
        <w:rPr>
          <w:color w:val="000000" w:themeColor="text1"/>
        </w:rPr>
        <w:t xml:space="preserve"> courts</w:t>
      </w:r>
      <w:r w:rsidR="00980714" w:rsidRPr="008A1999">
        <w:rPr>
          <w:color w:val="000000" w:themeColor="text1"/>
        </w:rPr>
        <w:t xml:space="preserve"> </w:t>
      </w:r>
      <w:r w:rsidR="009A29E6" w:rsidRPr="008A1999">
        <w:rPr>
          <w:color w:val="000000" w:themeColor="text1"/>
        </w:rPr>
        <w:t>have</w:t>
      </w:r>
      <w:r w:rsidR="00353E97" w:rsidRPr="008A1999">
        <w:rPr>
          <w:color w:val="000000" w:themeColor="text1"/>
        </w:rPr>
        <w:t>, as Graham observes,</w:t>
      </w:r>
      <w:r w:rsidR="00403F73" w:rsidRPr="008A1999">
        <w:rPr>
          <w:color w:val="000000" w:themeColor="text1"/>
        </w:rPr>
        <w:t xml:space="preserve"> gradually</w:t>
      </w:r>
      <w:r w:rsidR="009A29E6" w:rsidRPr="008A1999">
        <w:rPr>
          <w:color w:val="000000" w:themeColor="text1"/>
        </w:rPr>
        <w:t xml:space="preserve"> </w:t>
      </w:r>
      <w:r w:rsidR="00BE1ACC" w:rsidRPr="008A1999">
        <w:rPr>
          <w:color w:val="000000" w:themeColor="text1"/>
        </w:rPr>
        <w:t>“</w:t>
      </w:r>
      <w:r w:rsidR="009A29E6" w:rsidRPr="008A1999">
        <w:rPr>
          <w:color w:val="000000" w:themeColor="text1"/>
        </w:rPr>
        <w:t>adopted</w:t>
      </w:r>
      <w:r w:rsidR="00980714" w:rsidRPr="008A1999">
        <w:rPr>
          <w:color w:val="000000" w:themeColor="text1"/>
        </w:rPr>
        <w:t xml:space="preserve"> a much more assertive stance in relation to Strasbourg”</w:t>
      </w:r>
      <w:r w:rsidR="00C01C28" w:rsidRPr="008A1999">
        <w:rPr>
          <w:color w:val="000000" w:themeColor="text1"/>
        </w:rPr>
        <w:t>.</w:t>
      </w:r>
      <w:r w:rsidR="00980714" w:rsidRPr="008A1999">
        <w:rPr>
          <w:rStyle w:val="FootnoteReference"/>
          <w:color w:val="000000" w:themeColor="text1"/>
        </w:rPr>
        <w:footnoteReference w:id="2"/>
      </w:r>
      <w:r w:rsidR="008230CC" w:rsidRPr="008A1999">
        <w:rPr>
          <w:color w:val="000000" w:themeColor="text1"/>
        </w:rPr>
        <w:t xml:space="preserve"> </w:t>
      </w:r>
      <w:r w:rsidR="004D4870" w:rsidRPr="008A1999">
        <w:rPr>
          <w:color w:val="000000" w:themeColor="text1"/>
        </w:rPr>
        <w:t xml:space="preserve">There is now </w:t>
      </w:r>
      <w:r w:rsidR="007E2AC7" w:rsidRPr="008A1999">
        <w:rPr>
          <w:color w:val="000000" w:themeColor="text1"/>
        </w:rPr>
        <w:t xml:space="preserve">a wide range of circumstances in which </w:t>
      </w:r>
      <w:r w:rsidR="00932814" w:rsidRPr="008A1999">
        <w:rPr>
          <w:color w:val="000000" w:themeColor="text1"/>
        </w:rPr>
        <w:t xml:space="preserve">UK jurisprudence allows the </w:t>
      </w:r>
      <w:r w:rsidR="007E2AC7" w:rsidRPr="008A1999">
        <w:rPr>
          <w:color w:val="000000" w:themeColor="text1"/>
        </w:rPr>
        <w:t xml:space="preserve">domestic courts to give </w:t>
      </w:r>
      <w:r w:rsidR="007E2AC7" w:rsidRPr="008A1999">
        <w:rPr>
          <w:i/>
          <w:iCs/>
          <w:color w:val="000000" w:themeColor="text1"/>
        </w:rPr>
        <w:t>less</w:t>
      </w:r>
      <w:r w:rsidR="007E2AC7" w:rsidRPr="008A1999">
        <w:rPr>
          <w:color w:val="000000" w:themeColor="text1"/>
        </w:rPr>
        <w:t xml:space="preserve"> protection to </w:t>
      </w:r>
      <w:r w:rsidR="000363EC" w:rsidRPr="008A1999">
        <w:rPr>
          <w:color w:val="000000" w:themeColor="text1"/>
        </w:rPr>
        <w:t>Convention</w:t>
      </w:r>
      <w:r w:rsidR="007E2AC7" w:rsidRPr="008A1999">
        <w:rPr>
          <w:color w:val="000000" w:themeColor="text1"/>
        </w:rPr>
        <w:t xml:space="preserve"> rights than the ECtHR</w:t>
      </w:r>
      <w:r w:rsidR="002344E9" w:rsidRPr="008A1999">
        <w:rPr>
          <w:color w:val="000000" w:themeColor="text1"/>
        </w:rPr>
        <w:t xml:space="preserve"> would</w:t>
      </w:r>
      <w:r w:rsidR="00F91066" w:rsidRPr="008A1999">
        <w:rPr>
          <w:color w:val="000000" w:themeColor="text1"/>
        </w:rPr>
        <w:t>.</w:t>
      </w:r>
      <w:r w:rsidR="00F91066" w:rsidRPr="008A1999">
        <w:rPr>
          <w:rStyle w:val="FootnoteReference"/>
          <w:color w:val="000000" w:themeColor="text1"/>
        </w:rPr>
        <w:footnoteReference w:id="3"/>
      </w:r>
      <w:r w:rsidR="00F91066" w:rsidRPr="008A1999">
        <w:rPr>
          <w:color w:val="000000" w:themeColor="text1"/>
        </w:rPr>
        <w:t xml:space="preserve"> </w:t>
      </w:r>
      <w:r w:rsidR="00D2093A" w:rsidRPr="008A1999">
        <w:rPr>
          <w:color w:val="000000" w:themeColor="text1"/>
        </w:rPr>
        <w:t xml:space="preserve">However, </w:t>
      </w:r>
      <w:r w:rsidR="000D05FC" w:rsidRPr="008A1999">
        <w:rPr>
          <w:color w:val="000000" w:themeColor="text1"/>
        </w:rPr>
        <w:t xml:space="preserve">in another respect, </w:t>
      </w:r>
      <w:r w:rsidR="00D2093A" w:rsidRPr="008A1999">
        <w:rPr>
          <w:color w:val="000000" w:themeColor="text1"/>
        </w:rPr>
        <w:t>two very recent Supreme Court judgments</w:t>
      </w:r>
      <w:r w:rsidR="008D6E53">
        <w:rPr>
          <w:color w:val="000000" w:themeColor="text1"/>
        </w:rPr>
        <w:t>—</w:t>
      </w:r>
      <w:r w:rsidR="00D2093A" w:rsidRPr="008A1999">
        <w:rPr>
          <w:i/>
          <w:iCs/>
          <w:color w:val="000000" w:themeColor="text1"/>
        </w:rPr>
        <w:t>AB</w:t>
      </w:r>
      <w:r w:rsidR="00D2093A" w:rsidRPr="008A1999">
        <w:rPr>
          <w:rStyle w:val="FootnoteReference"/>
          <w:color w:val="000000" w:themeColor="text1"/>
        </w:rPr>
        <w:footnoteReference w:id="4"/>
      </w:r>
      <w:r w:rsidR="00D2093A" w:rsidRPr="008A1999">
        <w:rPr>
          <w:i/>
          <w:iCs/>
          <w:color w:val="000000" w:themeColor="text1"/>
        </w:rPr>
        <w:t xml:space="preserve"> </w:t>
      </w:r>
      <w:r w:rsidR="00D2093A" w:rsidRPr="008A1999">
        <w:rPr>
          <w:color w:val="000000" w:themeColor="text1"/>
        </w:rPr>
        <w:t xml:space="preserve">and </w:t>
      </w:r>
      <w:r w:rsidR="00D2093A" w:rsidRPr="008A1999">
        <w:rPr>
          <w:i/>
          <w:iCs/>
          <w:color w:val="000000" w:themeColor="text1"/>
        </w:rPr>
        <w:t>Elan-Cane</w:t>
      </w:r>
      <w:r w:rsidR="00D2093A" w:rsidRPr="008A1999">
        <w:rPr>
          <w:rStyle w:val="FootnoteReference"/>
          <w:color w:val="000000" w:themeColor="text1"/>
        </w:rPr>
        <w:footnoteReference w:id="5"/>
      </w:r>
      <w:r w:rsidR="008D6E53">
        <w:rPr>
          <w:color w:val="000000" w:themeColor="text1"/>
        </w:rPr>
        <w:t>—</w:t>
      </w:r>
      <w:r w:rsidR="00D2093A" w:rsidRPr="008A1999">
        <w:rPr>
          <w:color w:val="000000" w:themeColor="text1"/>
        </w:rPr>
        <w:t xml:space="preserve">have moved </w:t>
      </w:r>
      <w:r w:rsidR="00AC0D51" w:rsidRPr="008A1999">
        <w:rPr>
          <w:color w:val="000000" w:themeColor="text1"/>
        </w:rPr>
        <w:t xml:space="preserve">the </w:t>
      </w:r>
      <w:r w:rsidR="00576BE0" w:rsidRPr="008A1999">
        <w:rPr>
          <w:color w:val="000000" w:themeColor="text1"/>
        </w:rPr>
        <w:t>domestic</w:t>
      </w:r>
      <w:r w:rsidR="00DC78B1" w:rsidRPr="008A1999">
        <w:rPr>
          <w:color w:val="000000" w:themeColor="text1"/>
        </w:rPr>
        <w:t xml:space="preserve"> </w:t>
      </w:r>
      <w:r w:rsidR="00AC0D51" w:rsidRPr="008A1999">
        <w:rPr>
          <w:color w:val="000000" w:themeColor="text1"/>
        </w:rPr>
        <w:t xml:space="preserve">courts </w:t>
      </w:r>
      <w:r w:rsidR="00D2093A" w:rsidRPr="008A1999">
        <w:rPr>
          <w:color w:val="000000" w:themeColor="text1"/>
        </w:rPr>
        <w:t>back towards a</w:t>
      </w:r>
      <w:r w:rsidR="00BE1ACC" w:rsidRPr="008A1999">
        <w:rPr>
          <w:color w:val="000000" w:themeColor="text1"/>
        </w:rPr>
        <w:t xml:space="preserve"> </w:t>
      </w:r>
      <w:r w:rsidR="00D2093A" w:rsidRPr="008A1999">
        <w:rPr>
          <w:color w:val="000000" w:themeColor="text1"/>
        </w:rPr>
        <w:t xml:space="preserve">stricter </w:t>
      </w:r>
      <w:r w:rsidR="008D6E53">
        <w:rPr>
          <w:color w:val="000000" w:themeColor="text1"/>
        </w:rPr>
        <w:t>“</w:t>
      </w:r>
      <w:r w:rsidR="00D2093A" w:rsidRPr="008A1999">
        <w:rPr>
          <w:color w:val="000000" w:themeColor="text1"/>
        </w:rPr>
        <w:t>mirror principle</w:t>
      </w:r>
      <w:r w:rsidR="008D6E53">
        <w:rPr>
          <w:color w:val="000000" w:themeColor="text1"/>
        </w:rPr>
        <w:t>”</w:t>
      </w:r>
      <w:r w:rsidR="00916E45" w:rsidRPr="008A1999">
        <w:rPr>
          <w:color w:val="000000" w:themeColor="text1"/>
        </w:rPr>
        <w:t>. There is</w:t>
      </w:r>
      <w:r w:rsidR="00AC0D51" w:rsidRPr="008A1999">
        <w:rPr>
          <w:color w:val="000000" w:themeColor="text1"/>
        </w:rPr>
        <w:t xml:space="preserve"> now only a </w:t>
      </w:r>
      <w:r w:rsidR="00957835" w:rsidRPr="008A1999">
        <w:rPr>
          <w:color w:val="000000" w:themeColor="text1"/>
        </w:rPr>
        <w:t>small number of</w:t>
      </w:r>
      <w:r w:rsidR="007E2AC7" w:rsidRPr="008A1999">
        <w:rPr>
          <w:color w:val="000000" w:themeColor="text1"/>
        </w:rPr>
        <w:t xml:space="preserve"> circumstances </w:t>
      </w:r>
      <w:r w:rsidR="00957835" w:rsidRPr="008A1999">
        <w:rPr>
          <w:color w:val="000000" w:themeColor="text1"/>
        </w:rPr>
        <w:t>in which</w:t>
      </w:r>
      <w:r w:rsidR="007E2AC7" w:rsidRPr="008A1999">
        <w:rPr>
          <w:color w:val="000000" w:themeColor="text1"/>
        </w:rPr>
        <w:t xml:space="preserve"> domestic courts are permitted to give </w:t>
      </w:r>
      <w:r w:rsidR="00AF700A" w:rsidRPr="008A1999">
        <w:rPr>
          <w:color w:val="000000" w:themeColor="text1"/>
        </w:rPr>
        <w:t>Convention</w:t>
      </w:r>
      <w:r w:rsidR="007E2AC7" w:rsidRPr="008A1999">
        <w:rPr>
          <w:color w:val="000000" w:themeColor="text1"/>
        </w:rPr>
        <w:t xml:space="preserve"> rights </w:t>
      </w:r>
      <w:r w:rsidR="007E2AC7" w:rsidRPr="008A1999">
        <w:rPr>
          <w:i/>
          <w:iCs/>
          <w:color w:val="000000" w:themeColor="text1"/>
        </w:rPr>
        <w:t>more</w:t>
      </w:r>
      <w:r w:rsidR="007E2AC7" w:rsidRPr="008A1999">
        <w:rPr>
          <w:color w:val="000000" w:themeColor="text1"/>
        </w:rPr>
        <w:t xml:space="preserve"> generous protection</w:t>
      </w:r>
      <w:r w:rsidR="00BC7D05" w:rsidRPr="008A1999">
        <w:rPr>
          <w:color w:val="000000" w:themeColor="text1"/>
        </w:rPr>
        <w:t xml:space="preserve"> than </w:t>
      </w:r>
      <w:r w:rsidR="00E53D54" w:rsidRPr="008A1999">
        <w:rPr>
          <w:color w:val="000000" w:themeColor="text1"/>
        </w:rPr>
        <w:t xml:space="preserve">they are given by </w:t>
      </w:r>
      <w:r w:rsidR="00BC7D05" w:rsidRPr="008A1999">
        <w:rPr>
          <w:color w:val="000000" w:themeColor="text1"/>
        </w:rPr>
        <w:t>the ECtHR</w:t>
      </w:r>
      <w:r w:rsidR="007E2AC7" w:rsidRPr="008A1999">
        <w:rPr>
          <w:color w:val="000000" w:themeColor="text1"/>
        </w:rPr>
        <w:t>.</w:t>
      </w:r>
      <w:r w:rsidR="00517602">
        <w:rPr>
          <w:rStyle w:val="FootnoteReference"/>
          <w:color w:val="000000" w:themeColor="text1"/>
        </w:rPr>
        <w:footnoteReference w:id="6"/>
      </w:r>
      <w:r w:rsidR="007E2AC7" w:rsidRPr="008A1999">
        <w:rPr>
          <w:color w:val="000000" w:themeColor="text1"/>
        </w:rPr>
        <w:t xml:space="preserve"> </w:t>
      </w:r>
    </w:p>
    <w:p w14:paraId="6142D4E0" w14:textId="22377FD0" w:rsidR="006A5F6F" w:rsidRPr="008A1999" w:rsidRDefault="00C51157" w:rsidP="00DD6A6F">
      <w:pPr>
        <w:ind w:firstLine="720"/>
        <w:jc w:val="both"/>
      </w:pPr>
      <w:r w:rsidRPr="008A1999">
        <w:lastRenderedPageBreak/>
        <w:t>A</w:t>
      </w:r>
      <w:r w:rsidR="00A90410" w:rsidRPr="008A1999">
        <w:t xml:space="preserve">longside the development of the </w:t>
      </w:r>
      <w:r w:rsidR="008D6E53">
        <w:t>“</w:t>
      </w:r>
      <w:r w:rsidR="00A90410" w:rsidRPr="008A1999">
        <w:t>mirror principle</w:t>
      </w:r>
      <w:r w:rsidR="008D6E53">
        <w:t>”</w:t>
      </w:r>
      <w:r w:rsidR="00A90410" w:rsidRPr="008A1999">
        <w:t xml:space="preserve"> </w:t>
      </w:r>
      <w:r w:rsidR="00576BE0" w:rsidRPr="008A1999">
        <w:t>in</w:t>
      </w:r>
      <w:r w:rsidR="00A90410" w:rsidRPr="008A1999">
        <w:t xml:space="preserve"> the courts</w:t>
      </w:r>
      <w:r w:rsidR="00576BE0" w:rsidRPr="008A1999">
        <w:t>,</w:t>
      </w:r>
      <w:r w:rsidR="002570C6" w:rsidRPr="008A1999">
        <w:t xml:space="preserve"> </w:t>
      </w:r>
      <w:r w:rsidR="00A90410" w:rsidRPr="008A1999">
        <w:t>there has also been a remarkable amount of extra-judicial</w:t>
      </w:r>
      <w:r w:rsidR="003C3155" w:rsidRPr="008A1999">
        <w:rPr>
          <w:rStyle w:val="FootnoteReference"/>
        </w:rPr>
        <w:footnoteReference w:id="7"/>
      </w:r>
      <w:r w:rsidR="00A90410" w:rsidRPr="008A1999">
        <w:t xml:space="preserve"> and academic commentary</w:t>
      </w:r>
      <w:r w:rsidR="00E572D7" w:rsidRPr="008A1999">
        <w:t>,</w:t>
      </w:r>
      <w:r w:rsidR="008E0599" w:rsidRPr="008A1999">
        <w:rPr>
          <w:rStyle w:val="FootnoteReference"/>
        </w:rPr>
        <w:footnoteReference w:id="8"/>
      </w:r>
      <w:r w:rsidR="00E21FE6" w:rsidRPr="008A1999">
        <w:t xml:space="preserve"> as well</w:t>
      </w:r>
      <w:r w:rsidR="00F53995" w:rsidRPr="008A1999">
        <w:t xml:space="preserve"> as</w:t>
      </w:r>
      <w:r w:rsidR="00221B72" w:rsidRPr="008A1999">
        <w:t xml:space="preserve"> political controvers</w:t>
      </w:r>
      <w:r w:rsidR="00F53995" w:rsidRPr="008A1999">
        <w:t>y</w:t>
      </w:r>
      <w:r w:rsidR="008D6E53">
        <w:rPr>
          <w:color w:val="000000" w:themeColor="text1"/>
        </w:rPr>
        <w:t>—</w:t>
      </w:r>
      <w:r w:rsidR="00221B72" w:rsidRPr="008A1999">
        <w:t>with the</w:t>
      </w:r>
      <w:r w:rsidR="006A5F6F" w:rsidRPr="008A1999">
        <w:t xml:space="preserve"> Conservative party repeatedly pledg</w:t>
      </w:r>
      <w:r w:rsidR="00221B72" w:rsidRPr="008A1999">
        <w:t>ing</w:t>
      </w:r>
      <w:r w:rsidR="006A5F6F" w:rsidRPr="008A1999">
        <w:t xml:space="preserve"> to break the link between the domestic courts and Strasbourg.</w:t>
      </w:r>
      <w:r w:rsidR="009B6732" w:rsidRPr="008A1999">
        <w:rPr>
          <w:rStyle w:val="FootnoteReference"/>
        </w:rPr>
        <w:footnoteReference w:id="9"/>
      </w:r>
      <w:r w:rsidR="006A5F6F" w:rsidRPr="008A1999">
        <w:t xml:space="preserve"> </w:t>
      </w:r>
      <w:r w:rsidR="009C3571" w:rsidRPr="008A1999">
        <w:t>T</w:t>
      </w:r>
      <w:r w:rsidR="002279ED" w:rsidRPr="008A1999">
        <w:t xml:space="preserve">his has </w:t>
      </w:r>
      <w:r w:rsidR="007C1D45" w:rsidRPr="008A1999">
        <w:t>once again</w:t>
      </w:r>
      <w:r w:rsidR="00AD27A1" w:rsidRPr="008A1999">
        <w:t xml:space="preserve"> </w:t>
      </w:r>
      <w:r w:rsidR="002279ED" w:rsidRPr="008A1999">
        <w:t>become a</w:t>
      </w:r>
      <w:r w:rsidR="007A6528" w:rsidRPr="008A1999">
        <w:t xml:space="preserve"> </w:t>
      </w:r>
      <w:r w:rsidR="008D6E53">
        <w:t>“</w:t>
      </w:r>
      <w:r w:rsidR="007A6528" w:rsidRPr="008A1999">
        <w:t>hot topic</w:t>
      </w:r>
      <w:r w:rsidR="008D6E53">
        <w:t>”</w:t>
      </w:r>
      <w:r w:rsidR="007A6528" w:rsidRPr="008A1999">
        <w:t xml:space="preserve"> </w:t>
      </w:r>
      <w:r w:rsidR="009C3571" w:rsidRPr="008A1999">
        <w:t>of late</w:t>
      </w:r>
      <w:r w:rsidR="004240B7" w:rsidRPr="008A1999">
        <w:t xml:space="preserve">, </w:t>
      </w:r>
      <w:r w:rsidR="00FA3A88" w:rsidRPr="008A1999">
        <w:t xml:space="preserve">because clause 3(3) of the Bill of Rights Bill </w:t>
      </w:r>
      <w:r w:rsidR="00BD6BC8">
        <w:t xml:space="preserve">2022-23 </w:t>
      </w:r>
      <w:r w:rsidR="00F57AC5" w:rsidRPr="008A1999">
        <w:t>(</w:t>
      </w:r>
      <w:r w:rsidR="00FA3A88" w:rsidRPr="008A1999">
        <w:t>which is currently before Parliament</w:t>
      </w:r>
      <w:r w:rsidR="00F57AC5" w:rsidRPr="008A1999">
        <w:t>)</w:t>
      </w:r>
      <w:r w:rsidR="00FA3A88" w:rsidRPr="008A1999">
        <w:t xml:space="preserve"> aims to </w:t>
      </w:r>
      <w:r w:rsidR="008D604B" w:rsidRPr="008A1999">
        <w:t>enshrine the main t</w:t>
      </w:r>
      <w:r w:rsidR="004240B7" w:rsidRPr="008A1999">
        <w:t>hrust</w:t>
      </w:r>
      <w:r w:rsidR="008D604B" w:rsidRPr="008A1999">
        <w:t xml:space="preserve"> of the current </w:t>
      </w:r>
      <w:r w:rsidR="000F5601" w:rsidRPr="008A1999">
        <w:t>domestic</w:t>
      </w:r>
      <w:r w:rsidR="00655DB3" w:rsidRPr="008A1999">
        <w:t xml:space="preserve"> jurisprudence by </w:t>
      </w:r>
      <w:r w:rsidR="00560B66" w:rsidRPr="008A1999">
        <w:t>replacing</w:t>
      </w:r>
      <w:r w:rsidR="00FA3A88" w:rsidRPr="008A1999">
        <w:t xml:space="preserve"> s.2 HRA </w:t>
      </w:r>
      <w:r w:rsidR="001D1446" w:rsidRPr="008A1999">
        <w:t>with the effect</w:t>
      </w:r>
      <w:r w:rsidR="00655DB3" w:rsidRPr="008A1999">
        <w:t xml:space="preserve"> that </w:t>
      </w:r>
      <w:r w:rsidR="00FA3A88" w:rsidRPr="008A1999">
        <w:t>domestic courts</w:t>
      </w:r>
      <w:r w:rsidR="00560B66" w:rsidRPr="008A1999">
        <w:t xml:space="preserve"> </w:t>
      </w:r>
      <w:r w:rsidR="001D1446" w:rsidRPr="008A1999">
        <w:t>would be</w:t>
      </w:r>
      <w:r w:rsidR="00560B66" w:rsidRPr="008A1999">
        <w:t xml:space="preserve"> expressly permitted</w:t>
      </w:r>
      <w:r w:rsidR="00FA3A88" w:rsidRPr="008A1999">
        <w:t xml:space="preserve"> to give less protection to Convention rights than Strasbourg</w:t>
      </w:r>
      <w:r w:rsidR="00234E2E" w:rsidRPr="008A1999">
        <w:t xml:space="preserve"> </w:t>
      </w:r>
      <w:r w:rsidR="00C25578" w:rsidRPr="008A1999">
        <w:t>gives them</w:t>
      </w:r>
      <w:r w:rsidR="003A6DFA" w:rsidRPr="008A1999">
        <w:t>,</w:t>
      </w:r>
      <w:r w:rsidR="00553014" w:rsidRPr="008A1999">
        <w:t xml:space="preserve"> </w:t>
      </w:r>
      <w:r w:rsidR="00E85E29" w:rsidRPr="008A1999">
        <w:t>but also</w:t>
      </w:r>
      <w:r w:rsidR="00FC7F12" w:rsidRPr="008A1999">
        <w:t xml:space="preserve"> </w:t>
      </w:r>
      <w:r w:rsidR="00EB2B01" w:rsidRPr="008A1999">
        <w:t xml:space="preserve">expressly </w:t>
      </w:r>
      <w:r w:rsidR="00B01FE2" w:rsidRPr="008A1999">
        <w:t>prohibit</w:t>
      </w:r>
      <w:r w:rsidR="001246B3" w:rsidRPr="008A1999">
        <w:t>ed</w:t>
      </w:r>
      <w:r w:rsidR="00B01FE2" w:rsidRPr="008A1999">
        <w:t xml:space="preserve"> from adopting a more generous interpretation of Convention rights than Strasbourg</w:t>
      </w:r>
      <w:r w:rsidR="00AD27A1" w:rsidRPr="008A1999">
        <w:t>.</w:t>
      </w:r>
      <w:r w:rsidR="00AD27A1" w:rsidRPr="008A1999">
        <w:rPr>
          <w:rStyle w:val="FootnoteReference"/>
        </w:rPr>
        <w:footnoteReference w:id="10"/>
      </w:r>
    </w:p>
    <w:p w14:paraId="724CA95C" w14:textId="376C1BC4" w:rsidR="00A40329" w:rsidRPr="008A1999" w:rsidRDefault="00444E61" w:rsidP="00DD6A6F">
      <w:pPr>
        <w:ind w:firstLine="720"/>
        <w:jc w:val="both"/>
      </w:pPr>
      <w:r w:rsidRPr="008A1999">
        <w:t>However, in</w:t>
      </w:r>
      <w:r w:rsidR="00F16DB6" w:rsidRPr="008A1999">
        <w:t xml:space="preserve"> the midst of th</w:t>
      </w:r>
      <w:r w:rsidR="00FD1625" w:rsidRPr="008A1999">
        <w:t>is</w:t>
      </w:r>
      <w:r w:rsidR="00F16DB6" w:rsidRPr="008A1999">
        <w:t xml:space="preserve"> excitement abo</w:t>
      </w:r>
      <w:r w:rsidR="004F5F15" w:rsidRPr="008A1999">
        <w:t xml:space="preserve">ut the </w:t>
      </w:r>
      <w:r w:rsidR="007E2AC7" w:rsidRPr="008A1999">
        <w:t xml:space="preserve">development of the </w:t>
      </w:r>
      <w:r w:rsidR="00DE3AFB">
        <w:t>“</w:t>
      </w:r>
      <w:r w:rsidR="007E2AC7" w:rsidRPr="008A1999">
        <w:t>mirror principle</w:t>
      </w:r>
      <w:r w:rsidR="00DE3AFB">
        <w:t>”</w:t>
      </w:r>
      <w:r w:rsidR="007E2AC7" w:rsidRPr="008A1999">
        <w:t xml:space="preserve"> </w:t>
      </w:r>
      <w:r w:rsidR="009C6DF2" w:rsidRPr="008A1999">
        <w:t>(</w:t>
      </w:r>
      <w:r w:rsidR="007E2AC7" w:rsidRPr="008A1999">
        <w:t xml:space="preserve">and </w:t>
      </w:r>
      <w:r w:rsidR="004E04B4" w:rsidRPr="008A1999">
        <w:t xml:space="preserve">about </w:t>
      </w:r>
      <w:r w:rsidR="007779EF" w:rsidRPr="008A1999">
        <w:t>c</w:t>
      </w:r>
      <w:r w:rsidR="004F5F15" w:rsidRPr="008A1999">
        <w:t>lause 3(3)</w:t>
      </w:r>
      <w:r w:rsidR="007E2AC7" w:rsidRPr="008A1999">
        <w:t xml:space="preserve"> of the Bill</w:t>
      </w:r>
      <w:r w:rsidR="00DE3AFB">
        <w:t xml:space="preserve"> of Rights Bill</w:t>
      </w:r>
      <w:r w:rsidR="009C6DF2" w:rsidRPr="008A1999">
        <w:t>)</w:t>
      </w:r>
      <w:r w:rsidR="004F5F15" w:rsidRPr="008A1999">
        <w:t>, one important que</w:t>
      </w:r>
      <w:r w:rsidR="0024326D" w:rsidRPr="008A1999">
        <w:t>stion has gone almost unnoticed</w:t>
      </w:r>
      <w:r w:rsidR="00944D49" w:rsidRPr="008A1999">
        <w:rPr>
          <w:rStyle w:val="FootnoteReference"/>
        </w:rPr>
        <w:footnoteReference w:id="11"/>
      </w:r>
      <w:r w:rsidR="00DE3AFB">
        <w:rPr>
          <w:color w:val="000000" w:themeColor="text1"/>
        </w:rPr>
        <w:t>—</w:t>
      </w:r>
      <w:r w:rsidR="00024559" w:rsidRPr="008A1999">
        <w:t xml:space="preserve">namely, what does the ECtHR itself think </w:t>
      </w:r>
      <w:r w:rsidR="00AC2F66" w:rsidRPr="008A1999">
        <w:t>about the role of national courts</w:t>
      </w:r>
      <w:r w:rsidR="00D80216" w:rsidRPr="008A1999">
        <w:t xml:space="preserve">, </w:t>
      </w:r>
      <w:r w:rsidR="00AC2F66" w:rsidRPr="008A1999">
        <w:t xml:space="preserve">its own role, and </w:t>
      </w:r>
      <w:r w:rsidR="00FD587B" w:rsidRPr="008A1999">
        <w:t xml:space="preserve">the relationship between </w:t>
      </w:r>
      <w:r w:rsidR="00F65D4A" w:rsidRPr="008A1999">
        <w:t>the t</w:t>
      </w:r>
      <w:r w:rsidR="00A40329" w:rsidRPr="008A1999">
        <w:t xml:space="preserve">wo? </w:t>
      </w:r>
      <w:r w:rsidR="008E5EDB" w:rsidRPr="008A1999">
        <w:t>Does the</w:t>
      </w:r>
      <w:r w:rsidR="004E04B4" w:rsidRPr="008A1999">
        <w:t xml:space="preserve"> current state of</w:t>
      </w:r>
      <w:r w:rsidR="008E5EDB" w:rsidRPr="008A1999">
        <w:t xml:space="preserve"> </w:t>
      </w:r>
      <w:r w:rsidR="00A67498" w:rsidRPr="008A1999">
        <w:t>domestic</w:t>
      </w:r>
      <w:r w:rsidR="008E5EDB" w:rsidRPr="008A1999">
        <w:t xml:space="preserve"> juri</w:t>
      </w:r>
      <w:r w:rsidR="00154FCB" w:rsidRPr="008A1999">
        <w:t>sprudence</w:t>
      </w:r>
      <w:r w:rsidR="00A112A3" w:rsidRPr="008A1999">
        <w:t xml:space="preserve"> fit</w:t>
      </w:r>
      <w:r w:rsidR="00F265A6" w:rsidRPr="008A1999">
        <w:t xml:space="preserve"> with the ECtHR’s </w:t>
      </w:r>
      <w:r w:rsidR="00A267C5" w:rsidRPr="008A1999">
        <w:t xml:space="preserve">own </w:t>
      </w:r>
      <w:r w:rsidR="00F265A6" w:rsidRPr="008A1999">
        <w:t xml:space="preserve">view of its </w:t>
      </w:r>
      <w:r w:rsidR="00613363" w:rsidRPr="008A1999">
        <w:t xml:space="preserve">relationship to the </w:t>
      </w:r>
      <w:r w:rsidR="00A112A3" w:rsidRPr="008A1999">
        <w:t>domestic</w:t>
      </w:r>
      <w:r w:rsidR="00613363" w:rsidRPr="008A1999">
        <w:t xml:space="preserve"> courts?</w:t>
      </w:r>
    </w:p>
    <w:p w14:paraId="4BE9D989" w14:textId="40E24315" w:rsidR="00854798" w:rsidRPr="008A1999" w:rsidRDefault="00DD6A6F" w:rsidP="00DD6A6F">
      <w:pPr>
        <w:ind w:firstLine="720"/>
        <w:jc w:val="both"/>
      </w:pPr>
      <w:r>
        <w:t>A</w:t>
      </w:r>
      <w:r w:rsidR="00613363" w:rsidRPr="008A1999">
        <w:t>t first gl</w:t>
      </w:r>
      <w:r w:rsidR="0010081D" w:rsidRPr="008A1999">
        <w:t xml:space="preserve">ance, it </w:t>
      </w:r>
      <w:r w:rsidR="00291035">
        <w:t>may seem</w:t>
      </w:r>
      <w:r w:rsidR="00854798" w:rsidRPr="008A1999">
        <w:t xml:space="preserve"> that ECtHR judges are happy with the current </w:t>
      </w:r>
      <w:r w:rsidR="00672332" w:rsidRPr="008A1999">
        <w:t>s.</w:t>
      </w:r>
      <w:r w:rsidR="00854798" w:rsidRPr="008A1999">
        <w:t>2</w:t>
      </w:r>
      <w:r w:rsidR="00957835" w:rsidRPr="008A1999">
        <w:t xml:space="preserve"> </w:t>
      </w:r>
      <w:r w:rsidR="008374BB" w:rsidRPr="008A1999">
        <w:t xml:space="preserve">HRA </w:t>
      </w:r>
      <w:r w:rsidR="00854798" w:rsidRPr="008A1999">
        <w:t xml:space="preserve">and with its interpretation by the </w:t>
      </w:r>
      <w:r w:rsidR="00994BD7" w:rsidRPr="008A1999">
        <w:t xml:space="preserve">UK </w:t>
      </w:r>
      <w:r w:rsidR="00854798" w:rsidRPr="008A1999">
        <w:t>courts</w:t>
      </w:r>
      <w:r w:rsidR="00DE3AFB">
        <w:rPr>
          <w:color w:val="000000" w:themeColor="text1"/>
        </w:rPr>
        <w:t>—</w:t>
      </w:r>
      <w:r w:rsidR="00854798" w:rsidRPr="008A1999">
        <w:t>indeed, senior Strasbourg judges have recently said as much.</w:t>
      </w:r>
      <w:r w:rsidR="00116876" w:rsidRPr="008A1999">
        <w:rPr>
          <w:rStyle w:val="FootnoteReference"/>
        </w:rPr>
        <w:footnoteReference w:id="12"/>
      </w:r>
      <w:r w:rsidR="00E07875" w:rsidRPr="008A1999">
        <w:t xml:space="preserve"> </w:t>
      </w:r>
      <w:r w:rsidR="00283459" w:rsidRPr="008A1999">
        <w:t xml:space="preserve">However, </w:t>
      </w:r>
      <w:r w:rsidR="00A54F3A" w:rsidRPr="008A1999">
        <w:t>looking deeper</w:t>
      </w:r>
      <w:r w:rsidR="007F1D36" w:rsidRPr="008A1999">
        <w:t>,</w:t>
      </w:r>
      <w:r w:rsidR="00E07875" w:rsidRPr="008A1999">
        <w:t xml:space="preserve"> </w:t>
      </w:r>
      <w:r w:rsidR="00A81F3B" w:rsidRPr="008A1999">
        <w:t xml:space="preserve">it </w:t>
      </w:r>
      <w:r w:rsidR="005A121B">
        <w:t>seems</w:t>
      </w:r>
      <w:r w:rsidR="00A81F3B" w:rsidRPr="008A1999">
        <w:t xml:space="preserve"> that the superficial appearance of consistency betw</w:t>
      </w:r>
      <w:r w:rsidR="00680864" w:rsidRPr="008A1999">
        <w:t xml:space="preserve">een the ECtHR’s view and the </w:t>
      </w:r>
      <w:r w:rsidR="005F08AF" w:rsidRPr="008A1999">
        <w:t xml:space="preserve">current </w:t>
      </w:r>
      <w:r w:rsidR="00680864" w:rsidRPr="008A1999">
        <w:t xml:space="preserve">view </w:t>
      </w:r>
      <w:r w:rsidR="003B5F5E" w:rsidRPr="008A1999">
        <w:t xml:space="preserve">of the </w:t>
      </w:r>
      <w:r w:rsidR="005F08AF" w:rsidRPr="008A1999">
        <w:t>domestic</w:t>
      </w:r>
      <w:r w:rsidR="003B5F5E" w:rsidRPr="008A1999">
        <w:t xml:space="preserve"> courts</w:t>
      </w:r>
      <w:r w:rsidR="00D45793" w:rsidRPr="008A1999">
        <w:t xml:space="preserve"> </w:t>
      </w:r>
      <w:r w:rsidR="00E95C33" w:rsidRPr="008A1999">
        <w:t xml:space="preserve">is </w:t>
      </w:r>
      <w:r w:rsidR="00994BD7" w:rsidRPr="008A1999">
        <w:t>to a significant ex</w:t>
      </w:r>
      <w:r w:rsidR="007214AD" w:rsidRPr="008A1999">
        <w:t xml:space="preserve">tent </w:t>
      </w:r>
      <w:r w:rsidR="00E95C33" w:rsidRPr="008A1999">
        <w:t>illusory</w:t>
      </w:r>
      <w:r w:rsidR="003556BA" w:rsidRPr="008A1999">
        <w:t xml:space="preserve">. </w:t>
      </w:r>
      <w:r w:rsidR="00BB65C0" w:rsidRPr="008A1999">
        <w:t>I</w:t>
      </w:r>
      <w:r w:rsidR="00391887" w:rsidRPr="008A1999">
        <w:t xml:space="preserve">n this </w:t>
      </w:r>
      <w:r w:rsidR="00E95C33" w:rsidRPr="008A1999">
        <w:t>article</w:t>
      </w:r>
      <w:r w:rsidR="00391887" w:rsidRPr="008A1999">
        <w:t>, I</w:t>
      </w:r>
      <w:r w:rsidR="006248DF" w:rsidRPr="008A1999">
        <w:t xml:space="preserve"> </w:t>
      </w:r>
      <w:r w:rsidR="008201C0" w:rsidRPr="008A1999">
        <w:t>argue that</w:t>
      </w:r>
      <w:r w:rsidR="00701A97" w:rsidRPr="008A1999">
        <w:t xml:space="preserve"> much of</w:t>
      </w:r>
      <w:r w:rsidR="008201C0" w:rsidRPr="008A1999">
        <w:t xml:space="preserve"> </w:t>
      </w:r>
      <w:r w:rsidR="00BB65C0" w:rsidRPr="008A1999">
        <w:t xml:space="preserve">the </w:t>
      </w:r>
      <w:r w:rsidR="001C6988" w:rsidRPr="008A1999">
        <w:t>ECtHR’s</w:t>
      </w:r>
      <w:r w:rsidR="00BB65C0" w:rsidRPr="008A1999">
        <w:t xml:space="preserve"> jurisprudence, and especially its jurisprudence </w:t>
      </w:r>
      <w:r w:rsidR="00964CE4" w:rsidRPr="008A1999">
        <w:t xml:space="preserve">after </w:t>
      </w:r>
      <w:r w:rsidR="004C713D" w:rsidRPr="008A1999">
        <w:t>the</w:t>
      </w:r>
      <w:r w:rsidR="00964CE4" w:rsidRPr="008A1999">
        <w:t xml:space="preserve"> </w:t>
      </w:r>
      <w:r w:rsidR="00DE3AFB">
        <w:t>“</w:t>
      </w:r>
      <w:r w:rsidR="00964CE4" w:rsidRPr="008A1999">
        <w:t>procedural turn</w:t>
      </w:r>
      <w:r w:rsidR="00DE3AFB">
        <w:t>”</w:t>
      </w:r>
      <w:r w:rsidR="00D7220B" w:rsidRPr="008A1999">
        <w:t>,</w:t>
      </w:r>
      <w:r w:rsidR="008D4AED" w:rsidRPr="008A1999">
        <w:rPr>
          <w:rStyle w:val="FootnoteReference"/>
        </w:rPr>
        <w:footnoteReference w:id="13"/>
      </w:r>
      <w:r w:rsidR="00D7220B" w:rsidRPr="008A1999">
        <w:t xml:space="preserve"> </w:t>
      </w:r>
      <w:r w:rsidR="007214AD" w:rsidRPr="008A1999">
        <w:t>in fact</w:t>
      </w:r>
      <w:r w:rsidR="0002383E" w:rsidRPr="008A1999">
        <w:t xml:space="preserve"> conflict</w:t>
      </w:r>
      <w:r w:rsidR="007214AD" w:rsidRPr="008A1999">
        <w:t>s</w:t>
      </w:r>
      <w:r w:rsidR="0002383E" w:rsidRPr="008A1999">
        <w:t xml:space="preserve"> </w:t>
      </w:r>
      <w:r w:rsidR="006C7BA3" w:rsidRPr="008A1999">
        <w:t>with elements of</w:t>
      </w:r>
      <w:r w:rsidR="0007355C" w:rsidRPr="008A1999">
        <w:t xml:space="preserve"> </w:t>
      </w:r>
      <w:r w:rsidR="000B0D21" w:rsidRPr="008A1999">
        <w:t>the</w:t>
      </w:r>
      <w:r w:rsidR="0072349E" w:rsidRPr="008A1999">
        <w:t xml:space="preserve"> </w:t>
      </w:r>
      <w:r w:rsidR="006D288B" w:rsidRPr="008A1999">
        <w:t>modern</w:t>
      </w:r>
      <w:r w:rsidR="0003155E" w:rsidRPr="008A1999">
        <w:t xml:space="preserve"> version of the</w:t>
      </w:r>
      <w:r w:rsidR="006D288B" w:rsidRPr="008A1999">
        <w:t xml:space="preserve"> </w:t>
      </w:r>
      <w:r w:rsidR="00DE3AFB">
        <w:t>“</w:t>
      </w:r>
      <w:r w:rsidR="000B0D21" w:rsidRPr="008A1999">
        <w:t>mirror principle</w:t>
      </w:r>
      <w:r w:rsidR="00DE3AFB">
        <w:t>”</w:t>
      </w:r>
      <w:r w:rsidR="00877F81" w:rsidRPr="008A1999">
        <w:t xml:space="preserve">. </w:t>
      </w:r>
    </w:p>
    <w:p w14:paraId="14B9784E" w14:textId="12F5F46A" w:rsidR="00C6162F" w:rsidRPr="008A1999" w:rsidRDefault="00DD6A6F" w:rsidP="00DD6A6F">
      <w:pPr>
        <w:ind w:firstLine="720"/>
        <w:jc w:val="both"/>
      </w:pPr>
      <w:r>
        <w:t>I</w:t>
      </w:r>
      <w:r w:rsidR="00FE1D60" w:rsidRPr="008A1999">
        <w:t xml:space="preserve"> identify </w:t>
      </w:r>
      <w:r w:rsidR="001805FE" w:rsidRPr="008A1999">
        <w:t>four</w:t>
      </w:r>
      <w:r w:rsidR="00FE1D60" w:rsidRPr="008A1999">
        <w:t xml:space="preserve"> </w:t>
      </w:r>
      <w:r w:rsidR="00F71055" w:rsidRPr="008A1999">
        <w:t>justifications</w:t>
      </w:r>
      <w:r w:rsidR="006A5802" w:rsidRPr="008A1999">
        <w:t xml:space="preserve"> </w:t>
      </w:r>
      <w:r w:rsidR="006325E3" w:rsidRPr="008A1999">
        <w:t xml:space="preserve">that </w:t>
      </w:r>
      <w:r w:rsidR="00F77849" w:rsidRPr="008A1999">
        <w:t xml:space="preserve">the </w:t>
      </w:r>
      <w:r w:rsidR="008B6608" w:rsidRPr="008A1999">
        <w:t>Supreme Court</w:t>
      </w:r>
      <w:r w:rsidR="003730B6" w:rsidRPr="008A1999">
        <w:t xml:space="preserve"> and academic commentators </w:t>
      </w:r>
      <w:r w:rsidR="008B6608" w:rsidRPr="008A1999">
        <w:t>ha</w:t>
      </w:r>
      <w:r w:rsidR="003730B6" w:rsidRPr="008A1999">
        <w:t>ve</w:t>
      </w:r>
      <w:r w:rsidR="000156A5" w:rsidRPr="008A1999">
        <w:t xml:space="preserve"> </w:t>
      </w:r>
      <w:r w:rsidR="00F71055" w:rsidRPr="008A1999">
        <w:t>given for</w:t>
      </w:r>
      <w:r w:rsidR="00EE065F" w:rsidRPr="008A1999">
        <w:t xml:space="preserve"> maintaining a</w:t>
      </w:r>
      <w:r w:rsidR="009A5174" w:rsidRPr="008A1999">
        <w:t xml:space="preserve"> strong</w:t>
      </w:r>
      <w:r w:rsidR="00EE065F" w:rsidRPr="008A1999">
        <w:t xml:space="preserve"> </w:t>
      </w:r>
      <w:r w:rsidR="00DE3AFB">
        <w:t>“</w:t>
      </w:r>
      <w:r w:rsidR="004D28A5" w:rsidRPr="008A1999">
        <w:t>mirror principle</w:t>
      </w:r>
      <w:r w:rsidR="00DE3AFB">
        <w:t>”</w:t>
      </w:r>
      <w:r w:rsidR="002957B4" w:rsidRPr="008A1999">
        <w:t>.</w:t>
      </w:r>
      <w:r w:rsidR="009B24A7" w:rsidRPr="008A1999">
        <w:t xml:space="preserve"> </w:t>
      </w:r>
      <w:r w:rsidR="00C6162F" w:rsidRPr="008A1999">
        <w:t xml:space="preserve">These four justifications </w:t>
      </w:r>
      <w:r w:rsidR="00157D1C" w:rsidRPr="008A1999">
        <w:t xml:space="preserve">for a strong version of the principle are: </w:t>
      </w:r>
      <w:r w:rsidR="00475C5E" w:rsidRPr="008A1999">
        <w:t xml:space="preserve">(1) that </w:t>
      </w:r>
      <w:r w:rsidR="00DE3AFB">
        <w:t>“</w:t>
      </w:r>
      <w:r w:rsidR="00475C5E" w:rsidRPr="008A1999">
        <w:t>the correct interpretation of the Convention can be authoritatively expounded only by the ECtHR</w:t>
      </w:r>
      <w:r w:rsidR="00DE3AFB">
        <w:t>”</w:t>
      </w:r>
      <w:r w:rsidR="00475C5E" w:rsidRPr="008A1999">
        <w:t xml:space="preserve">; (2) that </w:t>
      </w:r>
      <w:r w:rsidR="00DE3AFB">
        <w:t>“</w:t>
      </w:r>
      <w:r w:rsidR="00475C5E" w:rsidRPr="008A1999">
        <w:t>domestic Convention rights are not freestanding</w:t>
      </w:r>
      <w:r w:rsidR="00DE3AFB">
        <w:t>”</w:t>
      </w:r>
      <w:r w:rsidR="00475C5E" w:rsidRPr="008A1999">
        <w:t xml:space="preserve">; (3) that </w:t>
      </w:r>
      <w:r w:rsidR="00DE3AFB">
        <w:t>“</w:t>
      </w:r>
      <w:r w:rsidR="00475C5E" w:rsidRPr="008A1999">
        <w:t>the Convention has a uniform meaning throughout all the High Contracting Parties</w:t>
      </w:r>
      <w:r w:rsidR="00DE3AFB">
        <w:t>”</w:t>
      </w:r>
      <w:r w:rsidR="00475C5E" w:rsidRPr="008A1999">
        <w:t xml:space="preserve">; </w:t>
      </w:r>
      <w:r w:rsidR="00475C5E" w:rsidRPr="008A1999">
        <w:lastRenderedPageBreak/>
        <w:t xml:space="preserve">and (4) that </w:t>
      </w:r>
      <w:r w:rsidR="00DE3AFB">
        <w:t>“</w:t>
      </w:r>
      <w:r w:rsidR="00475C5E" w:rsidRPr="008A1999">
        <w:t>domestic courts should not normally diverge from ECtHR jurisprudence if the ECtHR would be likely to confirm its previous jurisprudence</w:t>
      </w:r>
      <w:r w:rsidR="00DE3AFB">
        <w:t>”</w:t>
      </w:r>
      <w:r w:rsidR="00475C5E" w:rsidRPr="008A1999">
        <w:rPr>
          <w:color w:val="000000" w:themeColor="text1"/>
        </w:rPr>
        <w:t xml:space="preserve">. I </w:t>
      </w:r>
      <w:r w:rsidR="00475C5E" w:rsidRPr="008A1999">
        <w:t>show how the UK courts and commentators have relied on these justifications in the past and how they still play a role in the modern mirror principle.</w:t>
      </w:r>
    </w:p>
    <w:p w14:paraId="787115B1" w14:textId="705E2544" w:rsidR="00DD0552" w:rsidRPr="008A1999" w:rsidRDefault="008B6608" w:rsidP="00DD6A6F">
      <w:pPr>
        <w:ind w:firstLine="720"/>
        <w:jc w:val="both"/>
      </w:pPr>
      <w:r w:rsidRPr="008A1999">
        <w:t xml:space="preserve">I argue that these </w:t>
      </w:r>
      <w:r w:rsidR="009B24A7" w:rsidRPr="008A1999">
        <w:t xml:space="preserve">justifications </w:t>
      </w:r>
      <w:r w:rsidR="000E6F0D" w:rsidRPr="008A1999">
        <w:t>are</w:t>
      </w:r>
      <w:r w:rsidR="004B5916" w:rsidRPr="008A1999">
        <w:t xml:space="preserve"> </w:t>
      </w:r>
      <w:r w:rsidR="009B24A7" w:rsidRPr="008A1999">
        <w:t xml:space="preserve">at odds with </w:t>
      </w:r>
      <w:r w:rsidR="000A2091" w:rsidRPr="008A1999">
        <w:t xml:space="preserve">the </w:t>
      </w:r>
      <w:r w:rsidR="009B24A7" w:rsidRPr="008A1999">
        <w:t>ECtHR’s</w:t>
      </w:r>
      <w:r w:rsidR="007E79D2" w:rsidRPr="008A1999">
        <w:t xml:space="preserve"> </w:t>
      </w:r>
      <w:r w:rsidR="000A2091" w:rsidRPr="008A1999">
        <w:t xml:space="preserve">own </w:t>
      </w:r>
      <w:r w:rsidR="009B24A7" w:rsidRPr="008A1999">
        <w:t xml:space="preserve">vision of </w:t>
      </w:r>
      <w:r w:rsidR="009C1E56" w:rsidRPr="008A1999">
        <w:t>its relationship</w:t>
      </w:r>
      <w:r w:rsidR="009B24A7" w:rsidRPr="008A1999">
        <w:t xml:space="preserve"> </w:t>
      </w:r>
      <w:r w:rsidR="00861552" w:rsidRPr="008A1999">
        <w:t xml:space="preserve">with </w:t>
      </w:r>
      <w:r w:rsidR="00F1695C" w:rsidRPr="008A1999">
        <w:t>national</w:t>
      </w:r>
      <w:r w:rsidR="009B24A7" w:rsidRPr="008A1999">
        <w:t xml:space="preserve"> </w:t>
      </w:r>
      <w:r w:rsidR="00302238" w:rsidRPr="008A1999">
        <w:t>courts</w:t>
      </w:r>
      <w:r w:rsidR="005A121B">
        <w:t>,</w:t>
      </w:r>
      <w:r w:rsidR="000A2091" w:rsidRPr="008A1999">
        <w:t xml:space="preserve"> and that</w:t>
      </w:r>
      <w:r w:rsidR="005A121B">
        <w:t xml:space="preserve"> </w:t>
      </w:r>
      <w:r w:rsidR="00F42E58" w:rsidRPr="008A1999">
        <w:t>the ECtHR</w:t>
      </w:r>
      <w:r w:rsidR="00390878" w:rsidRPr="008A1999">
        <w:t xml:space="preserve"> </w:t>
      </w:r>
      <w:r w:rsidR="00484519" w:rsidRPr="008A1999">
        <w:t>counter-intuitively</w:t>
      </w:r>
      <w:r w:rsidR="00F42E58" w:rsidRPr="008A1999">
        <w:t xml:space="preserve"> favour</w:t>
      </w:r>
      <w:r w:rsidR="00390878" w:rsidRPr="008A1999">
        <w:t>s</w:t>
      </w:r>
      <w:r w:rsidR="00F42E58" w:rsidRPr="008A1999">
        <w:t xml:space="preserve"> </w:t>
      </w:r>
      <w:r w:rsidR="000507F6" w:rsidRPr="008A1999">
        <w:rPr>
          <w:i/>
          <w:iCs/>
        </w:rPr>
        <w:t>less</w:t>
      </w:r>
      <w:r w:rsidR="000507F6" w:rsidRPr="008A1999">
        <w:t xml:space="preserve"> “slavish adherence” to its own jurisprudence than </w:t>
      </w:r>
      <w:r w:rsidR="00A04FB2" w:rsidRPr="008A1999">
        <w:t xml:space="preserve">has been favoured by </w:t>
      </w:r>
      <w:r w:rsidR="00484519" w:rsidRPr="008A1999">
        <w:t xml:space="preserve">the UK </w:t>
      </w:r>
      <w:r w:rsidR="000507F6" w:rsidRPr="008A1999">
        <w:t>national courts</w:t>
      </w:r>
      <w:r w:rsidR="001D0771" w:rsidRPr="008A1999">
        <w:t>.</w:t>
      </w:r>
      <w:r w:rsidR="00801D6E" w:rsidRPr="008A1999">
        <w:rPr>
          <w:rStyle w:val="FootnoteReference"/>
        </w:rPr>
        <w:footnoteReference w:id="14"/>
      </w:r>
      <w:r w:rsidR="001D0771" w:rsidRPr="008A1999">
        <w:t xml:space="preserve"> </w:t>
      </w:r>
      <w:r w:rsidR="003D5BB3" w:rsidRPr="008A1999">
        <w:t xml:space="preserve">As </w:t>
      </w:r>
      <w:r w:rsidR="00A34F38" w:rsidRPr="008A1999">
        <w:t>one</w:t>
      </w:r>
      <w:r w:rsidR="00163561" w:rsidRPr="008A1999">
        <w:t xml:space="preserve"> former President of the ECtHR </w:t>
      </w:r>
      <w:r w:rsidR="003D5BB3" w:rsidRPr="008A1999">
        <w:t>put it</w:t>
      </w:r>
      <w:r w:rsidR="00294B7F" w:rsidRPr="008A1999">
        <w:t xml:space="preserve"> in a speech</w:t>
      </w:r>
      <w:r w:rsidR="00A34F38" w:rsidRPr="008A1999">
        <w:t xml:space="preserve"> given</w:t>
      </w:r>
      <w:r w:rsidR="00294B7F" w:rsidRPr="008A1999">
        <w:t xml:space="preserve"> over a decade ago</w:t>
      </w:r>
      <w:r w:rsidR="00872488" w:rsidRPr="008A1999">
        <w:t>:</w:t>
      </w:r>
      <w:r w:rsidR="003D5BB3" w:rsidRPr="008A1999">
        <w:t xml:space="preserve"> “</w:t>
      </w:r>
      <w:r w:rsidR="00DE3AFB">
        <w:t>‘</w:t>
      </w:r>
      <w:r w:rsidR="003D5BB3" w:rsidRPr="008A1999">
        <w:t>Strasbourg has spoken, the case is closed</w:t>
      </w:r>
      <w:r w:rsidR="00DE3AFB">
        <w:t>’</w:t>
      </w:r>
      <w:r w:rsidR="003D5BB3" w:rsidRPr="008A1999">
        <w:t xml:space="preserve"> is not the way in which I or my fellow judges view the respective roles of the two courts”</w:t>
      </w:r>
      <w:r w:rsidR="007E79D2" w:rsidRPr="008A1999">
        <w:t>.</w:t>
      </w:r>
      <w:r w:rsidR="003D5BB3" w:rsidRPr="008A1999">
        <w:rPr>
          <w:rStyle w:val="FootnoteReference"/>
        </w:rPr>
        <w:footnoteReference w:id="15"/>
      </w:r>
      <w:r w:rsidR="006B19EC" w:rsidRPr="008A1999">
        <w:t xml:space="preserve"> </w:t>
      </w:r>
      <w:r w:rsidR="00254750" w:rsidRPr="008A1999">
        <w:t xml:space="preserve">Though </w:t>
      </w:r>
      <w:r w:rsidR="009012CA" w:rsidRPr="008A1999">
        <w:t>not all ECtHR judges share this view</w:t>
      </w:r>
      <w:r w:rsidR="00254750" w:rsidRPr="008A1999">
        <w:t xml:space="preserve">, </w:t>
      </w:r>
      <w:r w:rsidR="006D3691">
        <w:t xml:space="preserve">the development of the ECtHR’s jurisprudence </w:t>
      </w:r>
      <w:r w:rsidR="00090050" w:rsidRPr="008A1999">
        <w:t>over the last decade</w:t>
      </w:r>
      <w:r w:rsidR="006D3691">
        <w:t xml:space="preserve"> has, </w:t>
      </w:r>
      <w:r w:rsidR="006D3691" w:rsidRPr="008A1999">
        <w:t>in general</w:t>
      </w:r>
      <w:r w:rsidR="006D3691">
        <w:t>,</w:t>
      </w:r>
      <w:r w:rsidR="006D3691" w:rsidRPr="008A1999">
        <w:t xml:space="preserve"> </w:t>
      </w:r>
      <w:r w:rsidR="006D3691">
        <w:t>made this</w:t>
      </w:r>
      <w:r w:rsidR="006D3691" w:rsidRPr="008A1999">
        <w:t xml:space="preserve"> tension </w:t>
      </w:r>
      <w:r w:rsidR="00090050" w:rsidRPr="008A1999">
        <w:t>more pronounced.</w:t>
      </w:r>
    </w:p>
    <w:p w14:paraId="5F0AF43F" w14:textId="5CE99179" w:rsidR="00100FDE" w:rsidRPr="003A0325" w:rsidRDefault="006B19EC" w:rsidP="00DD6A6F">
      <w:pPr>
        <w:ind w:firstLine="720"/>
        <w:jc w:val="both"/>
      </w:pPr>
      <w:r w:rsidRPr="008A1999">
        <w:t xml:space="preserve">I </w:t>
      </w:r>
      <w:r w:rsidR="00BC03B9" w:rsidRPr="008A1999">
        <w:t>show how</w:t>
      </w:r>
      <w:r w:rsidRPr="008A1999">
        <w:t xml:space="preserve"> the ECtHR’s jurisprudence</w:t>
      </w:r>
      <w:r w:rsidR="00C84590" w:rsidRPr="008A1999">
        <w:t xml:space="preserve"> </w:t>
      </w:r>
      <w:r w:rsidRPr="008A1999">
        <w:t>concerning principles such as subsidiarity, incrementalism, the margin of appreciation,</w:t>
      </w:r>
      <w:r w:rsidR="008C56C9" w:rsidRPr="008A1999">
        <w:t xml:space="preserve"> European consensus,</w:t>
      </w:r>
      <w:r w:rsidR="00034ED7" w:rsidRPr="008A1999">
        <w:t xml:space="preserve"> and judicial</w:t>
      </w:r>
      <w:r w:rsidRPr="008A1999">
        <w:t xml:space="preserve"> dialogue,</w:t>
      </w:r>
      <w:r w:rsidR="00B32D9F" w:rsidRPr="008A1999">
        <w:t xml:space="preserve"> militate against any strong </w:t>
      </w:r>
      <w:r w:rsidR="00DE3AFB">
        <w:t>“</w:t>
      </w:r>
      <w:r w:rsidR="00B8694B" w:rsidRPr="008A1999">
        <w:t>mirroring</w:t>
      </w:r>
      <w:r w:rsidR="00DE3AFB">
        <w:t>”</w:t>
      </w:r>
      <w:r w:rsidR="00B32D9F" w:rsidRPr="008A1999">
        <w:t xml:space="preserve"> between domestic </w:t>
      </w:r>
      <w:r w:rsidR="00D46CF8" w:rsidRPr="008A1999">
        <w:t>courts</w:t>
      </w:r>
      <w:r w:rsidR="00B32D9F" w:rsidRPr="008A1999">
        <w:t xml:space="preserve"> and </w:t>
      </w:r>
      <w:r w:rsidR="00D46CF8" w:rsidRPr="008A1999">
        <w:t xml:space="preserve">the </w:t>
      </w:r>
      <w:r w:rsidR="00B32D9F" w:rsidRPr="008A1999">
        <w:t>ECtHR</w:t>
      </w:r>
      <w:r w:rsidR="002715F6" w:rsidRPr="008A1999">
        <w:t xml:space="preserve">. </w:t>
      </w:r>
      <w:r w:rsidR="009F33C5" w:rsidRPr="008A1999">
        <w:t xml:space="preserve">In fact, </w:t>
      </w:r>
      <w:r w:rsidR="00681984" w:rsidRPr="008A1999">
        <w:t xml:space="preserve">the ECtHR’s jurisprudence reveals the problems with the metaphor of the </w:t>
      </w:r>
      <w:r w:rsidR="00DE3AFB">
        <w:t>“</w:t>
      </w:r>
      <w:r w:rsidR="00681984" w:rsidRPr="008A1999">
        <w:t>mirror</w:t>
      </w:r>
      <w:r w:rsidR="00DE3AFB">
        <w:t>”</w:t>
      </w:r>
      <w:r w:rsidR="0080352C" w:rsidRPr="008A1999">
        <w:t>. T</w:t>
      </w:r>
      <w:r w:rsidR="00D83231" w:rsidRPr="008A1999">
        <w:t>he principles articulated by the ECtHR</w:t>
      </w:r>
      <w:r w:rsidR="00F34FE8" w:rsidRPr="008A1999">
        <w:t xml:space="preserve"> generally</w:t>
      </w:r>
      <w:r w:rsidR="00D83231" w:rsidRPr="008A1999">
        <w:t xml:space="preserve"> point</w:t>
      </w:r>
      <w:r w:rsidR="00681984" w:rsidRPr="008A1999">
        <w:t xml:space="preserve"> </w:t>
      </w:r>
      <w:r w:rsidR="004E72A7">
        <w:t>towards</w:t>
      </w:r>
      <w:r w:rsidR="00681984" w:rsidRPr="008A1999">
        <w:t xml:space="preserve"> a more flexible approach, unhindered by many of the hard and fast rules which have been developed by the domestic courts. </w:t>
      </w:r>
      <w:r w:rsidR="00D83231" w:rsidRPr="008A1999">
        <w:t>They</w:t>
      </w:r>
      <w:r w:rsidR="00681984" w:rsidRPr="008A1999">
        <w:t xml:space="preserve"> </w:t>
      </w:r>
      <w:r w:rsidR="00B92E3B" w:rsidRPr="008A1999">
        <w:t>impl</w:t>
      </w:r>
      <w:r w:rsidR="0080352C" w:rsidRPr="008A1999">
        <w:t>y</w:t>
      </w:r>
      <w:r w:rsidR="00681984" w:rsidRPr="008A1999">
        <w:t xml:space="preserve"> </w:t>
      </w:r>
      <w:r w:rsidR="00B92E3B" w:rsidRPr="008A1999">
        <w:t xml:space="preserve">that </w:t>
      </w:r>
      <w:r w:rsidR="00F51E33" w:rsidRPr="008A1999">
        <w:t>the</w:t>
      </w:r>
      <w:r w:rsidR="006025F1" w:rsidRPr="008A1999">
        <w:t xml:space="preserve"> </w:t>
      </w:r>
      <w:r w:rsidR="00F51E33" w:rsidRPr="008A1999">
        <w:t xml:space="preserve">most recent iteration of the </w:t>
      </w:r>
      <w:r w:rsidR="00DE3AFB">
        <w:t>“</w:t>
      </w:r>
      <w:r w:rsidR="00F51E33" w:rsidRPr="008A1999">
        <w:t>mirror principle</w:t>
      </w:r>
      <w:r w:rsidR="00DE3AFB">
        <w:t>”</w:t>
      </w:r>
      <w:r w:rsidR="009C6DF2" w:rsidRPr="008A1999">
        <w:t xml:space="preserve"> is </w:t>
      </w:r>
      <w:r w:rsidR="00B92E3B" w:rsidRPr="008A1999">
        <w:t>to be welcomed</w:t>
      </w:r>
      <w:r w:rsidR="001229BB" w:rsidRPr="008A1999">
        <w:t xml:space="preserve"> </w:t>
      </w:r>
      <w:r w:rsidR="00B80231" w:rsidRPr="008A1999">
        <w:t xml:space="preserve">insofar </w:t>
      </w:r>
      <w:r w:rsidR="009C6DF2" w:rsidRPr="008A1999">
        <w:t>it has reduced the</w:t>
      </w:r>
      <w:r w:rsidR="001F5757" w:rsidRPr="008A1999">
        <w:t xml:space="preserve"> rigidity of the link</w:t>
      </w:r>
      <w:r w:rsidR="001229BB" w:rsidRPr="008A1999">
        <w:t xml:space="preserve"> between domestic courts and Strasbourg </w:t>
      </w:r>
      <w:r w:rsidR="00B80231" w:rsidRPr="008A1999">
        <w:t>when it comes to</w:t>
      </w:r>
      <w:r w:rsidR="00F51E33" w:rsidRPr="008A1999">
        <w:t xml:space="preserve"> domestic courts </w:t>
      </w:r>
      <w:r w:rsidR="00CF562B" w:rsidRPr="008A1999">
        <w:t xml:space="preserve">interpreting rights </w:t>
      </w:r>
      <w:r w:rsidR="00F51E33" w:rsidRPr="008A1999">
        <w:t xml:space="preserve">less </w:t>
      </w:r>
      <w:r w:rsidR="00CF562B" w:rsidRPr="008A1999">
        <w:t>generously</w:t>
      </w:r>
      <w:r w:rsidR="00F51E33" w:rsidRPr="008A1999">
        <w:t xml:space="preserve"> than Strasbourg</w:t>
      </w:r>
      <w:r w:rsidR="00594276" w:rsidRPr="008A1999">
        <w:t xml:space="preserve">. </w:t>
      </w:r>
      <w:r w:rsidR="001C398D" w:rsidRPr="008A1999">
        <w:t xml:space="preserve">But </w:t>
      </w:r>
      <w:r w:rsidR="0080352C" w:rsidRPr="008A1999">
        <w:t>they</w:t>
      </w:r>
      <w:r w:rsidR="004319EC" w:rsidRPr="008A1999">
        <w:t xml:space="preserve"> also</w:t>
      </w:r>
      <w:r w:rsidR="001C398D" w:rsidRPr="008A1999">
        <w:t xml:space="preserve"> impl</w:t>
      </w:r>
      <w:r w:rsidR="0080352C" w:rsidRPr="008A1999">
        <w:t>y</w:t>
      </w:r>
      <w:r w:rsidR="001C398D" w:rsidRPr="008A1999">
        <w:t xml:space="preserve"> that </w:t>
      </w:r>
      <w:r w:rsidR="009C6DF2" w:rsidRPr="008A1999">
        <w:t>the</w:t>
      </w:r>
      <w:r w:rsidR="00691B0A" w:rsidRPr="008A1999">
        <w:t xml:space="preserve"> </w:t>
      </w:r>
      <w:r w:rsidR="007A3ACB" w:rsidRPr="008A1999">
        <w:t xml:space="preserve">UK </w:t>
      </w:r>
      <w:r w:rsidR="00624E7F" w:rsidRPr="008A1999">
        <w:t>jurisprudence is</w:t>
      </w:r>
      <w:r w:rsidR="001C398D" w:rsidRPr="008A1999">
        <w:t xml:space="preserve"> wrong</w:t>
      </w:r>
      <w:r w:rsidR="00643E5F" w:rsidRPr="008A1999">
        <w:t xml:space="preserve"> </w:t>
      </w:r>
      <w:r w:rsidR="001C398D" w:rsidRPr="008A1999">
        <w:t>to</w:t>
      </w:r>
      <w:r w:rsidR="001229BB" w:rsidRPr="008A1999">
        <w:t xml:space="preserve"> </w:t>
      </w:r>
      <w:r w:rsidR="00691B0A" w:rsidRPr="008A1999">
        <w:t xml:space="preserve">maintain a </w:t>
      </w:r>
      <w:r w:rsidR="00777BA4" w:rsidRPr="008A1999">
        <w:t xml:space="preserve">more </w:t>
      </w:r>
      <w:r w:rsidR="001F5757" w:rsidRPr="008A1999">
        <w:t>rigid</w:t>
      </w:r>
      <w:r w:rsidR="00691B0A" w:rsidRPr="008A1999">
        <w:t xml:space="preserve"> version </w:t>
      </w:r>
      <w:r w:rsidR="00AB7821" w:rsidRPr="008A1999">
        <w:t xml:space="preserve">of the </w:t>
      </w:r>
      <w:r w:rsidR="00DE3AFB">
        <w:t>“</w:t>
      </w:r>
      <w:r w:rsidR="00AB7821" w:rsidRPr="008A1999">
        <w:t>mirror principle</w:t>
      </w:r>
      <w:r w:rsidR="00DE3AFB">
        <w:t>”</w:t>
      </w:r>
      <w:r w:rsidR="004A26E7" w:rsidRPr="008A1999">
        <w:t xml:space="preserve"> w</w:t>
      </w:r>
      <w:r w:rsidR="00B80231" w:rsidRPr="008A1999">
        <w:t>hen it comes to</w:t>
      </w:r>
      <w:r w:rsidR="00AD617D" w:rsidRPr="008A1999">
        <w:t xml:space="preserve"> preventing</w:t>
      </w:r>
      <w:r w:rsidR="00F51E33" w:rsidRPr="008A1999">
        <w:t xml:space="preserve"> domestic courts</w:t>
      </w:r>
      <w:r w:rsidR="00AD617D" w:rsidRPr="008A1999">
        <w:t xml:space="preserve"> from</w:t>
      </w:r>
      <w:r w:rsidR="00F51E33" w:rsidRPr="008A1999">
        <w:t xml:space="preserve"> </w:t>
      </w:r>
      <w:r w:rsidR="009B2C82" w:rsidRPr="008A1999">
        <w:t>interpreting rights more generously t</w:t>
      </w:r>
      <w:r w:rsidR="00100FDE" w:rsidRPr="008A1999">
        <w:t>han Strasbourg</w:t>
      </w:r>
      <w:r w:rsidR="002715F6" w:rsidRPr="008A1999">
        <w:t>.</w:t>
      </w:r>
    </w:p>
    <w:p w14:paraId="74F4A6DD" w14:textId="6E73E198" w:rsidR="00493204" w:rsidRPr="008A1999" w:rsidRDefault="0083535C" w:rsidP="00DD6A6F">
      <w:pPr>
        <w:ind w:firstLine="720"/>
        <w:jc w:val="both"/>
      </w:pPr>
      <w:r w:rsidRPr="008A1999">
        <w:t>Determining the ECtHR’s views about the role of national courts and its own role is not straightforward. As Dzehtsiarou notes, majority judgments of the Court “do not often engage with the existential question</w:t>
      </w:r>
      <w:r w:rsidR="00E579CE" w:rsidRPr="008A1999">
        <w:t>s of what the Court is for”.</w:t>
      </w:r>
      <w:r w:rsidR="00E579CE" w:rsidRPr="008A1999">
        <w:rPr>
          <w:rStyle w:val="FootnoteReference"/>
        </w:rPr>
        <w:footnoteReference w:id="16"/>
      </w:r>
      <w:r w:rsidR="00F256A3" w:rsidRPr="008A1999">
        <w:t xml:space="preserve"> Concurring and dissenting judgments are</w:t>
      </w:r>
      <w:r w:rsidR="005F4D52" w:rsidRPr="008A1999">
        <w:t xml:space="preserve"> often</w:t>
      </w:r>
      <w:r w:rsidR="00F256A3" w:rsidRPr="008A1999">
        <w:t xml:space="preserve"> more forthcoming</w:t>
      </w:r>
      <w:r w:rsidR="005C5EE3" w:rsidRPr="008A1999">
        <w:t>, as are</w:t>
      </w:r>
      <w:r w:rsidR="001427D1" w:rsidRPr="008A1999">
        <w:t xml:space="preserve"> speeches and articles written by judges and Presidents of the Court</w:t>
      </w:r>
      <w:r w:rsidR="00493204" w:rsidRPr="008A1999">
        <w:t>;</w:t>
      </w:r>
      <w:r w:rsidR="000278A6" w:rsidRPr="008A1999">
        <w:t xml:space="preserve"> and anonymous interviews with ECtHR judges provide </w:t>
      </w:r>
      <w:r w:rsidR="00F67517">
        <w:t>another</w:t>
      </w:r>
      <w:r w:rsidR="000278A6" w:rsidRPr="008A1999">
        <w:t xml:space="preserve"> important source. However, all of these </w:t>
      </w:r>
      <w:r w:rsidR="00B64DD4" w:rsidRPr="008A1999">
        <w:t>can be</w:t>
      </w:r>
      <w:r w:rsidR="000278A6" w:rsidRPr="008A1999">
        <w:t xml:space="preserve"> somewhat </w:t>
      </w:r>
      <w:r w:rsidR="000F699A" w:rsidRPr="008A1999">
        <w:t>cryptic</w:t>
      </w:r>
      <w:r w:rsidR="000278A6" w:rsidRPr="008A1999">
        <w:t xml:space="preserve"> </w:t>
      </w:r>
      <w:r w:rsidR="00115FB2" w:rsidRPr="008A1999">
        <w:t>and the “</w:t>
      </w:r>
      <w:r w:rsidR="006F234C" w:rsidRPr="008A1999">
        <w:t xml:space="preserve">relevant </w:t>
      </w:r>
      <w:r w:rsidR="00115FB2" w:rsidRPr="008A1999">
        <w:t>narratives need to be carefully extracted from innuendos, references and hints, rather than clear articulations”.</w:t>
      </w:r>
      <w:r w:rsidR="00115FB2" w:rsidRPr="008A1999">
        <w:rPr>
          <w:rStyle w:val="FootnoteReference"/>
        </w:rPr>
        <w:footnoteReference w:id="17"/>
      </w:r>
      <w:r w:rsidR="00C60EBE" w:rsidRPr="008A1999">
        <w:t xml:space="preserve"> </w:t>
      </w:r>
      <w:r w:rsidR="00E33D00" w:rsidRPr="008A1999">
        <w:t>E</w:t>
      </w:r>
      <w:r w:rsidR="001A0EEC" w:rsidRPr="008A1999">
        <w:t>ven whe</w:t>
      </w:r>
      <w:r w:rsidR="0067500A" w:rsidRPr="008A1999">
        <w:t>re</w:t>
      </w:r>
      <w:r w:rsidR="001A0EEC" w:rsidRPr="008A1999">
        <w:t xml:space="preserve"> the views of ECtHR judges can be</w:t>
      </w:r>
      <w:r w:rsidR="00563E75" w:rsidRPr="008A1999">
        <w:t xml:space="preserve"> </w:t>
      </w:r>
      <w:r w:rsidR="00BE7819" w:rsidRPr="008A1999">
        <w:t>gleaned</w:t>
      </w:r>
      <w:r w:rsidR="001A0EEC" w:rsidRPr="008A1999">
        <w:t xml:space="preserve">, they often do </w:t>
      </w:r>
      <w:r w:rsidR="005C5EE3" w:rsidRPr="008A1999">
        <w:t>not speak with one voice</w:t>
      </w:r>
      <w:r w:rsidR="001A0EEC" w:rsidRPr="008A1999">
        <w:t>.</w:t>
      </w:r>
      <w:r w:rsidR="006F7F0F" w:rsidRPr="008A1999">
        <w:t xml:space="preserve"> </w:t>
      </w:r>
      <w:r w:rsidR="000F699A" w:rsidRPr="008A1999">
        <w:t xml:space="preserve">Hence, when </w:t>
      </w:r>
      <w:r w:rsidR="00042D0C" w:rsidRPr="008A1999">
        <w:t>I speak of</w:t>
      </w:r>
      <w:r w:rsidR="00A367AF" w:rsidRPr="008A1999">
        <w:t xml:space="preserve"> “Strasbourg’s views” on the mirror principle</w:t>
      </w:r>
      <w:r w:rsidR="00892694" w:rsidRPr="008A1999">
        <w:t xml:space="preserve">, </w:t>
      </w:r>
      <w:r w:rsidR="00042D0C" w:rsidRPr="008A1999">
        <w:t xml:space="preserve">I do not mean to suggest that ECtHR </w:t>
      </w:r>
      <w:r w:rsidR="00387927" w:rsidRPr="008A1999">
        <w:t>judges are unified in their opinions</w:t>
      </w:r>
      <w:r w:rsidR="00892694" w:rsidRPr="008A1999">
        <w:t xml:space="preserve">. </w:t>
      </w:r>
      <w:r w:rsidR="00C37526" w:rsidRPr="008A1999">
        <w:t>Nonetheless, the ECtHR’s overall direction of travel is, I think, clear enough for the argument presented here to qualify as a</w:t>
      </w:r>
      <w:r w:rsidR="00DF064F" w:rsidRPr="008A1999">
        <w:t xml:space="preserve"> faithful </w:t>
      </w:r>
      <w:r w:rsidR="00C37526" w:rsidRPr="00527E06">
        <w:rPr>
          <w:i/>
          <w:iCs/>
        </w:rPr>
        <w:t>descriptive</w:t>
      </w:r>
      <w:r w:rsidR="00C37526" w:rsidRPr="008A1999">
        <w:t xml:space="preserve"> </w:t>
      </w:r>
      <w:r w:rsidR="00DF064F" w:rsidRPr="008A1999">
        <w:t>account</w:t>
      </w:r>
      <w:r w:rsidR="00C37526" w:rsidRPr="008A1999">
        <w:t xml:space="preserve">, rather being </w:t>
      </w:r>
      <w:r w:rsidR="0004605F" w:rsidRPr="008A1999">
        <w:t xml:space="preserve">a </w:t>
      </w:r>
      <w:r w:rsidR="000A1A7C">
        <w:t>chiefly</w:t>
      </w:r>
      <w:r w:rsidR="00383621">
        <w:t xml:space="preserve"> </w:t>
      </w:r>
      <w:r w:rsidR="00C37526" w:rsidRPr="00527E06">
        <w:rPr>
          <w:i/>
          <w:iCs/>
        </w:rPr>
        <w:t>prescriptive</w:t>
      </w:r>
      <w:r w:rsidR="00C37526" w:rsidRPr="008A1999">
        <w:t xml:space="preserve"> </w:t>
      </w:r>
      <w:r w:rsidR="0004605F" w:rsidRPr="008A1999">
        <w:t>one</w:t>
      </w:r>
      <w:r w:rsidR="00C37526" w:rsidRPr="008A1999">
        <w:t>.</w:t>
      </w:r>
      <w:r w:rsidR="007F1792" w:rsidRPr="008A1999">
        <w:t xml:space="preserve"> </w:t>
      </w:r>
      <w:r w:rsidR="009A5D93" w:rsidRPr="008A1999">
        <w:t>True,</w:t>
      </w:r>
      <w:r w:rsidR="00AD0BFB" w:rsidRPr="008A1999">
        <w:t xml:space="preserve"> it </w:t>
      </w:r>
      <w:r w:rsidR="0004605F" w:rsidRPr="008A1999">
        <w:t>is</w:t>
      </w:r>
      <w:r w:rsidR="00AD0BFB" w:rsidRPr="008A1999">
        <w:t xml:space="preserve"> possible to find some support in the statements of </w:t>
      </w:r>
      <w:r w:rsidR="002415FA" w:rsidRPr="008A1999">
        <w:t xml:space="preserve">particular </w:t>
      </w:r>
      <w:r w:rsidR="00AD0BFB" w:rsidRPr="008A1999">
        <w:t xml:space="preserve">ECtHR judges for </w:t>
      </w:r>
      <w:r w:rsidR="002415FA" w:rsidRPr="008A1999">
        <w:t xml:space="preserve">a </w:t>
      </w:r>
      <w:r w:rsidR="00AD0BFB" w:rsidRPr="008A1999">
        <w:t>contrary view</w:t>
      </w:r>
      <w:r w:rsidR="00A67F53">
        <w:t>—</w:t>
      </w:r>
      <w:r w:rsidR="00AD0BFB" w:rsidRPr="008A1999">
        <w:t xml:space="preserve">i.e. that the modern mirror principle </w:t>
      </w:r>
      <w:r w:rsidR="00AD0BFB" w:rsidRPr="00527E06">
        <w:rPr>
          <w:i/>
          <w:iCs/>
        </w:rPr>
        <w:t>is</w:t>
      </w:r>
      <w:r w:rsidR="00AD0BFB" w:rsidRPr="008A1999">
        <w:t xml:space="preserve"> congruent with Strasbourg jurisprudence</w:t>
      </w:r>
      <w:r w:rsidR="005558C3">
        <w:t>.</w:t>
      </w:r>
      <w:r w:rsidR="002415FA" w:rsidRPr="008A1999">
        <w:t xml:space="preserve"> </w:t>
      </w:r>
      <w:r w:rsidR="005558C3">
        <w:t>B</w:t>
      </w:r>
      <w:r w:rsidR="002415FA" w:rsidRPr="008A1999">
        <w:t>ut a</w:t>
      </w:r>
      <w:r w:rsidR="00AD0BFB" w:rsidRPr="008A1999">
        <w:t xml:space="preserve">ny argument </w:t>
      </w:r>
      <w:r w:rsidR="002415FA" w:rsidRPr="008A1999">
        <w:t xml:space="preserve">that this </w:t>
      </w:r>
      <w:r w:rsidR="00D35F64" w:rsidRPr="008A1999">
        <w:t>constitutes</w:t>
      </w:r>
      <w:r w:rsidR="002415FA" w:rsidRPr="008A1999">
        <w:t xml:space="preserve"> the main line of ECtHR thinking </w:t>
      </w:r>
      <w:r w:rsidR="00AD0BFB" w:rsidRPr="008A1999">
        <w:t xml:space="preserve">would </w:t>
      </w:r>
      <w:r w:rsidR="0045487B" w:rsidRPr="008A1999">
        <w:t>have to</w:t>
      </w:r>
      <w:r w:rsidR="00AD0BFB" w:rsidRPr="008A1999">
        <w:t xml:space="preserve"> </w:t>
      </w:r>
      <w:r w:rsidR="0004605F" w:rsidRPr="008A1999">
        <w:t xml:space="preserve">be </w:t>
      </w:r>
      <w:r w:rsidR="00AD0BFB" w:rsidRPr="008A1999">
        <w:t xml:space="preserve">avowedly </w:t>
      </w:r>
      <w:r w:rsidR="0004605F" w:rsidRPr="008A1999">
        <w:t xml:space="preserve">normative and </w:t>
      </w:r>
      <w:r w:rsidR="0004605F" w:rsidRPr="008A1999">
        <w:rPr>
          <w:i/>
          <w:iCs/>
        </w:rPr>
        <w:t>prescriptive</w:t>
      </w:r>
      <w:r w:rsidR="00D35F64" w:rsidRPr="008A1999">
        <w:rPr>
          <w:i/>
          <w:iCs/>
        </w:rPr>
        <w:t xml:space="preserve"> </w:t>
      </w:r>
      <w:r w:rsidR="00D35F64" w:rsidRPr="008A1999">
        <w:t>to be plausible</w:t>
      </w:r>
      <w:r w:rsidR="0033425A" w:rsidRPr="008A1999">
        <w:t xml:space="preserve">, and would have little </w:t>
      </w:r>
      <w:r w:rsidR="0033425A" w:rsidRPr="008A1999">
        <w:rPr>
          <w:i/>
          <w:iCs/>
        </w:rPr>
        <w:t xml:space="preserve">descriptive </w:t>
      </w:r>
      <w:r w:rsidR="0073485B" w:rsidRPr="008A1999">
        <w:t>power</w:t>
      </w:r>
      <w:r w:rsidR="0033425A" w:rsidRPr="008A1999">
        <w:t xml:space="preserve">. </w:t>
      </w:r>
    </w:p>
    <w:p w14:paraId="3B731E56" w14:textId="491A44E4" w:rsidR="00E353BA" w:rsidRPr="008A1999" w:rsidRDefault="002C712F" w:rsidP="00A67F53">
      <w:pPr>
        <w:ind w:firstLine="720"/>
        <w:jc w:val="both"/>
      </w:pPr>
      <w:r w:rsidRPr="008A1999">
        <w:t xml:space="preserve">The analysis here </w:t>
      </w:r>
      <w:r w:rsidR="004A4172" w:rsidRPr="008A1999">
        <w:t>maintains</w:t>
      </w:r>
      <w:r w:rsidR="00035BB2" w:rsidRPr="008A1999">
        <w:t xml:space="preserve"> strict</w:t>
      </w:r>
      <w:r w:rsidRPr="008A1999">
        <w:t xml:space="preserve"> neutrality about the substantive human rights issues. The arguments made c</w:t>
      </w:r>
      <w:r w:rsidR="00035BB2" w:rsidRPr="008A1999">
        <w:t>an</w:t>
      </w:r>
      <w:r w:rsidRPr="008A1999">
        <w:t>, I hope, be accepted by people who have different views about whether</w:t>
      </w:r>
      <w:r w:rsidR="005A11F1" w:rsidRPr="008A1999">
        <w:t xml:space="preserve"> either</w:t>
      </w:r>
      <w:r w:rsidRPr="008A1999">
        <w:t xml:space="preserve"> the </w:t>
      </w:r>
      <w:r w:rsidR="00A45C25" w:rsidRPr="008A1999">
        <w:t xml:space="preserve">domestic </w:t>
      </w:r>
      <w:r w:rsidRPr="008A1999">
        <w:t>courts</w:t>
      </w:r>
      <w:r w:rsidR="00436CDC" w:rsidRPr="008A1999">
        <w:t xml:space="preserve"> or </w:t>
      </w:r>
      <w:r w:rsidR="00A45C25" w:rsidRPr="008A1999">
        <w:t>the</w:t>
      </w:r>
      <w:r w:rsidR="00436CDC" w:rsidRPr="008A1999">
        <w:t xml:space="preserve"> Strasbourg</w:t>
      </w:r>
      <w:r w:rsidR="00A45C25" w:rsidRPr="008A1999">
        <w:t xml:space="preserve"> Court</w:t>
      </w:r>
      <w:r w:rsidRPr="008A1999">
        <w:t xml:space="preserve"> have gone too far in the protection of specific rights, or not far enough. </w:t>
      </w:r>
      <w:r w:rsidR="00352B09" w:rsidRPr="008A1999">
        <w:t xml:space="preserve">Nor do I claim that the ECtHR’s view of its own </w:t>
      </w:r>
      <w:r w:rsidR="00352B09" w:rsidRPr="008A1999">
        <w:lastRenderedPageBreak/>
        <w:t>relatio</w:t>
      </w:r>
      <w:r w:rsidR="00091662" w:rsidRPr="008A1999">
        <w:t>nship with the domestic courts provides a conclusive reason for a particular interpretati</w:t>
      </w:r>
      <w:r w:rsidR="00602156" w:rsidRPr="008A1999">
        <w:t>on of s.2 HRA. I do, h</w:t>
      </w:r>
      <w:r w:rsidR="00722617" w:rsidRPr="008A1999">
        <w:t>owever, claim that the view</w:t>
      </w:r>
      <w:r w:rsidR="00871E4A" w:rsidRPr="008A1999">
        <w:t xml:space="preserve"> </w:t>
      </w:r>
      <w:r w:rsidR="00722617" w:rsidRPr="008A1999">
        <w:t>of the ECtHR itself on these matters deserve</w:t>
      </w:r>
      <w:r w:rsidR="00871E4A" w:rsidRPr="008A1999">
        <w:t>s</w:t>
      </w:r>
      <w:r w:rsidR="00722617" w:rsidRPr="008A1999">
        <w:t xml:space="preserve"> to </w:t>
      </w:r>
      <w:r w:rsidR="00BB13FD" w:rsidRPr="008A1999">
        <w:t>be heard and</w:t>
      </w:r>
      <w:r w:rsidR="005A11F1" w:rsidRPr="008A1999">
        <w:t xml:space="preserve"> to be</w:t>
      </w:r>
      <w:r w:rsidR="00BB13FD" w:rsidRPr="008A1999">
        <w:t xml:space="preserve"> taken into account by those participating in </w:t>
      </w:r>
      <w:r w:rsidR="00871E4A" w:rsidRPr="008A1999">
        <w:t xml:space="preserve">the </w:t>
      </w:r>
      <w:r w:rsidR="00BB13FD" w:rsidRPr="008A1999">
        <w:t>debate about th</w:t>
      </w:r>
      <w:r w:rsidR="003B193D" w:rsidRPr="008A1999">
        <w:t xml:space="preserve">e </w:t>
      </w:r>
      <w:r w:rsidR="00A67F53">
        <w:t>“</w:t>
      </w:r>
      <w:r w:rsidR="003B193D" w:rsidRPr="008A1999">
        <w:t>m</w:t>
      </w:r>
      <w:r w:rsidR="007E1B56" w:rsidRPr="008A1999">
        <w:t>irror principle</w:t>
      </w:r>
      <w:r w:rsidR="00A67F53">
        <w:t>”</w:t>
      </w:r>
      <w:r w:rsidR="005403FA" w:rsidRPr="008A1999">
        <w:t xml:space="preserve">, regardless of </w:t>
      </w:r>
      <w:r w:rsidR="0088221B">
        <w:t>participants’</w:t>
      </w:r>
      <w:r w:rsidR="0088221B" w:rsidRPr="008A1999">
        <w:t xml:space="preserve"> </w:t>
      </w:r>
      <w:r w:rsidR="005403FA" w:rsidRPr="008A1999">
        <w:t xml:space="preserve">particular views </w:t>
      </w:r>
      <w:r w:rsidRPr="008A1999">
        <w:t xml:space="preserve">about the likely consequences that </w:t>
      </w:r>
      <w:r w:rsidR="0053797F" w:rsidRPr="008A1999">
        <w:t xml:space="preserve">reducing </w:t>
      </w:r>
      <w:r w:rsidR="005E0353" w:rsidRPr="008A1999">
        <w:t xml:space="preserve">or strengthening </w:t>
      </w:r>
      <w:r w:rsidR="0053797F" w:rsidRPr="008A1999">
        <w:t xml:space="preserve">the </w:t>
      </w:r>
      <w:r w:rsidR="00EF6C86" w:rsidRPr="008A1999">
        <w:t>rigidity</w:t>
      </w:r>
      <w:r w:rsidR="0053797F" w:rsidRPr="008A1999">
        <w:t xml:space="preserve"> of the link</w:t>
      </w:r>
      <w:r w:rsidRPr="008A1999">
        <w:t xml:space="preserve"> between</w:t>
      </w:r>
      <w:r w:rsidR="009B4277" w:rsidRPr="008A1999">
        <w:t xml:space="preserve"> the</w:t>
      </w:r>
      <w:r w:rsidRPr="008A1999">
        <w:t xml:space="preserve"> domestic courts and Strasbourg might have for the substantive protection of Convention rights.</w:t>
      </w:r>
    </w:p>
    <w:p w14:paraId="3A2A76B9" w14:textId="77777777" w:rsidR="00444AF2" w:rsidRPr="008A1999" w:rsidRDefault="00444AF2" w:rsidP="00A02DF8">
      <w:pPr>
        <w:jc w:val="both"/>
        <w:rPr>
          <w:b/>
          <w:bCs/>
        </w:rPr>
      </w:pPr>
    </w:p>
    <w:p w14:paraId="237F3471" w14:textId="085AB55E" w:rsidR="007C5291" w:rsidRPr="00DD6A6F" w:rsidRDefault="00A67F53" w:rsidP="00AD47DC">
      <w:pPr>
        <w:pStyle w:val="ListParagraph"/>
        <w:numPr>
          <w:ilvl w:val="0"/>
          <w:numId w:val="2"/>
        </w:numPr>
        <w:jc w:val="both"/>
        <w:rPr>
          <w:b/>
          <w:bCs/>
        </w:rPr>
      </w:pPr>
      <w:r>
        <w:rPr>
          <w:b/>
          <w:bCs/>
        </w:rPr>
        <w:t>“</w:t>
      </w:r>
      <w:r w:rsidR="00E353BA" w:rsidRPr="008A1999">
        <w:rPr>
          <w:b/>
          <w:bCs/>
        </w:rPr>
        <w:t xml:space="preserve">The </w:t>
      </w:r>
      <w:r w:rsidR="007C5291" w:rsidRPr="008A1999">
        <w:rPr>
          <w:b/>
          <w:bCs/>
        </w:rPr>
        <w:t>C</w:t>
      </w:r>
      <w:r w:rsidR="00E353BA" w:rsidRPr="008A1999">
        <w:rPr>
          <w:b/>
          <w:bCs/>
        </w:rPr>
        <w:t xml:space="preserve">orrect </w:t>
      </w:r>
      <w:r w:rsidR="007C5291" w:rsidRPr="008A1999">
        <w:rPr>
          <w:b/>
          <w:bCs/>
        </w:rPr>
        <w:t>I</w:t>
      </w:r>
      <w:r w:rsidR="00E353BA" w:rsidRPr="008A1999">
        <w:rPr>
          <w:b/>
          <w:bCs/>
        </w:rPr>
        <w:t xml:space="preserve">nterpretation of the Convention </w:t>
      </w:r>
      <w:r w:rsidR="007C5291" w:rsidRPr="008A1999">
        <w:rPr>
          <w:b/>
          <w:bCs/>
        </w:rPr>
        <w:t>C</w:t>
      </w:r>
      <w:r w:rsidR="00E353BA" w:rsidRPr="008A1999">
        <w:rPr>
          <w:b/>
          <w:bCs/>
        </w:rPr>
        <w:t xml:space="preserve">an </w:t>
      </w:r>
      <w:r w:rsidR="007C5291" w:rsidRPr="008A1999">
        <w:rPr>
          <w:b/>
          <w:bCs/>
        </w:rPr>
        <w:t>B</w:t>
      </w:r>
      <w:r w:rsidR="00E353BA" w:rsidRPr="008A1999">
        <w:rPr>
          <w:b/>
          <w:bCs/>
        </w:rPr>
        <w:t xml:space="preserve">e </w:t>
      </w:r>
      <w:r w:rsidR="007C5291" w:rsidRPr="008A1999">
        <w:rPr>
          <w:b/>
          <w:bCs/>
        </w:rPr>
        <w:t>A</w:t>
      </w:r>
      <w:r w:rsidR="00E353BA" w:rsidRPr="008A1999">
        <w:rPr>
          <w:b/>
          <w:bCs/>
        </w:rPr>
        <w:t xml:space="preserve">uthoritatively </w:t>
      </w:r>
      <w:r w:rsidR="007C5291" w:rsidRPr="008A1999">
        <w:rPr>
          <w:b/>
          <w:bCs/>
        </w:rPr>
        <w:t>E</w:t>
      </w:r>
      <w:r w:rsidR="00E353BA" w:rsidRPr="008A1999">
        <w:rPr>
          <w:b/>
          <w:bCs/>
        </w:rPr>
        <w:t xml:space="preserve">xpounded </w:t>
      </w:r>
      <w:r w:rsidR="007C5291" w:rsidRPr="008A1999">
        <w:rPr>
          <w:b/>
          <w:bCs/>
        </w:rPr>
        <w:t>O</w:t>
      </w:r>
      <w:r w:rsidR="00E353BA" w:rsidRPr="008A1999">
        <w:rPr>
          <w:b/>
          <w:bCs/>
        </w:rPr>
        <w:t>nly by the ECtHR</w:t>
      </w:r>
      <w:r>
        <w:rPr>
          <w:b/>
          <w:bCs/>
        </w:rPr>
        <w:t>”</w:t>
      </w:r>
    </w:p>
    <w:p w14:paraId="4CDAFCBE" w14:textId="78585D9B" w:rsidR="00065AEE" w:rsidRPr="008A1999" w:rsidRDefault="00B970E4" w:rsidP="00AD47DC">
      <w:pPr>
        <w:jc w:val="both"/>
      </w:pPr>
      <w:r w:rsidRPr="008A1999">
        <w:t xml:space="preserve">One of the most common justifications given by domestic courts for maintaining a strong form of the </w:t>
      </w:r>
      <w:r w:rsidR="00F52C2C">
        <w:t>“</w:t>
      </w:r>
      <w:r w:rsidRPr="008A1999">
        <w:t>mirror principle</w:t>
      </w:r>
      <w:r w:rsidR="00F52C2C">
        <w:t>”</w:t>
      </w:r>
      <w:r w:rsidRPr="008A1999">
        <w:t xml:space="preserve"> </w:t>
      </w:r>
      <w:r w:rsidR="00F112A3" w:rsidRPr="008A1999">
        <w:t xml:space="preserve">is the idea, </w:t>
      </w:r>
      <w:r w:rsidR="00506829" w:rsidRPr="008A1999">
        <w:t xml:space="preserve">first </w:t>
      </w:r>
      <w:r w:rsidRPr="008A1999">
        <w:t xml:space="preserve">articulated by Lord Bingham in </w:t>
      </w:r>
      <w:r w:rsidRPr="008A1999">
        <w:rPr>
          <w:i/>
          <w:iCs/>
        </w:rPr>
        <w:t>Ullah</w:t>
      </w:r>
      <w:r w:rsidR="00F112A3" w:rsidRPr="008A1999">
        <w:t>, that</w:t>
      </w:r>
      <w:r w:rsidR="00B02F2E" w:rsidRPr="008A1999">
        <w:t xml:space="preserve"> </w:t>
      </w:r>
      <w:r w:rsidRPr="008A1999">
        <w:t>“the Convention is an international instrument, the correct interpretation of which can be authoritatively expounded only by the Strasbourg court</w:t>
      </w:r>
      <w:r w:rsidR="00B02F2E" w:rsidRPr="008A1999">
        <w:t xml:space="preserve">”. </w:t>
      </w:r>
      <w:r w:rsidR="001A29E4" w:rsidRPr="008A1999">
        <w:t xml:space="preserve">From this, he said, it followed </w:t>
      </w:r>
      <w:r w:rsidR="0003061E" w:rsidRPr="008A1999">
        <w:t xml:space="preserve">both </w:t>
      </w:r>
      <w:r w:rsidR="001A29E4" w:rsidRPr="008A1999">
        <w:t>that the courts “</w:t>
      </w:r>
      <w:r w:rsidR="00822C97" w:rsidRPr="008A1999">
        <w:t>should not without strong reason dilute or weaken the effect of the Strasbourg case law</w:t>
      </w:r>
      <w:r w:rsidR="001A29E4" w:rsidRPr="008A1999">
        <w:t>”</w:t>
      </w:r>
      <w:r w:rsidR="0003061E" w:rsidRPr="008A1999">
        <w:t xml:space="preserve">, and that </w:t>
      </w:r>
      <w:r w:rsidR="00981688" w:rsidRPr="008A1999">
        <w:t xml:space="preserve">while </w:t>
      </w:r>
      <w:r w:rsidR="006118AF" w:rsidRPr="008A1999">
        <w:t>national</w:t>
      </w:r>
      <w:r w:rsidR="00B262A8" w:rsidRPr="008A1999">
        <w:t xml:space="preserve"> courts are permitted to provide </w:t>
      </w:r>
      <w:r w:rsidR="00BB3FE2" w:rsidRPr="008A1999">
        <w:t xml:space="preserve">for </w:t>
      </w:r>
      <w:r w:rsidR="00B262A8" w:rsidRPr="008A1999">
        <w:t>more generous protection of rights than the Convention requires, “such provision should not be the product of interpretation of the Convention by national courts”</w:t>
      </w:r>
      <w:r w:rsidR="001A29E4" w:rsidRPr="008A1999">
        <w:t>.</w:t>
      </w:r>
      <w:r w:rsidR="00DC2442" w:rsidRPr="008A1999">
        <w:rPr>
          <w:rStyle w:val="FootnoteReference"/>
        </w:rPr>
        <w:footnoteReference w:id="18"/>
      </w:r>
      <w:r w:rsidR="00F07A88" w:rsidRPr="008A1999">
        <w:t xml:space="preserve"> </w:t>
      </w:r>
      <w:r w:rsidR="00D34787" w:rsidRPr="008A1999">
        <w:t>Th</w:t>
      </w:r>
      <w:r w:rsidR="00F112A3" w:rsidRPr="008A1999">
        <w:t xml:space="preserve">e </w:t>
      </w:r>
      <w:r w:rsidR="00F07A88" w:rsidRPr="008A1999">
        <w:t xml:space="preserve">same </w:t>
      </w:r>
      <w:r w:rsidR="007E5ADD" w:rsidRPr="008A1999">
        <w:t>proposition</w:t>
      </w:r>
      <w:r w:rsidR="00F112A3" w:rsidRPr="008A1999">
        <w:t xml:space="preserve"> </w:t>
      </w:r>
      <w:r w:rsidR="00B9729F" w:rsidRPr="008A1999">
        <w:t>was</w:t>
      </w:r>
      <w:r w:rsidR="00F07A88" w:rsidRPr="008A1999">
        <w:t xml:space="preserve"> voiced </w:t>
      </w:r>
      <w:r w:rsidR="00B9729F" w:rsidRPr="008A1999">
        <w:t xml:space="preserve">by Lord Sumption </w:t>
      </w:r>
      <w:r w:rsidR="00D34787" w:rsidRPr="008A1999">
        <w:t xml:space="preserve">in </w:t>
      </w:r>
      <w:r w:rsidR="00D34787" w:rsidRPr="008A1999">
        <w:rPr>
          <w:i/>
          <w:iCs/>
        </w:rPr>
        <w:t>Chester</w:t>
      </w:r>
      <w:r w:rsidR="00D71124" w:rsidRPr="008A1999">
        <w:rPr>
          <w:i/>
          <w:iCs/>
        </w:rPr>
        <w:t xml:space="preserve">, </w:t>
      </w:r>
      <w:r w:rsidR="00D71124" w:rsidRPr="008A1999">
        <w:t>whe</w:t>
      </w:r>
      <w:r w:rsidR="00A400A5" w:rsidRPr="008A1999">
        <w:t>re</w:t>
      </w:r>
      <w:r w:rsidR="00D71124" w:rsidRPr="008A1999">
        <w:t xml:space="preserve"> he said</w:t>
      </w:r>
      <w:r w:rsidR="0020002E" w:rsidRPr="008A1999">
        <w:t>:</w:t>
      </w:r>
    </w:p>
    <w:p w14:paraId="63D5A0EB" w14:textId="158B527B" w:rsidR="0020002E" w:rsidRPr="008A1999" w:rsidRDefault="0020002E" w:rsidP="00AD47DC">
      <w:pPr>
        <w:jc w:val="both"/>
      </w:pPr>
    </w:p>
    <w:p w14:paraId="1CE7FCDF" w14:textId="7D4B90FB" w:rsidR="0020002E" w:rsidRPr="008A1999" w:rsidRDefault="0020002E" w:rsidP="00522A93">
      <w:pPr>
        <w:ind w:left="720"/>
        <w:jc w:val="both"/>
      </w:pPr>
      <w:r w:rsidRPr="008A1999">
        <w:t>“A decision of the European Court of Human Rights is more than an opinion about the meaning of the Convention. It is an adjudication by the tribunal which the United Kingdom has by Treaty agreed should give definitive rulings on the subject. The courts are therefore bound to treat them as the authoritative expositions of the Convention which the Convention intends them to be …</w:t>
      </w:r>
      <w:r w:rsidR="00F52C2C">
        <w:t xml:space="preserve"> </w:t>
      </w:r>
      <w:r w:rsidRPr="008A1999">
        <w:t>”</w:t>
      </w:r>
      <w:r w:rsidR="008D1300" w:rsidRPr="008A1999">
        <w:rPr>
          <w:rStyle w:val="FootnoteReference"/>
        </w:rPr>
        <w:footnoteReference w:id="19"/>
      </w:r>
    </w:p>
    <w:p w14:paraId="380E33AB" w14:textId="77777777" w:rsidR="00AD47DC" w:rsidRPr="008A1999" w:rsidRDefault="00AD47DC" w:rsidP="00AD47DC">
      <w:pPr>
        <w:jc w:val="both"/>
      </w:pPr>
    </w:p>
    <w:p w14:paraId="41F81733" w14:textId="46D566EB" w:rsidR="004C6BDA" w:rsidRPr="008A1999" w:rsidRDefault="00D61485" w:rsidP="00A02DF8">
      <w:pPr>
        <w:jc w:val="both"/>
      </w:pPr>
      <w:r w:rsidRPr="008A1999">
        <w:t>T</w:t>
      </w:r>
      <w:r w:rsidR="00F07A88" w:rsidRPr="008A1999">
        <w:t>his logic h</w:t>
      </w:r>
      <w:r w:rsidR="00196C5D" w:rsidRPr="008A1999">
        <w:t xml:space="preserve">as been echoed by commentators, such as Draghici, who claim </w:t>
      </w:r>
      <w:r w:rsidR="00DC1FAA" w:rsidRPr="008A1999">
        <w:t>that because</w:t>
      </w:r>
      <w:r w:rsidR="00F52C2C">
        <w:t>—</w:t>
      </w:r>
      <w:r w:rsidR="00DC1FAA" w:rsidRPr="008A1999">
        <w:t>under Article 32(1) ECHR</w:t>
      </w:r>
      <w:r w:rsidR="00F52C2C">
        <w:t>—</w:t>
      </w:r>
      <w:r w:rsidR="00DC1FAA" w:rsidRPr="008A1999">
        <w:t>the ECtHR’s jurisdiction extends to “all matters concerning the interpretation and application of the Convention”, it follows that “the only legitimate interpreter of the ECHR provisions is …</w:t>
      </w:r>
      <w:r w:rsidR="00384BED" w:rsidRPr="008A1999">
        <w:t xml:space="preserve"> </w:t>
      </w:r>
      <w:r w:rsidR="00DC1FAA" w:rsidRPr="008A1999">
        <w:t>the Strasbourg Court”.</w:t>
      </w:r>
      <w:r w:rsidR="00DC1FAA" w:rsidRPr="008A1999">
        <w:rPr>
          <w:rStyle w:val="FootnoteReference"/>
        </w:rPr>
        <w:footnoteReference w:id="20"/>
      </w:r>
      <w:r w:rsidR="000B7705" w:rsidRPr="008A1999">
        <w:t xml:space="preserve"> </w:t>
      </w:r>
    </w:p>
    <w:p w14:paraId="15276856" w14:textId="1D500BF1" w:rsidR="006724EE" w:rsidRPr="008A1999" w:rsidRDefault="00A01428" w:rsidP="00DD6A6F">
      <w:pPr>
        <w:ind w:firstLine="720"/>
        <w:jc w:val="both"/>
      </w:pPr>
      <w:proofErr w:type="spellStart"/>
      <w:r w:rsidRPr="008A1999">
        <w:t>Draghici’s</w:t>
      </w:r>
      <w:proofErr w:type="spellEnd"/>
      <w:r w:rsidR="00384BED" w:rsidRPr="008A1999">
        <w:t xml:space="preserve"> </w:t>
      </w:r>
      <w:r w:rsidR="002760D6" w:rsidRPr="008A1999">
        <w:t>proposition</w:t>
      </w:r>
      <w:r w:rsidR="00384BED" w:rsidRPr="008A1999">
        <w:t xml:space="preserve"> is true</w:t>
      </w:r>
      <w:r w:rsidR="00F57B1B" w:rsidRPr="008A1999">
        <w:t xml:space="preserve"> </w:t>
      </w:r>
      <w:r w:rsidRPr="008A1999">
        <w:t xml:space="preserve">both </w:t>
      </w:r>
      <w:r w:rsidR="00384BED" w:rsidRPr="008A1999">
        <w:t>in the sense</w:t>
      </w:r>
      <w:r w:rsidR="00FF4346" w:rsidRPr="008A1999">
        <w:t xml:space="preserve"> that the UK has an obligation under international law to obey the rulings of the ECtHR</w:t>
      </w:r>
      <w:r w:rsidR="00A96C98" w:rsidRPr="008A1999">
        <w:t xml:space="preserve"> and in the sense that </w:t>
      </w:r>
      <w:r w:rsidR="00DC21DF" w:rsidRPr="008A1999">
        <w:t xml:space="preserve">the Court’s rulings are not just an opinion about the meaning of the Convention. </w:t>
      </w:r>
      <w:r w:rsidR="00520E73" w:rsidRPr="008A1999">
        <w:t xml:space="preserve">But </w:t>
      </w:r>
      <w:r w:rsidR="00C8063C" w:rsidRPr="008A1999">
        <w:t>it does not follow from this that</w:t>
      </w:r>
      <w:r w:rsidR="00520E73" w:rsidRPr="008A1999">
        <w:t xml:space="preserve"> the ECtHR </w:t>
      </w:r>
      <w:r w:rsidR="009D549C" w:rsidRPr="008A1999">
        <w:t>is in a</w:t>
      </w:r>
      <w:r w:rsidR="006A54E3" w:rsidRPr="008A1999">
        <w:t xml:space="preserve"> </w:t>
      </w:r>
      <w:r w:rsidR="00520E73" w:rsidRPr="008A1999">
        <w:t xml:space="preserve">uniquely privileged position to give the “correct” interpretation of the Convention. </w:t>
      </w:r>
      <w:r w:rsidR="00D11D8D" w:rsidRPr="008A1999">
        <w:t xml:space="preserve">Any such </w:t>
      </w:r>
      <w:r w:rsidR="006724EE" w:rsidRPr="008A1999">
        <w:t xml:space="preserve">strong </w:t>
      </w:r>
      <w:r w:rsidR="008E7D28" w:rsidRPr="008A1999">
        <w:t xml:space="preserve">notion </w:t>
      </w:r>
      <w:r w:rsidR="00D1437C" w:rsidRPr="008A1999">
        <w:t xml:space="preserve">of </w:t>
      </w:r>
      <w:r w:rsidR="00F52C2C">
        <w:t>“</w:t>
      </w:r>
      <w:r w:rsidR="00D1437C" w:rsidRPr="008A1999">
        <w:t>unique privilege</w:t>
      </w:r>
      <w:r w:rsidR="00F52C2C">
        <w:t>”</w:t>
      </w:r>
      <w:r w:rsidR="00BE7C8B" w:rsidRPr="008A1999">
        <w:t xml:space="preserve"> </w:t>
      </w:r>
      <w:r w:rsidR="008E7D28" w:rsidRPr="008A1999">
        <w:t>implies</w:t>
      </w:r>
      <w:r w:rsidR="006724EE" w:rsidRPr="008A1999">
        <w:t xml:space="preserve"> that the ECtHR’s </w:t>
      </w:r>
      <w:r w:rsidR="00F61765" w:rsidRPr="008A1999">
        <w:t>rulings are authoritative</w:t>
      </w:r>
      <w:r w:rsidR="0065689A" w:rsidRPr="008A1999">
        <w:t xml:space="preserve"> </w:t>
      </w:r>
      <w:r w:rsidR="00F61765" w:rsidRPr="008A1999">
        <w:t xml:space="preserve">in the </w:t>
      </w:r>
      <w:r w:rsidR="0065689A" w:rsidRPr="008A1999">
        <w:t xml:space="preserve">same </w:t>
      </w:r>
      <w:r w:rsidR="00F61765" w:rsidRPr="008A1999">
        <w:t xml:space="preserve">sense that </w:t>
      </w:r>
      <w:r w:rsidR="004669DF" w:rsidRPr="008A1999">
        <w:t xml:space="preserve">the Supreme Court’s judgments </w:t>
      </w:r>
      <w:r w:rsidR="009D66CA" w:rsidRPr="008A1999">
        <w:t>might be thought to be</w:t>
      </w:r>
      <w:r w:rsidR="004669DF" w:rsidRPr="008A1999">
        <w:t xml:space="preserve"> authoritative in relation to domestic law</w:t>
      </w:r>
      <w:r w:rsidR="003B7F25" w:rsidRPr="008A1999">
        <w:rPr>
          <w:rStyle w:val="FootnoteReference"/>
        </w:rPr>
        <w:footnoteReference w:id="21"/>
      </w:r>
      <w:r w:rsidR="00DD2E1B" w:rsidRPr="008A1999">
        <w:t xml:space="preserve">—in </w:t>
      </w:r>
      <w:r w:rsidR="00F21642" w:rsidRPr="008A1999">
        <w:t>other words,</w:t>
      </w:r>
      <w:r w:rsidR="008232B4" w:rsidRPr="008A1999">
        <w:t xml:space="preserve"> that there is a hierarchical structure of courts </w:t>
      </w:r>
      <w:r w:rsidR="00A33D20" w:rsidRPr="008A1999">
        <w:t>with the</w:t>
      </w:r>
      <w:r w:rsidR="008232B4" w:rsidRPr="008A1999">
        <w:t xml:space="preserve"> ECtHR sit</w:t>
      </w:r>
      <w:r w:rsidR="00A33D20" w:rsidRPr="008A1999">
        <w:t>ting</w:t>
      </w:r>
      <w:r w:rsidR="008232B4" w:rsidRPr="008A1999">
        <w:t xml:space="preserve"> as final arbiter, </w:t>
      </w:r>
      <w:r w:rsidR="004D1A2C" w:rsidRPr="008A1999">
        <w:t xml:space="preserve">that </w:t>
      </w:r>
      <w:r w:rsidR="0046736B" w:rsidRPr="008A1999">
        <w:t>its judgments</w:t>
      </w:r>
      <w:r w:rsidR="004D1A2C" w:rsidRPr="008A1999">
        <w:t xml:space="preserve"> are</w:t>
      </w:r>
      <w:r w:rsidR="002865EB" w:rsidRPr="008A1999">
        <w:t xml:space="preserve"> designed to</w:t>
      </w:r>
      <w:r w:rsidR="0046736B" w:rsidRPr="008A1999">
        <w:t xml:space="preserve"> “correct” mistakes which have been made by the domestic courts</w:t>
      </w:r>
      <w:r w:rsidR="003E4F24" w:rsidRPr="008A1999">
        <w:t xml:space="preserve">, and </w:t>
      </w:r>
      <w:r w:rsidR="004821EB" w:rsidRPr="008A1999">
        <w:t>that its</w:t>
      </w:r>
      <w:r w:rsidR="003E4F24" w:rsidRPr="008A1999">
        <w:t xml:space="preserve"> purpose </w:t>
      </w:r>
      <w:r w:rsidR="004821EB" w:rsidRPr="008A1999">
        <w:t>is</w:t>
      </w:r>
      <w:r w:rsidR="003E4F24" w:rsidRPr="008A1999">
        <w:t xml:space="preserve"> to </w:t>
      </w:r>
      <w:r w:rsidR="00940150" w:rsidRPr="008A1999">
        <w:t>spell out the “true” legal position.</w:t>
      </w:r>
      <w:r w:rsidR="00BB19FE" w:rsidRPr="008A1999">
        <w:t xml:space="preserve"> </w:t>
      </w:r>
    </w:p>
    <w:p w14:paraId="4D9AE1D6" w14:textId="3E713655" w:rsidR="00B91129" w:rsidRPr="008A1999" w:rsidRDefault="007468B6" w:rsidP="00AF7EE5">
      <w:pPr>
        <w:ind w:firstLine="720"/>
        <w:jc w:val="both"/>
        <w:rPr>
          <w:i/>
          <w:iCs/>
        </w:rPr>
      </w:pPr>
      <w:r>
        <w:t>M</w:t>
      </w:r>
      <w:r w:rsidR="008A50DE" w:rsidRPr="008A1999">
        <w:t xml:space="preserve">uch of the </w:t>
      </w:r>
      <w:r>
        <w:t>ECtHR’s</w:t>
      </w:r>
      <w:r w:rsidRPr="008A1999">
        <w:t xml:space="preserve"> </w:t>
      </w:r>
      <w:r w:rsidR="008A50DE" w:rsidRPr="008A1999">
        <w:t xml:space="preserve">jurisprudence seems to indicate that it does not </w:t>
      </w:r>
      <w:r w:rsidR="003677DD" w:rsidRPr="008A1999">
        <w:t xml:space="preserve">understand </w:t>
      </w:r>
      <w:r w:rsidR="00751EC4" w:rsidRPr="008A1999">
        <w:t>its relationship with domestic courts in this way</w:t>
      </w:r>
      <w:r w:rsidR="003677DD" w:rsidRPr="008A1999">
        <w:t xml:space="preserve">. </w:t>
      </w:r>
      <w:r w:rsidR="0001761A">
        <w:t>First, u</w:t>
      </w:r>
      <w:r w:rsidR="00C03266" w:rsidRPr="008A1999">
        <w:t xml:space="preserve">nder </w:t>
      </w:r>
      <w:r w:rsidR="0001761A">
        <w:t>the</w:t>
      </w:r>
      <w:r w:rsidR="0001761A" w:rsidRPr="008A1999">
        <w:t xml:space="preserve"> </w:t>
      </w:r>
      <w:r w:rsidR="00C03266" w:rsidRPr="008A1999">
        <w:t>doctrine</w:t>
      </w:r>
      <w:r w:rsidR="0001761A">
        <w:t xml:space="preserve"> of </w:t>
      </w:r>
      <w:r w:rsidR="00F52C2C">
        <w:t>“</w:t>
      </w:r>
      <w:r w:rsidR="0001761A">
        <w:t>non-substitution</w:t>
      </w:r>
      <w:r w:rsidR="00F52C2C">
        <w:t>”</w:t>
      </w:r>
      <w:r w:rsidR="00C03266" w:rsidRPr="008A1999">
        <w:t xml:space="preserve">, </w:t>
      </w:r>
      <w:r w:rsidR="00C03266" w:rsidRPr="008A1999">
        <w:lastRenderedPageBreak/>
        <w:t>the ECtHR will require strong reasons to substitute its own judgment for that of a national court about the balanc</w:t>
      </w:r>
      <w:r w:rsidR="0001761A">
        <w:t>ing of a right</w:t>
      </w:r>
      <w:r w:rsidR="00C03266" w:rsidRPr="008A1999">
        <w:t xml:space="preserve"> with public interests</w:t>
      </w:r>
      <w:r w:rsidR="00384433" w:rsidRPr="008A1999">
        <w:t xml:space="preserve"> or </w:t>
      </w:r>
      <w:r w:rsidR="00931E17" w:rsidRPr="008A1999">
        <w:t>with</w:t>
      </w:r>
      <w:r w:rsidR="00384433" w:rsidRPr="008A1999">
        <w:t xml:space="preserve"> other Convention rights</w:t>
      </w:r>
      <w:r w:rsidR="00C03266" w:rsidRPr="008A1999">
        <w:t xml:space="preserve">. </w:t>
      </w:r>
      <w:r w:rsidR="00B91129" w:rsidRPr="008A1999">
        <w:t xml:space="preserve">As the Court put it in </w:t>
      </w:r>
      <w:proofErr w:type="spellStart"/>
      <w:r w:rsidR="00B91129" w:rsidRPr="008A1999">
        <w:rPr>
          <w:i/>
          <w:iCs/>
        </w:rPr>
        <w:t>Ndidi</w:t>
      </w:r>
      <w:proofErr w:type="spellEnd"/>
      <w:r w:rsidR="00B91129" w:rsidRPr="008A1999">
        <w:rPr>
          <w:i/>
          <w:iCs/>
        </w:rPr>
        <w:t xml:space="preserve"> v UK</w:t>
      </w:r>
      <w:r w:rsidR="00B91129" w:rsidRPr="008A1999">
        <w:t>:</w:t>
      </w:r>
      <w:r w:rsidR="00B91129" w:rsidRPr="008A1999">
        <w:rPr>
          <w:i/>
          <w:iCs/>
        </w:rPr>
        <w:t xml:space="preserve"> </w:t>
      </w:r>
    </w:p>
    <w:p w14:paraId="4CAEFB0C" w14:textId="77777777" w:rsidR="00B91129" w:rsidRPr="008A1999" w:rsidRDefault="00B91129" w:rsidP="00A02DF8">
      <w:pPr>
        <w:jc w:val="both"/>
        <w:rPr>
          <w:i/>
          <w:iCs/>
        </w:rPr>
      </w:pPr>
    </w:p>
    <w:p w14:paraId="013F1EC4" w14:textId="79EB185A" w:rsidR="003677DD" w:rsidRPr="008A1999" w:rsidRDefault="00B91129" w:rsidP="00F52C2C">
      <w:pPr>
        <w:ind w:left="720"/>
        <w:jc w:val="both"/>
      </w:pPr>
      <w:r w:rsidRPr="008A1999">
        <w:t>“where the independent and impartial domestic courts have carefully examined the facts, applying the relevant human rights standards consistently with the Convention and its case-law, and adequately balanced the applicant’s personal interests against the more general public interest in the case, it is not for it to substitute its own assessment of the merits (including, in particular, its own assessment of the factual details of proportionality) for that of the competent national authorities.”</w:t>
      </w:r>
      <w:r w:rsidR="002C68A6" w:rsidRPr="008A1999">
        <w:rPr>
          <w:rStyle w:val="FootnoteReference"/>
        </w:rPr>
        <w:footnoteReference w:id="22"/>
      </w:r>
      <w:r w:rsidR="00C03266" w:rsidRPr="008A1999">
        <w:t xml:space="preserve"> </w:t>
      </w:r>
    </w:p>
    <w:p w14:paraId="133EE040" w14:textId="418179D5" w:rsidR="00035F83" w:rsidRPr="008A1999" w:rsidRDefault="00035F83" w:rsidP="00A02DF8">
      <w:pPr>
        <w:jc w:val="both"/>
      </w:pPr>
    </w:p>
    <w:p w14:paraId="5566E601" w14:textId="2F3C5F53" w:rsidR="00206812" w:rsidRPr="008A1999" w:rsidRDefault="00373B8D" w:rsidP="00A02DF8">
      <w:pPr>
        <w:jc w:val="both"/>
      </w:pPr>
      <w:r w:rsidRPr="008A1999">
        <w:t>Indeed,</w:t>
      </w:r>
      <w:r w:rsidR="00991E1A" w:rsidRPr="008A1999">
        <w:t xml:space="preserve"> </w:t>
      </w:r>
      <w:r w:rsidR="00991E1A" w:rsidRPr="008A1999">
        <w:rPr>
          <w:i/>
          <w:iCs/>
        </w:rPr>
        <w:t>Von Hannover</w:t>
      </w:r>
      <w:r w:rsidR="00991E1A" w:rsidRPr="008A1999">
        <w:t>,</w:t>
      </w:r>
      <w:r w:rsidR="00867520" w:rsidRPr="008A1999">
        <w:rPr>
          <w:rStyle w:val="FootnoteReference"/>
        </w:rPr>
        <w:footnoteReference w:id="23"/>
      </w:r>
      <w:r w:rsidR="00991E1A" w:rsidRPr="008A1999">
        <w:t xml:space="preserve"> </w:t>
      </w:r>
      <w:r w:rsidR="00991E1A" w:rsidRPr="008A1999">
        <w:rPr>
          <w:i/>
          <w:iCs/>
        </w:rPr>
        <w:t>Ibrahim</w:t>
      </w:r>
      <w:r w:rsidR="00991E1A" w:rsidRPr="008A1999">
        <w:t>,</w:t>
      </w:r>
      <w:r w:rsidR="00867520" w:rsidRPr="008A1999">
        <w:rPr>
          <w:rStyle w:val="FootnoteReference"/>
        </w:rPr>
        <w:footnoteReference w:id="24"/>
      </w:r>
      <w:r w:rsidR="00991E1A" w:rsidRPr="008A1999">
        <w:rPr>
          <w:i/>
          <w:iCs/>
        </w:rPr>
        <w:t xml:space="preserve"> </w:t>
      </w:r>
      <w:proofErr w:type="spellStart"/>
      <w:r w:rsidR="00991E1A" w:rsidRPr="008A1999">
        <w:rPr>
          <w:i/>
          <w:iCs/>
        </w:rPr>
        <w:t>Bărbulescu</w:t>
      </w:r>
      <w:proofErr w:type="spellEnd"/>
      <w:r w:rsidR="00991E1A" w:rsidRPr="008A1999">
        <w:t>,</w:t>
      </w:r>
      <w:r w:rsidR="00867520" w:rsidRPr="008A1999">
        <w:rPr>
          <w:rStyle w:val="FootnoteReference"/>
        </w:rPr>
        <w:footnoteReference w:id="25"/>
      </w:r>
      <w:r w:rsidRPr="008A1999">
        <w:t xml:space="preserve"> </w:t>
      </w:r>
      <w:proofErr w:type="spellStart"/>
      <w:r w:rsidRPr="008A1999">
        <w:rPr>
          <w:i/>
          <w:iCs/>
        </w:rPr>
        <w:t>Hame</w:t>
      </w:r>
      <w:r w:rsidR="00891B53" w:rsidRPr="008A1999">
        <w:rPr>
          <w:i/>
          <w:iCs/>
        </w:rPr>
        <w:t>sevic</w:t>
      </w:r>
      <w:proofErr w:type="spellEnd"/>
      <w:r w:rsidR="00231B47" w:rsidRPr="008A1999">
        <w:t>,</w:t>
      </w:r>
      <w:r w:rsidR="00867520" w:rsidRPr="008A1999">
        <w:rPr>
          <w:rStyle w:val="FootnoteReference"/>
        </w:rPr>
        <w:footnoteReference w:id="26"/>
      </w:r>
      <w:r w:rsidR="00231B47" w:rsidRPr="008A1999">
        <w:t xml:space="preserve"> </w:t>
      </w:r>
      <w:r w:rsidR="00891B53" w:rsidRPr="008A1999">
        <w:t xml:space="preserve">and </w:t>
      </w:r>
      <w:proofErr w:type="spellStart"/>
      <w:r w:rsidR="00891B53" w:rsidRPr="008A1999">
        <w:rPr>
          <w:i/>
          <w:iCs/>
        </w:rPr>
        <w:t>Alam</w:t>
      </w:r>
      <w:proofErr w:type="spellEnd"/>
      <w:r w:rsidR="00867520" w:rsidRPr="008A1999">
        <w:rPr>
          <w:rStyle w:val="FootnoteReference"/>
        </w:rPr>
        <w:footnoteReference w:id="27"/>
      </w:r>
      <w:r w:rsidR="00891B53" w:rsidRPr="008A1999">
        <w:t xml:space="preserve"> </w:t>
      </w:r>
      <w:r w:rsidR="00991E1A" w:rsidRPr="008A1999">
        <w:t xml:space="preserve">provide good examples of </w:t>
      </w:r>
      <w:r w:rsidR="005E5A7E" w:rsidRPr="008A1999">
        <w:t>cases where the</w:t>
      </w:r>
      <w:r w:rsidR="00991E1A" w:rsidRPr="008A1999">
        <w:t xml:space="preserve"> </w:t>
      </w:r>
      <w:r w:rsidR="00891B53" w:rsidRPr="008A1999">
        <w:t>Court declin</w:t>
      </w:r>
      <w:r w:rsidR="005E5A7E" w:rsidRPr="008A1999">
        <w:t xml:space="preserve">ed </w:t>
      </w:r>
      <w:r w:rsidR="00891B53" w:rsidRPr="008A1999">
        <w:t xml:space="preserve">to substitute its </w:t>
      </w:r>
      <w:r w:rsidR="00D17EAD" w:rsidRPr="008A1999">
        <w:t>conclusions</w:t>
      </w:r>
      <w:r w:rsidR="00891B53" w:rsidRPr="008A1999">
        <w:t xml:space="preserve"> for those of the national courts. </w:t>
      </w:r>
      <w:r w:rsidR="007979D4" w:rsidRPr="008A1999">
        <w:t xml:space="preserve">As Spano </w:t>
      </w:r>
      <w:r w:rsidR="00F93151" w:rsidRPr="008A1999">
        <w:t>observes</w:t>
      </w:r>
      <w:r w:rsidR="007979D4" w:rsidRPr="008A1999">
        <w:t>, this doctrine indicates the Court</w:t>
      </w:r>
      <w:r w:rsidR="00BF4657" w:rsidRPr="008A1999">
        <w:t>’s recognition of the fact that, in principle, a “national decision-maker [is] more directly attuned and sensitive to the necessities of domestic and democratic legal order”.</w:t>
      </w:r>
      <w:r w:rsidR="00BF4657" w:rsidRPr="008A1999">
        <w:rPr>
          <w:rStyle w:val="FootnoteReference"/>
        </w:rPr>
        <w:footnoteReference w:id="28"/>
      </w:r>
      <w:r w:rsidR="009A1AB2" w:rsidRPr="008A1999">
        <w:t xml:space="preserve"> In other words, the doctrine shows that the ECtHR </w:t>
      </w:r>
      <w:r w:rsidR="00735407" w:rsidRPr="008A1999">
        <w:t xml:space="preserve">displays </w:t>
      </w:r>
      <w:r w:rsidR="00A54C1E">
        <w:t xml:space="preserve">more </w:t>
      </w:r>
      <w:r w:rsidR="00735407" w:rsidRPr="008A1999">
        <w:t xml:space="preserve">deference to national courts than appellate courts generally show to lower courts </w:t>
      </w:r>
      <w:r w:rsidR="009A2563" w:rsidRPr="008A1999">
        <w:t xml:space="preserve">within hierarchical common law </w:t>
      </w:r>
      <w:r w:rsidR="003A18C6" w:rsidRPr="008A1999">
        <w:t>system</w:t>
      </w:r>
      <w:r w:rsidR="00152320">
        <w:t>s</w:t>
      </w:r>
      <w:r w:rsidR="009A2563" w:rsidRPr="008A1999">
        <w:t>.</w:t>
      </w:r>
      <w:r w:rsidR="0049617E" w:rsidRPr="008A1999">
        <w:t xml:space="preserve"> </w:t>
      </w:r>
      <w:r w:rsidR="00182695" w:rsidRPr="008A1999">
        <w:t xml:space="preserve">Of course, the doctrine of non-substitution cannot </w:t>
      </w:r>
      <w:r w:rsidR="00995450">
        <w:t>alone</w:t>
      </w:r>
      <w:r w:rsidR="00182695" w:rsidRPr="008A1999">
        <w:t xml:space="preserve"> dispel the argument that the ECtHR has a monopoly on interpreting Convention rights. </w:t>
      </w:r>
      <w:r w:rsidR="00765D15" w:rsidRPr="008A1999">
        <w:t>It</w:t>
      </w:r>
      <w:r w:rsidR="00EB3D18" w:rsidRPr="008A1999">
        <w:t xml:space="preserve"> applies only in relation to the final stage of the proportionality analysis</w:t>
      </w:r>
      <w:r w:rsidR="005C0BEE">
        <w:t>, a</w:t>
      </w:r>
      <w:r w:rsidR="00C2100E" w:rsidRPr="008A1999">
        <w:t>nd even th</w:t>
      </w:r>
      <w:r w:rsidR="005C0BEE">
        <w:t>is</w:t>
      </w:r>
      <w:r w:rsidR="00C2100E" w:rsidRPr="008A1999">
        <w:t xml:space="preserve"> balancing exercise itself must be “undertaken by the national authorities in conformity with the criteria laid down in the Court’s case-law” for the doctrine to</w:t>
      </w:r>
      <w:r w:rsidR="009318E9" w:rsidRPr="008A1999">
        <w:t xml:space="preserve"> be</w:t>
      </w:r>
      <w:r w:rsidR="00C2100E" w:rsidRPr="008A1999">
        <w:t xml:space="preserve"> appl</w:t>
      </w:r>
      <w:r w:rsidR="009318E9" w:rsidRPr="008A1999">
        <w:t>ied</w:t>
      </w:r>
      <w:r w:rsidR="00C2100E" w:rsidRPr="008A1999">
        <w:t>.</w:t>
      </w:r>
      <w:r w:rsidR="00C2100E" w:rsidRPr="008A1999">
        <w:rPr>
          <w:rStyle w:val="FootnoteReference"/>
        </w:rPr>
        <w:footnoteReference w:id="29"/>
      </w:r>
      <w:r w:rsidR="00775435" w:rsidRPr="008A1999">
        <w:t xml:space="preserve"> So, although the doctrine </w:t>
      </w:r>
      <w:r w:rsidR="0038116F" w:rsidRPr="008A1999">
        <w:t>gives</w:t>
      </w:r>
      <w:r w:rsidR="00775435" w:rsidRPr="008A1999">
        <w:t xml:space="preserve"> national courts the power to </w:t>
      </w:r>
      <w:r w:rsidR="0038116F" w:rsidRPr="008A1999">
        <w:t>lead the way</w:t>
      </w:r>
      <w:r w:rsidR="00775435" w:rsidRPr="008A1999">
        <w:t xml:space="preserve"> on the correct interpretation of the Convention, it does so only within tightly defined parameters. </w:t>
      </w:r>
    </w:p>
    <w:p w14:paraId="4F562385" w14:textId="391827A5" w:rsidR="00E63D4D" w:rsidRPr="008A1999" w:rsidRDefault="00511B3E" w:rsidP="00DD6A6F">
      <w:pPr>
        <w:ind w:firstLine="720"/>
        <w:jc w:val="both"/>
        <w:rPr>
          <w:color w:val="000000" w:themeColor="text1"/>
        </w:rPr>
      </w:pPr>
      <w:r w:rsidRPr="008A1999">
        <w:t>The ECtHR also gives national</w:t>
      </w:r>
      <w:r w:rsidR="0038116F" w:rsidRPr="008A1999">
        <w:t xml:space="preserve"> courts the power to</w:t>
      </w:r>
      <w:r w:rsidRPr="008A1999">
        <w:t xml:space="preserve"> take the lead on the correct interpretation of the Convention </w:t>
      </w:r>
      <w:r w:rsidR="00206812" w:rsidRPr="008A1999">
        <w:t>where the Court’s</w:t>
      </w:r>
      <w:r w:rsidR="00950A38" w:rsidRPr="008A1999">
        <w:t xml:space="preserve"> jurisprudence </w:t>
      </w:r>
      <w:r w:rsidR="00206812" w:rsidRPr="008A1999">
        <w:t>is still being developed in</w:t>
      </w:r>
      <w:r w:rsidR="00950A38" w:rsidRPr="008A1999">
        <w:t xml:space="preserve"> new, morally sensitive areas. </w:t>
      </w:r>
      <w:r w:rsidR="00CD2BA4" w:rsidRPr="008A1999">
        <w:t xml:space="preserve">As </w:t>
      </w:r>
      <w:proofErr w:type="spellStart"/>
      <w:r w:rsidR="00CD2BA4" w:rsidRPr="008A1999">
        <w:t>Gerards</w:t>
      </w:r>
      <w:proofErr w:type="spellEnd"/>
      <w:r w:rsidR="00CD2BA4" w:rsidRPr="008A1999">
        <w:t xml:space="preserve"> argues, </w:t>
      </w:r>
      <w:r w:rsidR="005C556F" w:rsidRPr="008A1999">
        <w:t xml:space="preserve">in such circumstances the Court </w:t>
      </w:r>
      <w:r w:rsidR="00CD2BA4" w:rsidRPr="008A1999">
        <w:t>“acts in a very cautious, incremental and circumscribed manner”.</w:t>
      </w:r>
      <w:r w:rsidR="00617121" w:rsidRPr="008A1999">
        <w:rPr>
          <w:rStyle w:val="FootnoteReference"/>
        </w:rPr>
        <w:footnoteReference w:id="30"/>
      </w:r>
      <w:r w:rsidR="00854283" w:rsidRPr="008A1999">
        <w:t xml:space="preserve"> It begins by issuing judgments restricted to the facts of the case, “avoiding the moral issues at stake”, and only gradually develops more concrete principles</w:t>
      </w:r>
      <w:r w:rsidR="00F63DAE">
        <w:t>—</w:t>
      </w:r>
      <w:r w:rsidR="00854283" w:rsidRPr="008A1999">
        <w:t>leaving for itself the “possibility to change position if its approach is met with strong national criticism”.</w:t>
      </w:r>
      <w:r w:rsidR="00854283" w:rsidRPr="008A1999">
        <w:rPr>
          <w:rStyle w:val="FootnoteReference"/>
        </w:rPr>
        <w:footnoteReference w:id="31"/>
      </w:r>
      <w:r w:rsidR="008103F5" w:rsidRPr="008A1999">
        <w:t xml:space="preserve"> Even once these general principles have crystalised, the </w:t>
      </w:r>
      <w:r w:rsidR="00D06E5E" w:rsidRPr="008A1999">
        <w:t>Court still leaves itself “room for manoeuvre” so that it can “defer to the national authorities where national constitutional values, legal traditions or sensitive issues are concerned, without having to change the general principles”.</w:t>
      </w:r>
      <w:r w:rsidR="00D06E5E" w:rsidRPr="008A1999">
        <w:rPr>
          <w:rStyle w:val="FootnoteReference"/>
        </w:rPr>
        <w:footnoteReference w:id="32"/>
      </w:r>
      <w:r w:rsidR="00F112A3" w:rsidRPr="008A1999">
        <w:t xml:space="preserve"> </w:t>
      </w:r>
      <w:r w:rsidR="00384260" w:rsidRPr="008A1999">
        <w:rPr>
          <w:color w:val="000000" w:themeColor="text1"/>
        </w:rPr>
        <w:t>For example, the Court has made clear that the Convention does not guarantee a right to an abortion.</w:t>
      </w:r>
      <w:r w:rsidR="00384260" w:rsidRPr="008A1999">
        <w:rPr>
          <w:rStyle w:val="FootnoteReference"/>
          <w:color w:val="000000" w:themeColor="text1"/>
        </w:rPr>
        <w:footnoteReference w:id="33"/>
      </w:r>
      <w:r w:rsidR="000C7D22" w:rsidRPr="008A1999">
        <w:rPr>
          <w:color w:val="000000" w:themeColor="text1"/>
        </w:rPr>
        <w:t xml:space="preserve"> </w:t>
      </w:r>
      <w:r w:rsidR="005161C8">
        <w:rPr>
          <w:color w:val="000000" w:themeColor="text1"/>
        </w:rPr>
        <w:t>It</w:t>
      </w:r>
      <w:r w:rsidR="00A0716C" w:rsidRPr="008A1999">
        <w:rPr>
          <w:color w:val="000000" w:themeColor="text1"/>
        </w:rPr>
        <w:t xml:space="preserve"> </w:t>
      </w:r>
      <w:r w:rsidR="000C7D22" w:rsidRPr="008A1999">
        <w:rPr>
          <w:color w:val="000000" w:themeColor="text1"/>
        </w:rPr>
        <w:t>has, however,</w:t>
      </w:r>
      <w:r w:rsidR="00A0716C" w:rsidRPr="008A1999">
        <w:rPr>
          <w:color w:val="000000" w:themeColor="text1"/>
        </w:rPr>
        <w:t xml:space="preserve"> incrementally develop</w:t>
      </w:r>
      <w:r w:rsidR="000C7D22" w:rsidRPr="008A1999">
        <w:rPr>
          <w:color w:val="000000" w:themeColor="text1"/>
        </w:rPr>
        <w:t>ed</w:t>
      </w:r>
      <w:r w:rsidR="00205CAE" w:rsidRPr="008A1999">
        <w:rPr>
          <w:color w:val="000000" w:themeColor="text1"/>
        </w:rPr>
        <w:t xml:space="preserve">, over a number of cases, a </w:t>
      </w:r>
      <w:r w:rsidR="003D79AB" w:rsidRPr="008A1999">
        <w:rPr>
          <w:color w:val="000000" w:themeColor="text1"/>
        </w:rPr>
        <w:t>series of concrete</w:t>
      </w:r>
      <w:r w:rsidR="00A0716C" w:rsidRPr="008A1999">
        <w:rPr>
          <w:color w:val="000000" w:themeColor="text1"/>
        </w:rPr>
        <w:t xml:space="preserve"> </w:t>
      </w:r>
      <w:r w:rsidR="00C43D1C" w:rsidRPr="008A1999">
        <w:rPr>
          <w:color w:val="000000" w:themeColor="text1"/>
        </w:rPr>
        <w:t>rules</w:t>
      </w:r>
      <w:r w:rsidR="00A0716C" w:rsidRPr="008A1999">
        <w:rPr>
          <w:color w:val="000000" w:themeColor="text1"/>
        </w:rPr>
        <w:t xml:space="preserve"> which apply in relation to </w:t>
      </w:r>
      <w:r w:rsidR="008570F0" w:rsidRPr="008A1999">
        <w:rPr>
          <w:color w:val="000000" w:themeColor="text1"/>
        </w:rPr>
        <w:t xml:space="preserve">the regulation of </w:t>
      </w:r>
      <w:r w:rsidR="00A0716C" w:rsidRPr="008A1999">
        <w:rPr>
          <w:color w:val="000000" w:themeColor="text1"/>
        </w:rPr>
        <w:t>abortion.</w:t>
      </w:r>
      <w:r w:rsidR="005634B1" w:rsidRPr="008A1999">
        <w:rPr>
          <w:color w:val="000000" w:themeColor="text1"/>
        </w:rPr>
        <w:t xml:space="preserve"> </w:t>
      </w:r>
      <w:r w:rsidR="00A358AF">
        <w:rPr>
          <w:color w:val="000000" w:themeColor="text1"/>
        </w:rPr>
        <w:t>R</w:t>
      </w:r>
      <w:r w:rsidR="000C7D22" w:rsidRPr="008A1999">
        <w:rPr>
          <w:color w:val="000000" w:themeColor="text1"/>
        </w:rPr>
        <w:t xml:space="preserve">ather than articulating broad principles or </w:t>
      </w:r>
      <w:r w:rsidR="0075108B" w:rsidRPr="008A1999">
        <w:rPr>
          <w:color w:val="000000" w:themeColor="text1"/>
        </w:rPr>
        <w:t xml:space="preserve">directly </w:t>
      </w:r>
      <w:r w:rsidR="00FA23B6">
        <w:rPr>
          <w:color w:val="000000" w:themeColor="text1"/>
        </w:rPr>
        <w:t xml:space="preserve">addressing </w:t>
      </w:r>
      <w:r w:rsidR="000C7D22" w:rsidRPr="008A1999">
        <w:rPr>
          <w:color w:val="000000" w:themeColor="text1"/>
        </w:rPr>
        <w:t>the moral issues, the Court</w:t>
      </w:r>
      <w:r w:rsidR="00396ED6">
        <w:rPr>
          <w:color w:val="000000" w:themeColor="text1"/>
        </w:rPr>
        <w:t xml:space="preserve">’s approach </w:t>
      </w:r>
      <w:r w:rsidR="000C7D22" w:rsidRPr="008A1999">
        <w:rPr>
          <w:color w:val="000000" w:themeColor="text1"/>
        </w:rPr>
        <w:t xml:space="preserve">has </w:t>
      </w:r>
      <w:r w:rsidR="00396ED6">
        <w:rPr>
          <w:color w:val="000000" w:themeColor="text1"/>
        </w:rPr>
        <w:t>been</w:t>
      </w:r>
      <w:r w:rsidR="000C7D22" w:rsidRPr="008A1999">
        <w:rPr>
          <w:color w:val="000000" w:themeColor="text1"/>
        </w:rPr>
        <w:t xml:space="preserve"> pragmatic and fact-sensitive</w:t>
      </w:r>
      <w:r w:rsidR="004D6CBA" w:rsidRPr="008A1999">
        <w:rPr>
          <w:color w:val="000000" w:themeColor="text1"/>
        </w:rPr>
        <w:t xml:space="preserve">, </w:t>
      </w:r>
      <w:r w:rsidR="004D6CBA" w:rsidRPr="008A1999">
        <w:rPr>
          <w:color w:val="000000" w:themeColor="text1"/>
        </w:rPr>
        <w:lastRenderedPageBreak/>
        <w:t xml:space="preserve">stressing the importance of </w:t>
      </w:r>
      <w:r w:rsidR="005634B1" w:rsidRPr="008A1999">
        <w:rPr>
          <w:color w:val="000000" w:themeColor="text1"/>
        </w:rPr>
        <w:t>differing national views o</w:t>
      </w:r>
      <w:r w:rsidR="00C77DA6" w:rsidRPr="008A1999">
        <w:rPr>
          <w:color w:val="000000" w:themeColor="text1"/>
        </w:rPr>
        <w:t>n</w:t>
      </w:r>
      <w:r w:rsidR="005634B1" w:rsidRPr="008A1999">
        <w:rPr>
          <w:color w:val="000000" w:themeColor="text1"/>
        </w:rPr>
        <w:t xml:space="preserve"> the right to an abortion</w:t>
      </w:r>
      <w:r w:rsidR="002C542A" w:rsidRPr="008A1999">
        <w:rPr>
          <w:color w:val="000000" w:themeColor="text1"/>
        </w:rPr>
        <w:t>, and allowing room for manoeuvre</w:t>
      </w:r>
      <w:r w:rsidR="005634B1" w:rsidRPr="008A1999">
        <w:rPr>
          <w:color w:val="000000" w:themeColor="text1"/>
        </w:rPr>
        <w:t>.</w:t>
      </w:r>
      <w:r w:rsidR="005634B1" w:rsidRPr="008A1999">
        <w:rPr>
          <w:rStyle w:val="FootnoteReference"/>
          <w:color w:val="000000" w:themeColor="text1"/>
        </w:rPr>
        <w:footnoteReference w:id="34"/>
      </w:r>
      <w:r w:rsidR="005634B1" w:rsidRPr="008A1999">
        <w:rPr>
          <w:color w:val="000000" w:themeColor="text1"/>
        </w:rPr>
        <w:t xml:space="preserve"> </w:t>
      </w:r>
      <w:r w:rsidR="003B77EA" w:rsidRPr="008A1999">
        <w:t xml:space="preserve">It is clear from this </w:t>
      </w:r>
      <w:r w:rsidR="00DD3044" w:rsidRPr="008A1999">
        <w:t xml:space="preserve">“incrementalism” </w:t>
      </w:r>
      <w:r w:rsidR="003B77EA" w:rsidRPr="008A1999">
        <w:t>that</w:t>
      </w:r>
      <w:r w:rsidR="00EC56C9" w:rsidRPr="008A1999">
        <w:t xml:space="preserve">, at least when it comes to areas of its jurisprudence which are still developing or which </w:t>
      </w:r>
      <w:r w:rsidR="007A61DD" w:rsidRPr="008A1999">
        <w:t>are</w:t>
      </w:r>
      <w:r w:rsidR="00613A15" w:rsidRPr="008A1999">
        <w:t xml:space="preserve"> especially</w:t>
      </w:r>
      <w:r w:rsidR="00EC56C9" w:rsidRPr="008A1999">
        <w:t xml:space="preserve"> morally sensitive,</w:t>
      </w:r>
      <w:r w:rsidR="003B77EA" w:rsidRPr="008A1999">
        <w:t xml:space="preserve"> the ECtHR </w:t>
      </w:r>
      <w:r w:rsidR="00E372DF" w:rsidRPr="008A1999">
        <w:t>envisages domestic authorities playing an important role in defining the correct interpretation of the Convention.</w:t>
      </w:r>
      <w:r w:rsidR="00E372DF" w:rsidRPr="008A1999">
        <w:rPr>
          <w:rStyle w:val="FootnoteReference"/>
        </w:rPr>
        <w:footnoteReference w:id="35"/>
      </w:r>
      <w:r w:rsidR="00E372DF" w:rsidRPr="008A1999">
        <w:t xml:space="preserve"> </w:t>
      </w:r>
    </w:p>
    <w:p w14:paraId="01429DDC" w14:textId="7873D1E3" w:rsidR="00E94922" w:rsidRPr="008A1999" w:rsidRDefault="00E63D4D" w:rsidP="00DD6A6F">
      <w:pPr>
        <w:ind w:firstLine="720"/>
        <w:jc w:val="both"/>
      </w:pPr>
      <w:r w:rsidRPr="008A1999">
        <w:t>Another</w:t>
      </w:r>
      <w:r w:rsidR="00A64CD4" w:rsidRPr="008A1999">
        <w:t xml:space="preserve"> </w:t>
      </w:r>
      <w:r w:rsidR="00050BE9" w:rsidRPr="008A1999">
        <w:t>doctrine</w:t>
      </w:r>
      <w:r w:rsidR="00F63DAE">
        <w:t>—</w:t>
      </w:r>
      <w:r w:rsidR="00F63DAE" w:rsidRPr="008A1999">
        <w:t xml:space="preserve"> </w:t>
      </w:r>
      <w:r w:rsidR="00A64CD4" w:rsidRPr="008A1999">
        <w:t>“</w:t>
      </w:r>
      <w:r w:rsidR="00050BE9" w:rsidRPr="008A1999">
        <w:t>European consensus</w:t>
      </w:r>
      <w:r w:rsidR="00A64CD4" w:rsidRPr="008A1999">
        <w:t>”</w:t>
      </w:r>
      <w:r w:rsidR="00F63DAE" w:rsidRPr="00F63DAE">
        <w:t xml:space="preserve"> </w:t>
      </w:r>
      <w:r w:rsidR="00F63DAE">
        <w:t>—</w:t>
      </w:r>
      <w:r w:rsidR="00050BE9" w:rsidRPr="008A1999">
        <w:t>also shows that the ECtHR</w:t>
      </w:r>
      <w:r w:rsidR="0086460E" w:rsidRPr="008A1999">
        <w:t xml:space="preserve"> sees its role as being to develop Convention jurisprudence </w:t>
      </w:r>
      <w:r w:rsidR="00630185" w:rsidRPr="008A1999">
        <w:t xml:space="preserve">iteratively, </w:t>
      </w:r>
      <w:r w:rsidR="0086460E" w:rsidRPr="008A1999">
        <w:t>in cooperation with national courts.</w:t>
      </w:r>
      <w:r w:rsidR="00EF6BB1" w:rsidRPr="008A1999">
        <w:rPr>
          <w:rStyle w:val="FootnoteReference"/>
        </w:rPr>
        <w:footnoteReference w:id="36"/>
      </w:r>
      <w:r w:rsidR="002D6541" w:rsidRPr="008A1999">
        <w:t xml:space="preserve"> The doctrine is, in essence, “a presumption that favours the solution to a human rights issue which is adopted by the majority of the Contracting Parties”.</w:t>
      </w:r>
      <w:r w:rsidR="002D6541" w:rsidRPr="008A1999">
        <w:rPr>
          <w:rStyle w:val="FootnoteReference"/>
        </w:rPr>
        <w:footnoteReference w:id="37"/>
      </w:r>
      <w:r w:rsidR="0086460E" w:rsidRPr="008A1999">
        <w:t xml:space="preserve"> </w:t>
      </w:r>
      <w:r w:rsidR="00DD3976" w:rsidRPr="008A1999">
        <w:t>By recognising explicitly that national authorities</w:t>
      </w:r>
      <w:r w:rsidR="00F63DAE">
        <w:t>—</w:t>
      </w:r>
      <w:r w:rsidR="00DD3976" w:rsidRPr="008A1999">
        <w:t>both judicial and legislative</w:t>
      </w:r>
      <w:r w:rsidR="00F63DAE">
        <w:t>—</w:t>
      </w:r>
      <w:r w:rsidR="00DD3976" w:rsidRPr="008A1999">
        <w:t xml:space="preserve">have a role in shaping the “correct” interpretation of the Convention, </w:t>
      </w:r>
      <w:r w:rsidR="00C5369A" w:rsidRPr="008A1999">
        <w:t xml:space="preserve">the Court leaves room for domestic judicial conceptions of human rights to develop independently of Strasbourg jurisprudence. </w:t>
      </w:r>
      <w:r w:rsidR="00AD3C8F" w:rsidRPr="008A1999">
        <w:t xml:space="preserve">The Court explicitly </w:t>
      </w:r>
      <w:r w:rsidR="000C1BBC" w:rsidRPr="008A1999">
        <w:t>recognises</w:t>
      </w:r>
      <w:r w:rsidR="00AD3C8F" w:rsidRPr="008A1999">
        <w:t xml:space="preserve"> the “shared responsibility”</w:t>
      </w:r>
      <w:r w:rsidR="000C1BBC" w:rsidRPr="008A1999">
        <w:t xml:space="preserve"> between national courts and itself for the protection of Convention rights.</w:t>
      </w:r>
      <w:r w:rsidR="000C1BBC" w:rsidRPr="008A1999">
        <w:rPr>
          <w:rStyle w:val="FootnoteReference"/>
        </w:rPr>
        <w:footnoteReference w:id="38"/>
      </w:r>
      <w:r w:rsidR="00AD3C8F" w:rsidRPr="008A1999">
        <w:t xml:space="preserve"> </w:t>
      </w:r>
      <w:r w:rsidR="00F04AE9" w:rsidRPr="008A1999">
        <w:t xml:space="preserve">As </w:t>
      </w:r>
      <w:proofErr w:type="spellStart"/>
      <w:r w:rsidR="00F04AE9" w:rsidRPr="008A1999">
        <w:t>Bjorge</w:t>
      </w:r>
      <w:proofErr w:type="spellEnd"/>
      <w:r w:rsidR="00F04AE9" w:rsidRPr="008A1999">
        <w:t xml:space="preserve"> concludes </w:t>
      </w:r>
      <w:r w:rsidR="00CE53B2">
        <w:t>based on</w:t>
      </w:r>
      <w:r w:rsidR="00F04AE9" w:rsidRPr="008A1999">
        <w:t xml:space="preserve"> a survey of </w:t>
      </w:r>
      <w:r w:rsidR="00867520" w:rsidRPr="008A1999">
        <w:t xml:space="preserve">ECtHR judgments including </w:t>
      </w:r>
      <w:r w:rsidR="00B63448" w:rsidRPr="008A1999">
        <w:rPr>
          <w:i/>
          <w:iCs/>
        </w:rPr>
        <w:t>van</w:t>
      </w:r>
      <w:r w:rsidR="00B63448" w:rsidRPr="008A1999">
        <w:t xml:space="preserve"> </w:t>
      </w:r>
      <w:proofErr w:type="spellStart"/>
      <w:r w:rsidR="00867520" w:rsidRPr="008A1999">
        <w:rPr>
          <w:i/>
          <w:iCs/>
        </w:rPr>
        <w:t>Kück</w:t>
      </w:r>
      <w:proofErr w:type="spellEnd"/>
      <w:r w:rsidR="00867520" w:rsidRPr="008A1999">
        <w:t>,</w:t>
      </w:r>
      <w:r w:rsidR="00867520" w:rsidRPr="008A1999">
        <w:rPr>
          <w:rStyle w:val="FootnoteReference"/>
        </w:rPr>
        <w:footnoteReference w:id="39"/>
      </w:r>
      <w:r w:rsidR="00867520" w:rsidRPr="008A1999">
        <w:t xml:space="preserve"> </w:t>
      </w:r>
      <w:r w:rsidR="00867520" w:rsidRPr="008A1999">
        <w:rPr>
          <w:i/>
          <w:iCs/>
        </w:rPr>
        <w:t>E.B.</w:t>
      </w:r>
      <w:r w:rsidR="00867520" w:rsidRPr="008A1999">
        <w:t>,</w:t>
      </w:r>
      <w:r w:rsidR="00867520" w:rsidRPr="008A1999">
        <w:rPr>
          <w:rStyle w:val="FootnoteReference"/>
        </w:rPr>
        <w:footnoteReference w:id="40"/>
      </w:r>
      <w:r w:rsidR="00867520" w:rsidRPr="008A1999">
        <w:t xml:space="preserve"> and </w:t>
      </w:r>
      <w:r w:rsidR="00867520" w:rsidRPr="008A1999">
        <w:rPr>
          <w:i/>
          <w:iCs/>
        </w:rPr>
        <w:t>Hirst</w:t>
      </w:r>
      <w:r w:rsidR="00867520" w:rsidRPr="008A1999">
        <w:t>,</w:t>
      </w:r>
      <w:r w:rsidR="00867520" w:rsidRPr="008A1999">
        <w:rPr>
          <w:rStyle w:val="FootnoteReference"/>
        </w:rPr>
        <w:footnoteReference w:id="41"/>
      </w:r>
      <w:r w:rsidR="00867520" w:rsidRPr="008A1999">
        <w:t xml:space="preserve"> </w:t>
      </w:r>
      <w:r w:rsidR="00F04AE9" w:rsidRPr="008A1999">
        <w:t>“looking at the judgments of the Strasbourg Court, it becomes clear that the Court in no way conceives of evolutive interpretation as its prerogative”</w:t>
      </w:r>
      <w:r w:rsidR="00F63DAE">
        <w:t>—</w:t>
      </w:r>
      <w:r w:rsidR="00F04AE9" w:rsidRPr="008A1999">
        <w:t>rather, Strasbourg takes the view that “national courts … have the power to engage in interpretation which develops Convention rights”.</w:t>
      </w:r>
      <w:r w:rsidR="00F04AE9" w:rsidRPr="008A1999">
        <w:rPr>
          <w:rStyle w:val="FootnoteReference"/>
        </w:rPr>
        <w:footnoteReference w:id="42"/>
      </w:r>
      <w:r w:rsidR="00C63106" w:rsidRPr="008A1999">
        <w:t xml:space="preserve"> </w:t>
      </w:r>
      <w:r w:rsidR="00834942" w:rsidRPr="008A1999">
        <w:t>Of course, the impact of the doctrine should not be overstated</w:t>
      </w:r>
      <w:r w:rsidR="000F545B" w:rsidRPr="008A1999">
        <w:t xml:space="preserve">. </w:t>
      </w:r>
      <w:r w:rsidR="003B49B1" w:rsidRPr="008A1999">
        <w:t xml:space="preserve">The doctrine shows that the ECtHR envisages national authorities taking the lead on the correct interpretation of the Convention, but it must be recognised that the </w:t>
      </w:r>
      <w:r w:rsidR="000B14C0" w:rsidRPr="008A1999">
        <w:t xml:space="preserve">presumption </w:t>
      </w:r>
      <w:r w:rsidR="00B54180" w:rsidRPr="008A1999">
        <w:t xml:space="preserve">set </w:t>
      </w:r>
      <w:r w:rsidR="00CE23BC" w:rsidRPr="008A1999">
        <w:t>is rebuttable</w:t>
      </w:r>
      <w:r w:rsidR="00B54180" w:rsidRPr="008A1999">
        <w:t xml:space="preserve"> not conclusive</w:t>
      </w:r>
      <w:r w:rsidR="005E146B" w:rsidRPr="008A1999">
        <w:t xml:space="preserve">, and that the power </w:t>
      </w:r>
      <w:r w:rsidR="009E16AF">
        <w:t>given</w:t>
      </w:r>
      <w:r w:rsidR="005E146B" w:rsidRPr="008A1999">
        <w:t xml:space="preserve"> to national courts is held collectively rather than by any one national court alone</w:t>
      </w:r>
      <w:r w:rsidR="00B54180" w:rsidRPr="008A1999">
        <w:t>.</w:t>
      </w:r>
      <w:r w:rsidR="00CE23BC" w:rsidRPr="008A1999">
        <w:rPr>
          <w:rStyle w:val="FootnoteReference"/>
        </w:rPr>
        <w:footnoteReference w:id="43"/>
      </w:r>
    </w:p>
    <w:p w14:paraId="75C94411" w14:textId="2AF15D61" w:rsidR="00982790" w:rsidRPr="008A1999" w:rsidRDefault="00FC043B" w:rsidP="00DD6A6F">
      <w:pPr>
        <w:ind w:firstLine="720"/>
        <w:jc w:val="both"/>
      </w:pPr>
      <w:r w:rsidRPr="008A1999">
        <w:t>W</w:t>
      </w:r>
      <w:r w:rsidR="00C1549B" w:rsidRPr="008A1999">
        <w:t>e might add that</w:t>
      </w:r>
      <w:r w:rsidR="00F75665" w:rsidRPr="008A1999">
        <w:t xml:space="preserve"> the ECtHR</w:t>
      </w:r>
      <w:r w:rsidR="00C1549B" w:rsidRPr="008A1999">
        <w:t xml:space="preserve">’s “fourth instance” doctrine makes explicit that it is not in the same position as an appellate domestic court. </w:t>
      </w:r>
      <w:r w:rsidR="00217985" w:rsidRPr="008A1999">
        <w:t>Strictly</w:t>
      </w:r>
      <w:r w:rsidR="008D0F5F" w:rsidRPr="008A1999">
        <w:t xml:space="preserve"> speaking</w:t>
      </w:r>
      <w:r w:rsidR="00217985" w:rsidRPr="008A1999">
        <w:t xml:space="preserve"> </w:t>
      </w:r>
      <w:r w:rsidR="003F28FA" w:rsidRPr="008A1999">
        <w:t xml:space="preserve">the doctrine </w:t>
      </w:r>
      <w:r w:rsidR="00217985" w:rsidRPr="008A1999">
        <w:t>entails only that the Court should “avoid reconsidering questions of fact or national law that have been considered and decided by national authorities”</w:t>
      </w:r>
      <w:r w:rsidR="003F28FA" w:rsidRPr="008A1999">
        <w:t>.</w:t>
      </w:r>
      <w:r w:rsidR="003F28FA" w:rsidRPr="008A1999">
        <w:rPr>
          <w:rStyle w:val="FootnoteReference"/>
        </w:rPr>
        <w:footnoteReference w:id="44"/>
      </w:r>
      <w:r w:rsidR="003F28FA" w:rsidRPr="008A1999">
        <w:t xml:space="preserve"> Nonetheless, when taken together with the other doctrines mentioned, the fourth instance doctrine </w:t>
      </w:r>
      <w:r w:rsidR="008D0F5F" w:rsidRPr="008A1999">
        <w:t>implies</w:t>
      </w:r>
      <w:r w:rsidR="003F28FA" w:rsidRPr="008A1999">
        <w:t xml:space="preserve"> that the ECtHR</w:t>
      </w:r>
      <w:r w:rsidR="001041D5" w:rsidRPr="008A1999">
        <w:t xml:space="preserve">’s understanding </w:t>
      </w:r>
      <w:r w:rsidR="001041D5" w:rsidRPr="008A1999">
        <w:lastRenderedPageBreak/>
        <w:t xml:space="preserve">of its own </w:t>
      </w:r>
      <w:r w:rsidR="00607826" w:rsidRPr="008A1999">
        <w:t>role in interpreting the Convention</w:t>
      </w:r>
      <w:r w:rsidR="001041D5" w:rsidRPr="008A1999">
        <w:t xml:space="preserve"> is </w:t>
      </w:r>
      <w:r w:rsidR="00DC0B96" w:rsidRPr="008A1999">
        <w:t>permeated by a desire to show due respect to the national courts, rather than by an</w:t>
      </w:r>
      <w:r w:rsidR="00A47859" w:rsidRPr="008A1999">
        <w:t xml:space="preserve">y conception of a hierarchical system with Strasbourg at the </w:t>
      </w:r>
      <w:r w:rsidR="00DA6E66" w:rsidRPr="008A1999">
        <w:t>apex</w:t>
      </w:r>
      <w:r w:rsidR="001041D5" w:rsidRPr="008A1999">
        <w:t xml:space="preserve">. </w:t>
      </w:r>
    </w:p>
    <w:p w14:paraId="61F01ED7" w14:textId="16581B2B" w:rsidR="00E879FE" w:rsidRPr="008A1999" w:rsidRDefault="002C5E08" w:rsidP="00DD6A6F">
      <w:pPr>
        <w:ind w:firstLine="720"/>
        <w:jc w:val="both"/>
      </w:pPr>
      <w:r w:rsidRPr="008A1999">
        <w:t>Finally, the</w:t>
      </w:r>
      <w:r w:rsidR="00B2730A" w:rsidRPr="008A1999">
        <w:t xml:space="preserve"> ECtHR’s approach to dialogue with the domestic courts confirms that </w:t>
      </w:r>
      <w:r w:rsidR="00204771" w:rsidRPr="008A1999">
        <w:t>it</w:t>
      </w:r>
      <w:r w:rsidR="00B2730A" w:rsidRPr="008A1999">
        <w:t xml:space="preserve"> sees </w:t>
      </w:r>
      <w:r w:rsidR="004E0D90" w:rsidRPr="008A1999">
        <w:t xml:space="preserve">these </w:t>
      </w:r>
      <w:r w:rsidR="00B2730A" w:rsidRPr="008A1999">
        <w:t>courts as having an important role to play in determining the correct interpretation of the Convention.</w:t>
      </w:r>
      <w:r w:rsidR="008B49F9" w:rsidRPr="008A1999">
        <w:t xml:space="preserve"> As is well known, there are cases in which the ECtHR has been persuaded by the domestic courts to reconsider its position on the correct </w:t>
      </w:r>
      <w:r w:rsidR="004A0E1F" w:rsidRPr="008A1999">
        <w:t>application</w:t>
      </w:r>
      <w:r w:rsidR="008B49F9" w:rsidRPr="008A1999">
        <w:t xml:space="preserve"> of the Convention</w:t>
      </w:r>
      <w:r w:rsidR="004A0E1F" w:rsidRPr="008A1999">
        <w:t xml:space="preserve"> to domestic states of affairs</w:t>
      </w:r>
      <w:r w:rsidR="008B49F9" w:rsidRPr="008A1999">
        <w:t>.</w:t>
      </w:r>
      <w:r w:rsidR="008B49F9" w:rsidRPr="008A1999">
        <w:rPr>
          <w:rStyle w:val="FootnoteReference"/>
        </w:rPr>
        <w:footnoteReference w:id="45"/>
      </w:r>
      <w:r w:rsidR="004A0E1F" w:rsidRPr="008A1999">
        <w:t xml:space="preserve"> Even more important are those cases where the ECtHR has not just applied the Convention in light of the domestic courts’ views, but where, as </w:t>
      </w:r>
      <w:proofErr w:type="spellStart"/>
      <w:r w:rsidR="004A0E1F" w:rsidRPr="008A1999">
        <w:t>Bratza</w:t>
      </w:r>
      <w:proofErr w:type="spellEnd"/>
      <w:r w:rsidR="004A0E1F" w:rsidRPr="008A1999">
        <w:t xml:space="preserve"> puts it, the reasoning of the domestic courts has “formed the basis of the Strasbourg Court’s own judgment”, and shaped the interpretation of the Convention.</w:t>
      </w:r>
      <w:r w:rsidR="002B425F" w:rsidRPr="008A1999">
        <w:rPr>
          <w:rStyle w:val="FootnoteReference"/>
        </w:rPr>
        <w:footnoteReference w:id="46"/>
      </w:r>
      <w:r w:rsidR="004A0E1F" w:rsidRPr="008A1999">
        <w:t xml:space="preserve"> </w:t>
      </w:r>
      <w:r w:rsidR="005D1BFB" w:rsidRPr="008A1999">
        <w:t xml:space="preserve">Similarly, Judges Spano, O’Leary, and </w:t>
      </w:r>
      <w:proofErr w:type="spellStart"/>
      <w:r w:rsidR="005D1BFB" w:rsidRPr="008A1999">
        <w:t>Eicke</w:t>
      </w:r>
      <w:proofErr w:type="spellEnd"/>
      <w:r w:rsidR="005D1BFB" w:rsidRPr="008A1999">
        <w:t xml:space="preserve"> point</w:t>
      </w:r>
      <w:r w:rsidR="005E7585" w:rsidRPr="008A1999">
        <w:t xml:space="preserve"> </w:t>
      </w:r>
      <w:r w:rsidR="005D1BFB" w:rsidRPr="008A1999">
        <w:t xml:space="preserve">out in their submission to the Independent Human Rights Act Review </w:t>
      </w:r>
      <w:r w:rsidR="00DD7CD0" w:rsidRPr="008A1999">
        <w:t>(</w:t>
      </w:r>
      <w:r w:rsidR="00F853EB">
        <w:t>“</w:t>
      </w:r>
      <w:r w:rsidR="00DD7CD0" w:rsidRPr="008A1999">
        <w:t>IHRAR</w:t>
      </w:r>
      <w:r w:rsidR="00F853EB">
        <w:t>”</w:t>
      </w:r>
      <w:r w:rsidR="00DD7CD0" w:rsidRPr="008A1999">
        <w:t xml:space="preserve">) </w:t>
      </w:r>
      <w:r w:rsidR="005E7585" w:rsidRPr="008A1999">
        <w:t xml:space="preserve">that </w:t>
      </w:r>
      <w:r w:rsidR="005D1BFB" w:rsidRPr="008A1999">
        <w:t>“the sophisticated analysis by the UK domestic courts of the Strasbourg case-law [has been] relied upon in its judgments against other States”</w:t>
      </w:r>
      <w:r w:rsidR="00F853EB" w:rsidRPr="00F853EB">
        <w:t xml:space="preserve"> </w:t>
      </w:r>
      <w:r w:rsidR="00F853EB">
        <w:t>—</w:t>
      </w:r>
      <w:r w:rsidR="005E7585" w:rsidRPr="008A1999">
        <w:t xml:space="preserve">with </w:t>
      </w:r>
      <w:r w:rsidR="005E7585" w:rsidRPr="008A1999">
        <w:rPr>
          <w:i/>
          <w:iCs/>
        </w:rPr>
        <w:t xml:space="preserve">S., V. and A. v Denmark </w:t>
      </w:r>
      <w:r w:rsidR="005E7585" w:rsidRPr="008A1999">
        <w:t>being the most recent example</w:t>
      </w:r>
      <w:r w:rsidR="005E7585" w:rsidRPr="008A1999">
        <w:rPr>
          <w:rStyle w:val="FootnoteReference"/>
        </w:rPr>
        <w:footnoteReference w:id="47"/>
      </w:r>
      <w:r w:rsidR="00F853EB">
        <w:t>—</w:t>
      </w:r>
      <w:r w:rsidR="005E7585" w:rsidRPr="008A1999">
        <w:t>and that UK judgments are often “circulated by many European Court Judges amongst themselves, not least because of the analytical and persuasive way in which the UK judiciary discussed and dealt with questions of rights”</w:t>
      </w:r>
      <w:r w:rsidR="005D1BFB" w:rsidRPr="008A1999">
        <w:t>.</w:t>
      </w:r>
      <w:r w:rsidR="005D1BFB" w:rsidRPr="008A1999">
        <w:rPr>
          <w:rStyle w:val="FootnoteReference"/>
        </w:rPr>
        <w:footnoteReference w:id="48"/>
      </w:r>
      <w:r w:rsidR="00085691" w:rsidRPr="008A1999">
        <w:t xml:space="preserve"> </w:t>
      </w:r>
      <w:r w:rsidR="00E9278C" w:rsidRPr="008A1999">
        <w:t xml:space="preserve">Indeed, </w:t>
      </w:r>
      <w:r w:rsidR="00976A38" w:rsidRPr="008A1999">
        <w:t>o</w:t>
      </w:r>
      <w:r w:rsidR="007266D1" w:rsidRPr="008A1999">
        <w:t>n</w:t>
      </w:r>
      <w:r w:rsidR="008451D8" w:rsidRPr="008A1999">
        <w:t>e</w:t>
      </w:r>
      <w:r w:rsidR="007266D1" w:rsidRPr="008A1999">
        <w:t xml:space="preserve"> </w:t>
      </w:r>
      <w:r w:rsidR="00976A38" w:rsidRPr="008A1999">
        <w:t>Strasbourg judge</w:t>
      </w:r>
      <w:r w:rsidR="00AD5587" w:rsidRPr="008A1999">
        <w:t xml:space="preserve"> </w:t>
      </w:r>
      <w:r w:rsidR="007266D1" w:rsidRPr="008A1999">
        <w:t xml:space="preserve">has </w:t>
      </w:r>
      <w:r w:rsidR="00976A38" w:rsidRPr="008A1999">
        <w:t>recently</w:t>
      </w:r>
      <w:r w:rsidR="008451D8" w:rsidRPr="008A1999">
        <w:t xml:space="preserve"> </w:t>
      </w:r>
      <w:r w:rsidR="007266D1" w:rsidRPr="008A1999">
        <w:t xml:space="preserve">commented that </w:t>
      </w:r>
      <w:r w:rsidR="00CA561D" w:rsidRPr="008A1999">
        <w:t xml:space="preserve">domestic courts are “so well-versed in the case law that when we get the cases I often ask myself, I mean, </w:t>
      </w:r>
      <w:r w:rsidR="00F853EB">
        <w:t>‘</w:t>
      </w:r>
      <w:r w:rsidR="00CA561D" w:rsidRPr="008A1999">
        <w:t>what is left?’</w:t>
      </w:r>
      <w:r w:rsidR="00F853EB">
        <w:t>”</w:t>
      </w:r>
      <w:r w:rsidR="00CA561D" w:rsidRPr="008A1999">
        <w:t>.</w:t>
      </w:r>
      <w:r w:rsidR="00CA561D" w:rsidRPr="008A1999">
        <w:rPr>
          <w:rStyle w:val="FootnoteReference"/>
        </w:rPr>
        <w:footnoteReference w:id="49"/>
      </w:r>
      <w:r w:rsidR="00362C36" w:rsidRPr="008A1999">
        <w:t xml:space="preserve"> None of this is consistent with the proposition that the ECHR conceives of itself as </w:t>
      </w:r>
      <w:r w:rsidR="00F853EB">
        <w:t>“</w:t>
      </w:r>
      <w:r w:rsidR="00362C36" w:rsidRPr="008A1999">
        <w:t>uniquely privileged</w:t>
      </w:r>
      <w:r w:rsidR="00F853EB">
        <w:t>”</w:t>
      </w:r>
      <w:r w:rsidR="00362C36" w:rsidRPr="008A1999">
        <w:t xml:space="preserve"> in the way that the Supreme Court correctly conceives of itself in the context of the UK courts.</w:t>
      </w:r>
    </w:p>
    <w:p w14:paraId="060510D3" w14:textId="5998B727" w:rsidR="00B4624E" w:rsidRPr="008A1999" w:rsidRDefault="00EF2AAA" w:rsidP="00DD6A6F">
      <w:pPr>
        <w:ind w:firstLine="720"/>
        <w:jc w:val="both"/>
      </w:pPr>
      <w:r w:rsidRPr="008A1999">
        <w:t xml:space="preserve">The central point </w:t>
      </w:r>
      <w:r w:rsidR="007C269C" w:rsidRPr="008A1999">
        <w:t xml:space="preserve">is that the ECtHR has repeatedly declined to sponsor an </w:t>
      </w:r>
      <w:r w:rsidR="00F9673C" w:rsidRPr="008A1999">
        <w:t>hierarchical</w:t>
      </w:r>
      <w:r w:rsidR="001704B2" w:rsidRPr="008A1999">
        <w:t xml:space="preserve"> conception of the relationship between itself and the </w:t>
      </w:r>
      <w:r w:rsidR="00142348" w:rsidRPr="008A1999">
        <w:t>national courts</w:t>
      </w:r>
      <w:r w:rsidR="0005228F" w:rsidRPr="008A1999">
        <w:t>.</w:t>
      </w:r>
      <w:r w:rsidR="007403E8">
        <w:t xml:space="preserve"> </w:t>
      </w:r>
      <w:r w:rsidR="0002311C" w:rsidRPr="008A1999">
        <w:t xml:space="preserve">Under the hierarchical conception, </w:t>
      </w:r>
      <w:r w:rsidR="00466F15" w:rsidRPr="008A1999">
        <w:t xml:space="preserve">the ECtHR is seen as the </w:t>
      </w:r>
      <w:r w:rsidR="008D0149" w:rsidRPr="008A1999">
        <w:t>only authoritative expositor of Convention rights. Accor</w:t>
      </w:r>
      <w:r w:rsidR="00066DCD" w:rsidRPr="008A1999">
        <w:t xml:space="preserve">dingly, </w:t>
      </w:r>
      <w:r w:rsidR="0002311C" w:rsidRPr="008A1999">
        <w:t>domestic courts “should not without strong reason dilute or weaken the effect of the Strasbourg case law”</w:t>
      </w:r>
      <w:r w:rsidR="005731F0" w:rsidRPr="008A1999">
        <w:t>.</w:t>
      </w:r>
      <w:r w:rsidR="005731F0" w:rsidRPr="008A1999">
        <w:rPr>
          <w:rStyle w:val="FootnoteReference"/>
        </w:rPr>
        <w:footnoteReference w:id="50"/>
      </w:r>
      <w:r w:rsidR="003273B5" w:rsidRPr="008A1999">
        <w:t xml:space="preserve"> </w:t>
      </w:r>
      <w:r w:rsidR="00152E66" w:rsidRPr="008A1999">
        <w:t xml:space="preserve">Nor </w:t>
      </w:r>
      <w:r w:rsidR="00F53EA4" w:rsidRPr="008A1999">
        <w:t>can</w:t>
      </w:r>
      <w:r w:rsidR="00152E66" w:rsidRPr="008A1999">
        <w:t xml:space="preserve"> domestic courts adopt more generous interpretations of Convention rights than Strasbourg has done </w:t>
      </w:r>
      <w:r w:rsidR="00764A67" w:rsidRPr="008A1999">
        <w:t>“</w:t>
      </w:r>
      <w:r w:rsidR="00152E66" w:rsidRPr="008A1999">
        <w:t>as a matter of interpretation of the Convention”</w:t>
      </w:r>
      <w:r w:rsidR="00764A67" w:rsidRPr="008A1999">
        <w:t>, but only as a matter of common law rights</w:t>
      </w:r>
      <w:r w:rsidR="00152E66" w:rsidRPr="008A1999">
        <w:t>.</w:t>
      </w:r>
      <w:r w:rsidR="00152E66" w:rsidRPr="008A1999">
        <w:rPr>
          <w:rStyle w:val="FootnoteReference"/>
        </w:rPr>
        <w:footnoteReference w:id="51"/>
      </w:r>
      <w:r w:rsidR="007758F2" w:rsidRPr="008A1999">
        <w:t xml:space="preserve"> From this perspective, the “interpretative role of domestic courts appears residual: only where no clear indication from Strasbourg is available can they proceed to construe the meaning of a Convention right”.</w:t>
      </w:r>
      <w:r w:rsidR="007758F2" w:rsidRPr="008A1999">
        <w:rPr>
          <w:rStyle w:val="FootnoteReference"/>
        </w:rPr>
        <w:footnoteReference w:id="52"/>
      </w:r>
    </w:p>
    <w:p w14:paraId="7ACC72A2" w14:textId="5C7D3D1E" w:rsidR="00BE2467" w:rsidRPr="008A1999" w:rsidRDefault="00A57D9C" w:rsidP="00DD6A6F">
      <w:pPr>
        <w:ind w:firstLine="720"/>
        <w:jc w:val="both"/>
      </w:pPr>
      <w:r w:rsidRPr="008A1999">
        <w:t>By contrast, under the cooperative conception</w:t>
      </w:r>
      <w:r w:rsidR="002C4564" w:rsidRPr="008A1999">
        <w:t xml:space="preserve"> </w:t>
      </w:r>
      <w:r w:rsidR="00705887" w:rsidRPr="008A1999">
        <w:t xml:space="preserve">sponsored by </w:t>
      </w:r>
      <w:r w:rsidR="0035091E" w:rsidRPr="008A1999">
        <w:t>the</w:t>
      </w:r>
      <w:r w:rsidR="000B7435" w:rsidRPr="008A1999">
        <w:t xml:space="preserve"> ECtHR</w:t>
      </w:r>
      <w:r w:rsidR="00027B9C" w:rsidRPr="008A1999">
        <w:t>,</w:t>
      </w:r>
      <w:r w:rsidRPr="008A1999">
        <w:t xml:space="preserve"> domestic courts have a much more substantial role to play as interpreters of </w:t>
      </w:r>
      <w:r w:rsidR="007A24ED" w:rsidRPr="008A1999">
        <w:t>C</w:t>
      </w:r>
      <w:r w:rsidRPr="008A1999">
        <w:t xml:space="preserve">onvention rights. </w:t>
      </w:r>
      <w:r w:rsidR="004B4B05" w:rsidRPr="008A1999">
        <w:t xml:space="preserve">It of </w:t>
      </w:r>
      <w:r w:rsidR="004B4B05" w:rsidRPr="008A1999">
        <w:lastRenderedPageBreak/>
        <w:t>course remains true</w:t>
      </w:r>
      <w:r w:rsidR="00093AC2">
        <w:t xml:space="preserve"> </w:t>
      </w:r>
      <w:r w:rsidR="004B4B05" w:rsidRPr="008A1999">
        <w:t xml:space="preserve">that domestic courts should not </w:t>
      </w:r>
      <w:r w:rsidR="00195DEE" w:rsidRPr="008A1999">
        <w:t>adopt less generous interpretations of Convention rights than the ECtHR in relation to core, settled</w:t>
      </w:r>
      <w:r w:rsidR="00DC3871" w:rsidRPr="008A1999">
        <w:t xml:space="preserve"> </w:t>
      </w:r>
      <w:r w:rsidR="00195DEE" w:rsidRPr="008A1999">
        <w:t>elements of t</w:t>
      </w:r>
      <w:r w:rsidR="0004276D" w:rsidRPr="008A1999">
        <w:t>he Strasbou</w:t>
      </w:r>
      <w:r w:rsidR="00F07EB4" w:rsidRPr="008A1999">
        <w:t>rg</w:t>
      </w:r>
      <w:r w:rsidR="00195DEE" w:rsidRPr="008A1999">
        <w:t xml:space="preserve"> </w:t>
      </w:r>
      <w:r w:rsidR="00AE578C" w:rsidRPr="008A1999">
        <w:t xml:space="preserve">Court’s case law. </w:t>
      </w:r>
      <w:r w:rsidR="00F971D3" w:rsidRPr="008A1999">
        <w:t xml:space="preserve">But </w:t>
      </w:r>
      <w:r w:rsidR="004B6AF6" w:rsidRPr="008A1999">
        <w:t xml:space="preserve">when it comes </w:t>
      </w:r>
      <w:r w:rsidR="005C1888" w:rsidRPr="008A1999">
        <w:t xml:space="preserve">to </w:t>
      </w:r>
      <w:r w:rsidR="008A3FCC" w:rsidRPr="008A1999">
        <w:t xml:space="preserve">the final “balancing” stage of the proportionality analysis, or to </w:t>
      </w:r>
      <w:r w:rsidR="005C1888" w:rsidRPr="008A1999">
        <w:t xml:space="preserve">elements of the case law which are still in </w:t>
      </w:r>
      <w:r w:rsidR="00E67B9E" w:rsidRPr="008A1999">
        <w:t xml:space="preserve">the process of being incrementally developed, </w:t>
      </w:r>
      <w:r w:rsidR="00066BD3" w:rsidRPr="008A1999">
        <w:t xml:space="preserve">or to morally sensitive areas, </w:t>
      </w:r>
      <w:r w:rsidR="00DD0053" w:rsidRPr="008A1999">
        <w:t xml:space="preserve">or to areas where a European consensus is developing, </w:t>
      </w:r>
      <w:r w:rsidR="00E67B9E" w:rsidRPr="008A1999">
        <w:t>the ECtHR envisages national courts playing an active role in interpreting the Convention</w:t>
      </w:r>
      <w:r w:rsidR="00CA2BDA" w:rsidRPr="008A1999">
        <w:t xml:space="preserve">, including by adopting less generous interpretations </w:t>
      </w:r>
      <w:r w:rsidR="000D4357" w:rsidRPr="008A1999">
        <w:t xml:space="preserve">of Convention rights. </w:t>
      </w:r>
      <w:r w:rsidR="000E7C9C" w:rsidRPr="008A1999">
        <w:t xml:space="preserve">Moreover, </w:t>
      </w:r>
      <w:r w:rsidR="004617F5" w:rsidRPr="008A1999">
        <w:t xml:space="preserve">the ECtHR sees domestic courts as having an important role to play in </w:t>
      </w:r>
      <w:r w:rsidR="00B43AFC" w:rsidRPr="008A1999">
        <w:t>developing</w:t>
      </w:r>
      <w:r w:rsidR="004617F5" w:rsidRPr="008A1999">
        <w:t xml:space="preserve"> more generous interpretations of the </w:t>
      </w:r>
      <w:r w:rsidR="00B43AFC" w:rsidRPr="008A1999">
        <w:t xml:space="preserve">Convention than </w:t>
      </w:r>
      <w:r w:rsidR="00FC21BB" w:rsidRPr="008A1999">
        <w:t>it has done itself</w:t>
      </w:r>
      <w:r w:rsidR="00A6477C">
        <w:t>—</w:t>
      </w:r>
      <w:r w:rsidR="000D7FF7" w:rsidRPr="008A1999">
        <w:t xml:space="preserve">and </w:t>
      </w:r>
      <w:r w:rsidR="00FC21BB" w:rsidRPr="008A1999">
        <w:t>over time, through the European consensus and living instrument</w:t>
      </w:r>
      <w:r w:rsidR="000D7FF7" w:rsidRPr="008A1999">
        <w:t xml:space="preserve"> doctrines</w:t>
      </w:r>
      <w:r w:rsidR="00FC21BB" w:rsidRPr="008A1999">
        <w:t xml:space="preserve">, </w:t>
      </w:r>
      <w:r w:rsidR="00DF17A5" w:rsidRPr="008A1999">
        <w:t xml:space="preserve">such interpretations may become accepted </w:t>
      </w:r>
      <w:r w:rsidR="00FA4938" w:rsidRPr="008A1999">
        <w:t xml:space="preserve">by the Strasbourg Court as being “correct” and definitive for all the Contracting Parties. </w:t>
      </w:r>
    </w:p>
    <w:p w14:paraId="41873C44" w14:textId="7C1FE5F9" w:rsidR="003C11AF" w:rsidRPr="008A1999" w:rsidRDefault="003C11AF" w:rsidP="00193042">
      <w:pPr>
        <w:jc w:val="both"/>
        <w:rPr>
          <w:b/>
          <w:bCs/>
        </w:rPr>
      </w:pPr>
    </w:p>
    <w:p w14:paraId="3E81F027" w14:textId="6D174961" w:rsidR="007106B1" w:rsidRPr="00DD6A6F" w:rsidRDefault="00A75AC8" w:rsidP="00193042">
      <w:pPr>
        <w:pStyle w:val="ListParagraph"/>
        <w:numPr>
          <w:ilvl w:val="0"/>
          <w:numId w:val="2"/>
        </w:numPr>
        <w:jc w:val="both"/>
        <w:rPr>
          <w:b/>
          <w:bCs/>
        </w:rPr>
      </w:pPr>
      <w:r>
        <w:rPr>
          <w:b/>
          <w:bCs/>
        </w:rPr>
        <w:t>“</w:t>
      </w:r>
      <w:r w:rsidR="001C14E9" w:rsidRPr="008A1999">
        <w:rPr>
          <w:b/>
          <w:bCs/>
        </w:rPr>
        <w:t xml:space="preserve">Domestic </w:t>
      </w:r>
      <w:r w:rsidR="005A69A5" w:rsidRPr="008A1999">
        <w:rPr>
          <w:b/>
          <w:bCs/>
        </w:rPr>
        <w:t>Convention</w:t>
      </w:r>
      <w:r w:rsidR="001950B8" w:rsidRPr="008A1999">
        <w:rPr>
          <w:b/>
          <w:bCs/>
        </w:rPr>
        <w:t xml:space="preserve"> </w:t>
      </w:r>
      <w:r w:rsidR="00596960" w:rsidRPr="008A1999">
        <w:rPr>
          <w:b/>
          <w:bCs/>
        </w:rPr>
        <w:t>R</w:t>
      </w:r>
      <w:r w:rsidR="001C14E9" w:rsidRPr="008A1999">
        <w:rPr>
          <w:b/>
          <w:bCs/>
        </w:rPr>
        <w:t xml:space="preserve">ights </w:t>
      </w:r>
      <w:r w:rsidR="00130F9B" w:rsidRPr="008A1999">
        <w:rPr>
          <w:b/>
          <w:bCs/>
        </w:rPr>
        <w:t>A</w:t>
      </w:r>
      <w:r w:rsidR="001C14E9" w:rsidRPr="008A1999">
        <w:rPr>
          <w:b/>
          <w:bCs/>
        </w:rPr>
        <w:t xml:space="preserve">re </w:t>
      </w:r>
      <w:r w:rsidR="00596960" w:rsidRPr="008A1999">
        <w:rPr>
          <w:b/>
          <w:bCs/>
        </w:rPr>
        <w:t>N</w:t>
      </w:r>
      <w:r w:rsidR="001C14E9" w:rsidRPr="008A1999">
        <w:rPr>
          <w:b/>
          <w:bCs/>
        </w:rPr>
        <w:t xml:space="preserve">ot </w:t>
      </w:r>
      <w:r w:rsidR="00596960" w:rsidRPr="008A1999">
        <w:rPr>
          <w:b/>
          <w:bCs/>
        </w:rPr>
        <w:t>F</w:t>
      </w:r>
      <w:r w:rsidR="001C14E9" w:rsidRPr="008A1999">
        <w:rPr>
          <w:b/>
          <w:bCs/>
        </w:rPr>
        <w:t>reestanding</w:t>
      </w:r>
      <w:r>
        <w:rPr>
          <w:b/>
          <w:bCs/>
        </w:rPr>
        <w:t>”</w:t>
      </w:r>
    </w:p>
    <w:p w14:paraId="10E36A8D" w14:textId="5E626B2D" w:rsidR="00002DC9" w:rsidRPr="008A1999" w:rsidRDefault="00D524BB" w:rsidP="00193042">
      <w:pPr>
        <w:jc w:val="both"/>
      </w:pPr>
      <w:r w:rsidRPr="008A1999">
        <w:t>The second justification often used by the courts for maintaining a strong link between domestic jurisprudence and ECtHR jurisprudence is the idea</w:t>
      </w:r>
      <w:r w:rsidR="00742263" w:rsidRPr="008A1999">
        <w:t xml:space="preserve"> </w:t>
      </w:r>
      <w:r w:rsidR="007106B1" w:rsidRPr="008A1999">
        <w:t xml:space="preserve">that the rights in the HRA are “Convention rights, based on the Treaty obligation”, </w:t>
      </w:r>
      <w:r w:rsidR="002113D9" w:rsidRPr="008A1999">
        <w:t>not</w:t>
      </w:r>
      <w:r w:rsidR="007106B1" w:rsidRPr="008A1999">
        <w:t xml:space="preserve"> “free-standing rights of the [domestic] court’s own creation”</w:t>
      </w:r>
      <w:r w:rsidR="002F7A8E" w:rsidRPr="008A1999">
        <w:t xml:space="preserve">. This idea was </w:t>
      </w:r>
      <w:r w:rsidR="00742263" w:rsidRPr="008A1999">
        <w:t xml:space="preserve">first articulated by Lord Hope in </w:t>
      </w:r>
      <w:r w:rsidR="00742263" w:rsidRPr="008A1999">
        <w:rPr>
          <w:i/>
          <w:iCs/>
        </w:rPr>
        <w:t>Ambrose</w:t>
      </w:r>
      <w:r w:rsidR="008D2AC6" w:rsidRPr="008A1999">
        <w:t>,</w:t>
      </w:r>
      <w:r w:rsidR="007106B1" w:rsidRPr="008A1999">
        <w:rPr>
          <w:rStyle w:val="FootnoteReference"/>
        </w:rPr>
        <w:footnoteReference w:id="53"/>
      </w:r>
      <w:r w:rsidR="007106B1" w:rsidRPr="008A1999">
        <w:t xml:space="preserve"> </w:t>
      </w:r>
      <w:r w:rsidR="008D2AC6" w:rsidRPr="008A1999">
        <w:t>and</w:t>
      </w:r>
      <w:r w:rsidR="007106B1" w:rsidRPr="008A1999">
        <w:t xml:space="preserve"> is</w:t>
      </w:r>
      <w:r w:rsidR="00AF2B13" w:rsidRPr="008A1999">
        <w:t xml:space="preserve"> </w:t>
      </w:r>
      <w:r w:rsidR="007106B1" w:rsidRPr="008A1999">
        <w:t xml:space="preserve">echoed by </w:t>
      </w:r>
      <w:r w:rsidR="00AF2B13" w:rsidRPr="008A1999">
        <w:t>commentators</w:t>
      </w:r>
      <w:r w:rsidR="00A452C8" w:rsidRPr="008A1999">
        <w:t xml:space="preserve">, </w:t>
      </w:r>
      <w:r w:rsidR="00AF2B13" w:rsidRPr="008A1999">
        <w:t xml:space="preserve">such as </w:t>
      </w:r>
      <w:r w:rsidR="007106B1" w:rsidRPr="008A1999">
        <w:t>Draghici, who claim that there is no substantive distinction between the rights listed in the ECHR, and those same rights as reproduced in Schedule 1 HRA.</w:t>
      </w:r>
      <w:r w:rsidR="007106B1" w:rsidRPr="008A1999">
        <w:rPr>
          <w:rStyle w:val="FootnoteReference"/>
        </w:rPr>
        <w:footnoteReference w:id="54"/>
      </w:r>
      <w:r w:rsidR="005D1053" w:rsidRPr="008A1999">
        <w:t xml:space="preserve"> </w:t>
      </w:r>
    </w:p>
    <w:p w14:paraId="519D2FAD" w14:textId="00B68308" w:rsidR="00270754" w:rsidRPr="008A1999" w:rsidRDefault="005D1053" w:rsidP="00DD6A6F">
      <w:pPr>
        <w:ind w:firstLine="720"/>
        <w:jc w:val="both"/>
      </w:pPr>
      <w:r w:rsidRPr="008A1999">
        <w:t xml:space="preserve">There are some </w:t>
      </w:r>
      <w:r w:rsidR="00350E30" w:rsidRPr="008A1999">
        <w:t xml:space="preserve">cases in which the </w:t>
      </w:r>
      <w:r w:rsidR="00526674" w:rsidRPr="008A1999">
        <w:t>domestic</w:t>
      </w:r>
      <w:r w:rsidR="00B34F64" w:rsidRPr="008A1999">
        <w:t xml:space="preserve"> </w:t>
      </w:r>
      <w:r w:rsidR="00350E30" w:rsidRPr="008A1999">
        <w:t xml:space="preserve">courts have taken the view that the rights in the HRA have a life independent of the Convention: in </w:t>
      </w:r>
      <w:proofErr w:type="spellStart"/>
      <w:r w:rsidR="00350E30" w:rsidRPr="008A1999">
        <w:rPr>
          <w:i/>
          <w:iCs/>
        </w:rPr>
        <w:t>Mc</w:t>
      </w:r>
      <w:r w:rsidR="00526674" w:rsidRPr="008A1999">
        <w:rPr>
          <w:i/>
          <w:iCs/>
        </w:rPr>
        <w:t>K</w:t>
      </w:r>
      <w:r w:rsidR="00350E30" w:rsidRPr="008A1999">
        <w:rPr>
          <w:i/>
          <w:iCs/>
        </w:rPr>
        <w:t>err</w:t>
      </w:r>
      <w:proofErr w:type="spellEnd"/>
      <w:r w:rsidR="00350E30" w:rsidRPr="008A1999">
        <w:t xml:space="preserve">, for example, </w:t>
      </w:r>
      <w:r w:rsidR="00FD7A2E" w:rsidRPr="008A1999">
        <w:t xml:space="preserve">Lord Hoffmann </w:t>
      </w:r>
      <w:r w:rsidR="008C6B4B" w:rsidRPr="008A1999">
        <w:t xml:space="preserve">asserted </w:t>
      </w:r>
      <w:r w:rsidR="00FD7A2E" w:rsidRPr="008A1999">
        <w:t>that the rights in the HRA “are domestic rights, not international right</w:t>
      </w:r>
      <w:r w:rsidR="00686397" w:rsidRPr="008A1999">
        <w:t>s”, whose “meaning and application is a matter for domestic courts, not the court in Strasbourg”.</w:t>
      </w:r>
      <w:r w:rsidR="00686397" w:rsidRPr="008A1999">
        <w:rPr>
          <w:rStyle w:val="FootnoteReference"/>
        </w:rPr>
        <w:footnoteReference w:id="55"/>
      </w:r>
      <w:r w:rsidR="00897FCA" w:rsidRPr="008A1999">
        <w:t xml:space="preserve"> </w:t>
      </w:r>
      <w:r w:rsidR="00270754" w:rsidRPr="008A1999">
        <w:t xml:space="preserve">Indeed, as Hickman notes, there is “a tension at the very heart of the </w:t>
      </w:r>
      <w:r w:rsidR="0017205B" w:rsidRPr="008A1999">
        <w:t xml:space="preserve">[Human Rights] </w:t>
      </w:r>
      <w:r w:rsidR="00270754" w:rsidRPr="008A1999">
        <w:t>Act between the creation of new domestic rights and the provision of a remedy in domestic law for rights that exist on the international plane”</w:t>
      </w:r>
      <w:r w:rsidR="00176A41" w:rsidRPr="008A1999">
        <w:t>, and this tension is “carried through into the case law”.</w:t>
      </w:r>
      <w:r w:rsidR="00270754" w:rsidRPr="008A1999">
        <w:rPr>
          <w:rStyle w:val="FootnoteReference"/>
        </w:rPr>
        <w:footnoteReference w:id="56"/>
      </w:r>
    </w:p>
    <w:p w14:paraId="55DAC93B" w14:textId="05576152" w:rsidR="00C4659A" w:rsidRPr="008A1999" w:rsidRDefault="00897FCA" w:rsidP="00DD6A6F">
      <w:pPr>
        <w:ind w:firstLine="720"/>
        <w:jc w:val="both"/>
      </w:pPr>
      <w:r w:rsidRPr="008A1999">
        <w:t xml:space="preserve">But the courts have </w:t>
      </w:r>
      <w:r w:rsidR="0017205B" w:rsidRPr="008A1999">
        <w:t>recently</w:t>
      </w:r>
      <w:r w:rsidRPr="008A1999">
        <w:t xml:space="preserve"> watered down </w:t>
      </w:r>
      <w:r w:rsidR="00712B6D" w:rsidRPr="008A1999">
        <w:t xml:space="preserve">the effect of </w:t>
      </w:r>
      <w:proofErr w:type="spellStart"/>
      <w:r w:rsidR="00712B6D" w:rsidRPr="008A1999">
        <w:rPr>
          <w:i/>
          <w:iCs/>
        </w:rPr>
        <w:t>McKerr</w:t>
      </w:r>
      <w:proofErr w:type="spellEnd"/>
      <w:r w:rsidR="00712B6D" w:rsidRPr="008A1999">
        <w:rPr>
          <w:i/>
          <w:iCs/>
        </w:rPr>
        <w:t xml:space="preserve"> </w:t>
      </w:r>
      <w:r w:rsidR="00712B6D" w:rsidRPr="008A1999">
        <w:t>and cases like it</w:t>
      </w:r>
      <w:r w:rsidR="000A06E0" w:rsidRPr="008A1999">
        <w:rPr>
          <w:i/>
          <w:iCs/>
        </w:rPr>
        <w:t xml:space="preserve"> </w:t>
      </w:r>
      <w:r w:rsidR="000A06E0" w:rsidRPr="008A1999">
        <w:t>s</w:t>
      </w:r>
      <w:r w:rsidR="005E09F7" w:rsidRPr="008A1999">
        <w:t>ubstantially</w:t>
      </w:r>
      <w:r w:rsidR="008C6B4B" w:rsidRPr="008A1999">
        <w:t>, restoring Lord Hope’s doct</w:t>
      </w:r>
      <w:r w:rsidR="001A4331" w:rsidRPr="008A1999">
        <w:t>rine that HRA rights are essentially Convention rights.</w:t>
      </w:r>
      <w:r w:rsidR="00B34F64" w:rsidRPr="008A1999">
        <w:t xml:space="preserve"> In</w:t>
      </w:r>
      <w:r w:rsidR="00FF3A16" w:rsidRPr="008A1999">
        <w:t xml:space="preserve"> </w:t>
      </w:r>
      <w:r w:rsidR="00FF3A16" w:rsidRPr="008A1999">
        <w:rPr>
          <w:i/>
          <w:iCs/>
        </w:rPr>
        <w:t>Animal Defenders</w:t>
      </w:r>
      <w:r w:rsidR="00386302" w:rsidRPr="008A1999">
        <w:rPr>
          <w:i/>
          <w:iCs/>
        </w:rPr>
        <w:t xml:space="preserve">, </w:t>
      </w:r>
      <w:r w:rsidR="00386302" w:rsidRPr="008A1999">
        <w:t xml:space="preserve">Lady Hale recognised that, according to </w:t>
      </w:r>
      <w:proofErr w:type="spellStart"/>
      <w:r w:rsidR="00386302" w:rsidRPr="008A1999">
        <w:rPr>
          <w:i/>
          <w:iCs/>
        </w:rPr>
        <w:t>McKerr</w:t>
      </w:r>
      <w:proofErr w:type="spellEnd"/>
      <w:r w:rsidR="00386302" w:rsidRPr="008A1999">
        <w:t>, the HRA rights “are domestic rights for which domestic remedies are prescribed”, but nonetheless held that “the rights are those defined in the Convention, the correct interpretation of which lies ultimately with Strasbourg</w:t>
      </w:r>
      <w:r w:rsidR="00D9033D" w:rsidRPr="008A1999">
        <w:t>”</w:t>
      </w:r>
      <w:r w:rsidR="00526674" w:rsidRPr="008A1999">
        <w:t>.</w:t>
      </w:r>
      <w:r w:rsidR="00E33CE6" w:rsidRPr="008A1999">
        <w:rPr>
          <w:rStyle w:val="FootnoteReference"/>
        </w:rPr>
        <w:footnoteReference w:id="57"/>
      </w:r>
      <w:r w:rsidR="00BD4916" w:rsidRPr="008A1999">
        <w:t xml:space="preserve"> </w:t>
      </w:r>
      <w:r w:rsidR="00A35566" w:rsidRPr="008A1999">
        <w:t>In</w:t>
      </w:r>
      <w:r w:rsidR="00BD4916" w:rsidRPr="008A1999">
        <w:t xml:space="preserve"> </w:t>
      </w:r>
      <w:r w:rsidR="00BD4916" w:rsidRPr="008A1999">
        <w:rPr>
          <w:i/>
          <w:iCs/>
        </w:rPr>
        <w:t xml:space="preserve">Elan-Cane </w:t>
      </w:r>
      <w:r w:rsidR="00BD4916" w:rsidRPr="008A1999">
        <w:t xml:space="preserve">Lord Reed said that </w:t>
      </w:r>
      <w:proofErr w:type="spellStart"/>
      <w:r w:rsidR="00BD4916" w:rsidRPr="008A1999">
        <w:rPr>
          <w:i/>
          <w:iCs/>
        </w:rPr>
        <w:t>McKerr</w:t>
      </w:r>
      <w:proofErr w:type="spellEnd"/>
      <w:r w:rsidR="00BD4916" w:rsidRPr="008A1999">
        <w:rPr>
          <w:i/>
          <w:iCs/>
        </w:rPr>
        <w:t xml:space="preserve"> </w:t>
      </w:r>
      <w:r w:rsidR="00BD4916" w:rsidRPr="008A1999">
        <w:t xml:space="preserve">was concerned simply with </w:t>
      </w:r>
      <w:r w:rsidR="00457315" w:rsidRPr="008A1999">
        <w:t xml:space="preserve">the </w:t>
      </w:r>
      <w:r w:rsidR="00E51E49" w:rsidRPr="008A1999">
        <w:t xml:space="preserve">procedural </w:t>
      </w:r>
      <w:r w:rsidR="00BD4916" w:rsidRPr="008A1999">
        <w:t xml:space="preserve">question of </w:t>
      </w:r>
      <w:r w:rsidR="0073213F" w:rsidRPr="008A1999">
        <w:t>“</w:t>
      </w:r>
      <w:r w:rsidR="00BD4916" w:rsidRPr="008A1999">
        <w:t>when the domestic Convention rights came into force</w:t>
      </w:r>
      <w:r w:rsidR="000F1151" w:rsidRPr="008A1999">
        <w:t>: a question which evidently fell to be answered by reference to domestic law</w:t>
      </w:r>
      <w:r w:rsidR="001F69C0" w:rsidRPr="008A1999">
        <w:t xml:space="preserve">”, and </w:t>
      </w:r>
      <w:r w:rsidR="00526674" w:rsidRPr="008A1999">
        <w:t xml:space="preserve">hence that </w:t>
      </w:r>
      <w:proofErr w:type="spellStart"/>
      <w:r w:rsidR="00526674" w:rsidRPr="008A1999">
        <w:rPr>
          <w:i/>
          <w:iCs/>
        </w:rPr>
        <w:t>McKerr</w:t>
      </w:r>
      <w:proofErr w:type="spellEnd"/>
      <w:r w:rsidR="00526674" w:rsidRPr="008A1999">
        <w:rPr>
          <w:i/>
          <w:iCs/>
        </w:rPr>
        <w:t xml:space="preserve"> </w:t>
      </w:r>
      <w:r w:rsidR="00526674" w:rsidRPr="008A1999">
        <w:t>did not imply that domestic Convention rights were distinct from international Convention rights in any fundamental sense</w:t>
      </w:r>
      <w:r w:rsidR="000F1151" w:rsidRPr="008A1999">
        <w:t>.</w:t>
      </w:r>
      <w:r w:rsidR="000F1151" w:rsidRPr="008A1999">
        <w:rPr>
          <w:rStyle w:val="FootnoteReference"/>
        </w:rPr>
        <w:footnoteReference w:id="58"/>
      </w:r>
    </w:p>
    <w:p w14:paraId="5221A9A5" w14:textId="2D1CA34E" w:rsidR="0007544E" w:rsidRPr="008A1999" w:rsidRDefault="00624A1E" w:rsidP="00DD6A6F">
      <w:pPr>
        <w:ind w:firstLine="720"/>
        <w:jc w:val="both"/>
      </w:pPr>
      <w:r w:rsidRPr="008A1999">
        <w:t>T</w:t>
      </w:r>
      <w:r w:rsidR="00494103" w:rsidRPr="008A1999">
        <w:t>he</w:t>
      </w:r>
      <w:r w:rsidR="00BE2AC0" w:rsidRPr="008A1999">
        <w:t xml:space="preserve"> </w:t>
      </w:r>
      <w:r w:rsidR="00D355E5" w:rsidRPr="008A1999">
        <w:t>view</w:t>
      </w:r>
      <w:r w:rsidR="00BE2AC0" w:rsidRPr="008A1999">
        <w:t xml:space="preserve"> of </w:t>
      </w:r>
      <w:r w:rsidR="00E87829" w:rsidRPr="008A1999">
        <w:t xml:space="preserve">the </w:t>
      </w:r>
      <w:r w:rsidR="00BE2AC0" w:rsidRPr="008A1999">
        <w:t>domestic</w:t>
      </w:r>
      <w:r w:rsidR="00E87829" w:rsidRPr="008A1999">
        <w:t xml:space="preserve"> courts </w:t>
      </w:r>
      <w:r w:rsidR="00B04DA8" w:rsidRPr="008A1999">
        <w:t xml:space="preserve">that </w:t>
      </w:r>
      <w:r w:rsidRPr="008A1999">
        <w:t xml:space="preserve">domestic </w:t>
      </w:r>
      <w:r w:rsidR="00A95A5E" w:rsidRPr="008A1999">
        <w:t>Convention</w:t>
      </w:r>
      <w:r w:rsidR="00BE2AC0" w:rsidRPr="008A1999">
        <w:t xml:space="preserve"> rights</w:t>
      </w:r>
      <w:r w:rsidR="00B04DA8" w:rsidRPr="008A1999">
        <w:t xml:space="preserve"> are</w:t>
      </w:r>
      <w:r w:rsidR="00BE2AC0" w:rsidRPr="008A1999">
        <w:t xml:space="preserve"> </w:t>
      </w:r>
      <w:r w:rsidR="00DC367D" w:rsidRPr="008A1999">
        <w:t xml:space="preserve">mere copies of </w:t>
      </w:r>
      <w:r w:rsidR="00FC6552" w:rsidRPr="008A1999">
        <w:t xml:space="preserve">the </w:t>
      </w:r>
      <w:r w:rsidR="004C0733" w:rsidRPr="008A1999">
        <w:t>international</w:t>
      </w:r>
      <w:r w:rsidR="00DC367D" w:rsidRPr="008A1999">
        <w:t xml:space="preserve"> Convention rights with no independent life of their own is</w:t>
      </w:r>
      <w:r w:rsidR="00414C18" w:rsidRPr="008A1999">
        <w:t xml:space="preserve">, </w:t>
      </w:r>
      <w:r w:rsidR="00B04DA8" w:rsidRPr="008A1999">
        <w:t>however</w:t>
      </w:r>
      <w:r w:rsidR="00414C18" w:rsidRPr="008A1999">
        <w:t xml:space="preserve">, at odds with </w:t>
      </w:r>
      <w:r w:rsidR="00414C18" w:rsidRPr="008A1999">
        <w:lastRenderedPageBreak/>
        <w:t>the</w:t>
      </w:r>
      <w:r w:rsidR="00466A65" w:rsidRPr="008A1999">
        <w:t xml:space="preserve"> growing importance</w:t>
      </w:r>
      <w:r w:rsidR="00652216" w:rsidRPr="008A1999">
        <w:t xml:space="preserve"> </w:t>
      </w:r>
      <w:r w:rsidR="00466A65" w:rsidRPr="008A1999">
        <w:t>in the ECtHR’s jurisprudence of the principle of subsidiarity</w:t>
      </w:r>
      <w:r w:rsidR="0089739A" w:rsidRPr="008A1999">
        <w:rPr>
          <w:rStyle w:val="FootnoteReference"/>
        </w:rPr>
        <w:footnoteReference w:id="59"/>
      </w:r>
      <w:r w:rsidR="00A45A68">
        <w:t>—</w:t>
      </w:r>
      <w:r w:rsidR="00466A65" w:rsidRPr="008A1999">
        <w:t>i.e. the notion that the ECHR is “supplementary and subsidiary to the protection of rights and freedoms under national legal systems” whose authorities retain “primary responsibility” for guaranteeing those rights.</w:t>
      </w:r>
      <w:r w:rsidR="00466A65" w:rsidRPr="008A1999">
        <w:rPr>
          <w:rStyle w:val="FootnoteReference"/>
        </w:rPr>
        <w:footnoteReference w:id="60"/>
      </w:r>
      <w:r w:rsidRPr="008A1999">
        <w:t xml:space="preserve"> There are at least two reasons for this.</w:t>
      </w:r>
    </w:p>
    <w:p w14:paraId="33238B1D" w14:textId="08F01D77" w:rsidR="001A6B24" w:rsidRPr="008A1999" w:rsidRDefault="00721845" w:rsidP="00DD6A6F">
      <w:pPr>
        <w:ind w:firstLine="720"/>
        <w:jc w:val="both"/>
      </w:pPr>
      <w:r w:rsidRPr="008A1999">
        <w:t xml:space="preserve">First, </w:t>
      </w:r>
      <w:r w:rsidR="002F4125" w:rsidRPr="008A1999">
        <w:t xml:space="preserve">it is </w:t>
      </w:r>
      <w:r w:rsidRPr="008A1999">
        <w:t>i</w:t>
      </w:r>
      <w:r w:rsidR="005D6E35" w:rsidRPr="008A1999">
        <w:t xml:space="preserve">nherent in the concept of subsidiarity deployed by the ECtHR that </w:t>
      </w:r>
      <w:r w:rsidR="001A6B24" w:rsidRPr="008A1999">
        <w:t xml:space="preserve">the effective protection of human rights is best achieved through the development of a </w:t>
      </w:r>
      <w:r w:rsidR="00490629">
        <w:t>“</w:t>
      </w:r>
      <w:r w:rsidR="001A6B24" w:rsidRPr="008A1999">
        <w:t>homegrown</w:t>
      </w:r>
      <w:r w:rsidR="00490629">
        <w:t>”</w:t>
      </w:r>
      <w:r w:rsidR="001A6B24" w:rsidRPr="008A1999">
        <w:t xml:space="preserve"> rights culture</w:t>
      </w:r>
      <w:r w:rsidR="00C03775" w:rsidRPr="008A1999">
        <w:t xml:space="preserve"> </w:t>
      </w:r>
      <w:r w:rsidR="001A6B24" w:rsidRPr="008A1999">
        <w:t>and through the</w:t>
      </w:r>
      <w:r w:rsidR="00526674" w:rsidRPr="008A1999">
        <w:t xml:space="preserve"> domestic</w:t>
      </w:r>
      <w:r w:rsidR="001A6B24" w:rsidRPr="008A1999">
        <w:t xml:space="preserve"> </w:t>
      </w:r>
      <w:r w:rsidR="00490629">
        <w:t>“</w:t>
      </w:r>
      <w:r w:rsidR="001A6B24" w:rsidRPr="008A1999">
        <w:t>embedding</w:t>
      </w:r>
      <w:r w:rsidR="00490629">
        <w:t>”</w:t>
      </w:r>
      <w:r w:rsidR="001A6B24" w:rsidRPr="008A1999">
        <w:t xml:space="preserve"> of </w:t>
      </w:r>
      <w:r w:rsidR="00365860" w:rsidRPr="008A1999">
        <w:t>human</w:t>
      </w:r>
      <w:r w:rsidR="001A6B24" w:rsidRPr="008A1999">
        <w:t xml:space="preserve"> rights.</w:t>
      </w:r>
      <w:r w:rsidR="00C03775" w:rsidRPr="008A1999">
        <w:rPr>
          <w:rStyle w:val="FootnoteReference"/>
        </w:rPr>
        <w:footnoteReference w:id="61"/>
      </w:r>
      <w:r w:rsidR="007E49A5" w:rsidRPr="008A1999">
        <w:t xml:space="preserve"> </w:t>
      </w:r>
      <w:r w:rsidR="00F74A01" w:rsidRPr="008A1999">
        <w:t xml:space="preserve">In cases like </w:t>
      </w:r>
      <w:proofErr w:type="spellStart"/>
      <w:r w:rsidR="00F74A01" w:rsidRPr="008A1999">
        <w:rPr>
          <w:i/>
          <w:iCs/>
        </w:rPr>
        <w:t>Ndidi</w:t>
      </w:r>
      <w:proofErr w:type="spellEnd"/>
      <w:r w:rsidR="00962B5A">
        <w:rPr>
          <w:i/>
          <w:iCs/>
        </w:rPr>
        <w:t xml:space="preserve"> </w:t>
      </w:r>
      <w:r w:rsidR="00F74A01" w:rsidRPr="008A1999">
        <w:t xml:space="preserve">the ECtHR </w:t>
      </w:r>
      <w:r w:rsidR="007E0A7B" w:rsidRPr="008A1999">
        <w:t>was</w:t>
      </w:r>
      <w:r w:rsidR="00F74A01" w:rsidRPr="008A1999">
        <w:t xml:space="preserve"> clear that where a national court applies “human rights standards consistently with the Convention and its case-law”</w:t>
      </w:r>
      <w:r w:rsidR="007E0A7B" w:rsidRPr="008A1999">
        <w:t xml:space="preserve"> </w:t>
      </w:r>
      <w:r w:rsidR="00F74A01" w:rsidRPr="008A1999">
        <w:t>then positive inferences will be drawn from this.</w:t>
      </w:r>
      <w:r w:rsidR="00F74A01" w:rsidRPr="008A1999">
        <w:rPr>
          <w:rStyle w:val="FootnoteReference"/>
        </w:rPr>
        <w:footnoteReference w:id="62"/>
      </w:r>
      <w:r w:rsidR="00151F49" w:rsidRPr="008A1999">
        <w:t xml:space="preserve"> Conversely, in </w:t>
      </w:r>
      <w:r w:rsidR="00CE7456" w:rsidRPr="008A1999">
        <w:t>a great many cases the ECtHR has drawn negative inferences from the failure of national courts to engage fully with Convention principles.</w:t>
      </w:r>
      <w:r w:rsidR="00CE7456" w:rsidRPr="008A1999">
        <w:rPr>
          <w:rStyle w:val="FootnoteReference"/>
        </w:rPr>
        <w:footnoteReference w:id="63"/>
      </w:r>
      <w:r w:rsidR="003A0D31" w:rsidRPr="008A1999">
        <w:t xml:space="preserve"> </w:t>
      </w:r>
      <w:r w:rsidR="00332E83" w:rsidRPr="008A1999">
        <w:t>The embedding of Convention principles into domestic jurisprudence</w:t>
      </w:r>
      <w:r w:rsidR="00490629">
        <w:t>—</w:t>
      </w:r>
      <w:r w:rsidR="00EF1E9E" w:rsidRPr="008A1999">
        <w:t>which attracts</w:t>
      </w:r>
      <w:r w:rsidR="00673B17" w:rsidRPr="008A1999">
        <w:t xml:space="preserve"> </w:t>
      </w:r>
      <w:r w:rsidR="00332E83" w:rsidRPr="008A1999">
        <w:t>positive inferences from the ECtHR</w:t>
      </w:r>
      <w:r w:rsidR="00673B17" w:rsidRPr="008A1999">
        <w:t xml:space="preserve"> </w:t>
      </w:r>
      <w:r w:rsidR="00332E83" w:rsidRPr="008A1999">
        <w:t>and avoid</w:t>
      </w:r>
      <w:r w:rsidR="00EF1E9E" w:rsidRPr="008A1999">
        <w:t>s</w:t>
      </w:r>
      <w:r w:rsidR="00332E83" w:rsidRPr="008A1999">
        <w:t xml:space="preserve"> negative </w:t>
      </w:r>
      <w:r w:rsidR="00FB257E" w:rsidRPr="008A1999">
        <w:t>ones</w:t>
      </w:r>
      <w:r w:rsidR="00490629">
        <w:t>—</w:t>
      </w:r>
      <w:r w:rsidR="00673B17" w:rsidRPr="008A1999">
        <w:t>can be most fully achieved only by those principles becoming</w:t>
      </w:r>
      <w:r w:rsidR="00332E83" w:rsidRPr="008A1999">
        <w:t xml:space="preserve"> interwoven into the fabric of the domestic jurisprudence</w:t>
      </w:r>
      <w:r w:rsidR="00624A1E" w:rsidRPr="008A1999">
        <w:t xml:space="preserve"> so that they become the basis for a genuinely </w:t>
      </w:r>
      <w:r w:rsidR="00490629">
        <w:t>“</w:t>
      </w:r>
      <w:r w:rsidR="00624A1E" w:rsidRPr="008A1999">
        <w:t>domestic</w:t>
      </w:r>
      <w:r w:rsidR="00490629">
        <w:t>”</w:t>
      </w:r>
      <w:r w:rsidR="00624A1E" w:rsidRPr="008A1999">
        <w:t xml:space="preserve"> culture of human rights with its own identity, rather than being regarded simply as international </w:t>
      </w:r>
      <w:r w:rsidR="00490629">
        <w:t>“</w:t>
      </w:r>
      <w:r w:rsidR="00624A1E" w:rsidRPr="008A1999">
        <w:t>imports</w:t>
      </w:r>
      <w:r w:rsidR="00490629">
        <w:t>”</w:t>
      </w:r>
      <w:r w:rsidR="00332E83" w:rsidRPr="008A1999">
        <w:t>.</w:t>
      </w:r>
      <w:r w:rsidR="006C2B75" w:rsidRPr="008A1999">
        <w:rPr>
          <w:rStyle w:val="FootnoteReference"/>
        </w:rPr>
        <w:footnoteReference w:id="64"/>
      </w:r>
      <w:r w:rsidR="00332E83" w:rsidRPr="008A1999">
        <w:t xml:space="preserve"> </w:t>
      </w:r>
      <w:r w:rsidR="0038277F" w:rsidRPr="008A1999">
        <w:t>Of course</w:t>
      </w:r>
      <w:r w:rsidR="00E67F02" w:rsidRPr="008A1999">
        <w:t>,</w:t>
      </w:r>
      <w:r w:rsidR="0038277F" w:rsidRPr="008A1999">
        <w:t xml:space="preserve"> it is </w:t>
      </w:r>
      <w:r w:rsidR="00C15E2F" w:rsidRPr="008A1999">
        <w:t xml:space="preserve">theoretically </w:t>
      </w:r>
      <w:r w:rsidR="0038277F" w:rsidRPr="008A1999">
        <w:t xml:space="preserve">possible for Convention principles to become firmly embedded in domestic jurisprudence without domestic Convention rights taking on </w:t>
      </w:r>
      <w:r w:rsidR="00583880" w:rsidRPr="008A1999">
        <w:t>any</w:t>
      </w:r>
      <w:r w:rsidR="0038277F" w:rsidRPr="008A1999">
        <w:t xml:space="preserve"> life of their own</w:t>
      </w:r>
      <w:r w:rsidR="00624A1E" w:rsidRPr="008A1999">
        <w:t>, or for a domestic human rights culture to develop through common law rights, independently from the Convention.</w:t>
      </w:r>
      <w:r w:rsidR="00624A1E" w:rsidRPr="008A1999">
        <w:rPr>
          <w:rStyle w:val="FootnoteReference"/>
        </w:rPr>
        <w:footnoteReference w:id="65"/>
      </w:r>
      <w:r w:rsidR="00624A1E" w:rsidRPr="008A1999">
        <w:t xml:space="preserve"> </w:t>
      </w:r>
      <w:r w:rsidR="005E10CA" w:rsidRPr="008A1999">
        <w:t>But not all Convention rights find domestic analogues in the common law</w:t>
      </w:r>
      <w:r w:rsidR="00A5692C">
        <w:t>—</w:t>
      </w:r>
      <w:r w:rsidR="00332E3C" w:rsidRPr="008A1999">
        <w:t>so a domestic culture of human rights based solely on common law rights, rather than on the development of domestic Convention rights</w:t>
      </w:r>
      <w:r w:rsidR="00F075CA" w:rsidRPr="008A1999">
        <w:t xml:space="preserve">, </w:t>
      </w:r>
      <w:r w:rsidR="00E01E34" w:rsidRPr="008A1999">
        <w:t>would</w:t>
      </w:r>
      <w:r w:rsidR="00F075CA" w:rsidRPr="008A1999">
        <w:t xml:space="preserve"> be </w:t>
      </w:r>
      <w:r w:rsidR="00F905C1" w:rsidRPr="008A1999">
        <w:t>strangely limi</w:t>
      </w:r>
      <w:r w:rsidR="003C70A5" w:rsidRPr="008A1999">
        <w:t>ted</w:t>
      </w:r>
      <w:r w:rsidR="00942A1D" w:rsidRPr="008A1999">
        <w:t>.</w:t>
      </w:r>
      <w:r w:rsidR="00942A1D" w:rsidRPr="008A1999">
        <w:rPr>
          <w:rStyle w:val="FootnoteReference"/>
        </w:rPr>
        <w:footnoteReference w:id="66"/>
      </w:r>
      <w:r w:rsidR="00624A1E" w:rsidRPr="008A1999">
        <w:t xml:space="preserve"> And if we understand </w:t>
      </w:r>
      <w:r w:rsidR="00A5692C">
        <w:t>“</w:t>
      </w:r>
      <w:r w:rsidR="00624A1E" w:rsidRPr="008A1999">
        <w:t>subsidiarity</w:t>
      </w:r>
      <w:r w:rsidR="00A5692C">
        <w:t>”</w:t>
      </w:r>
      <w:r w:rsidR="00624A1E" w:rsidRPr="008A1999">
        <w:t xml:space="preserve"> and </w:t>
      </w:r>
      <w:r w:rsidR="00A5692C">
        <w:t>“</w:t>
      </w:r>
      <w:r w:rsidR="00624A1E" w:rsidRPr="008A1999">
        <w:t>embeddedness</w:t>
      </w:r>
      <w:r w:rsidR="00A5692C">
        <w:t>”</w:t>
      </w:r>
      <w:r w:rsidR="00624A1E" w:rsidRPr="008A1999">
        <w:t xml:space="preserve"> as</w:t>
      </w:r>
      <w:r w:rsidR="0090584B" w:rsidRPr="008A1999">
        <w:t xml:space="preserve"> interconnected</w:t>
      </w:r>
      <w:r w:rsidR="00624A1E" w:rsidRPr="008A1999">
        <w:t xml:space="preserve"> aspirational or teleological principles, it is difficult to see how they can be fully realised without the rights concerned developing into a body of domestic law that has a life of its own.</w:t>
      </w:r>
      <w:r w:rsidR="0090584B" w:rsidRPr="008A1999">
        <w:rPr>
          <w:rStyle w:val="FootnoteReference"/>
        </w:rPr>
        <w:footnoteReference w:id="67"/>
      </w:r>
      <w:r w:rsidR="00BC52FF" w:rsidRPr="008A1999">
        <w:t xml:space="preserve"> </w:t>
      </w:r>
    </w:p>
    <w:p w14:paraId="619DA8AC" w14:textId="2C5E9F3E" w:rsidR="00C81A63" w:rsidRPr="008A1999" w:rsidRDefault="00FE734B" w:rsidP="00DD6A6F">
      <w:pPr>
        <w:ind w:firstLine="720"/>
        <w:jc w:val="both"/>
      </w:pPr>
      <w:r w:rsidRPr="008A1999">
        <w:t>This point should not be overstated</w:t>
      </w:r>
      <w:r w:rsidR="00CA320F" w:rsidRPr="008A1999">
        <w:t xml:space="preserve">. </w:t>
      </w:r>
      <w:r w:rsidR="00021D56" w:rsidRPr="008A1999">
        <w:t>Clearly, the</w:t>
      </w:r>
      <w:r w:rsidR="001F5994" w:rsidRPr="008A1999">
        <w:t xml:space="preserve"> ECtHR</w:t>
      </w:r>
      <w:r w:rsidR="00021D56" w:rsidRPr="008A1999">
        <w:t xml:space="preserve"> would</w:t>
      </w:r>
      <w:r w:rsidR="00FA56B6" w:rsidRPr="008A1999">
        <w:t xml:space="preserve"> not </w:t>
      </w:r>
      <w:r w:rsidR="001F5994" w:rsidRPr="008A1999">
        <w:t>favour domestic Convention rights becoming completely detached from</w:t>
      </w:r>
      <w:r w:rsidR="00586B96" w:rsidRPr="008A1999">
        <w:t xml:space="preserve"> their</w:t>
      </w:r>
      <w:r w:rsidR="001F5994" w:rsidRPr="008A1999">
        <w:t xml:space="preserve"> international </w:t>
      </w:r>
      <w:r w:rsidR="00586B96" w:rsidRPr="008A1999">
        <w:t>counterparts</w:t>
      </w:r>
      <w:r w:rsidR="00685CED" w:rsidRPr="008A1999">
        <w:t xml:space="preserve"> in all </w:t>
      </w:r>
      <w:r w:rsidR="00685CED" w:rsidRPr="008A1999">
        <w:lastRenderedPageBreak/>
        <w:t>respects</w:t>
      </w:r>
      <w:r w:rsidR="00FA56B6" w:rsidRPr="008A1999">
        <w:t xml:space="preserve">. </w:t>
      </w:r>
      <w:r w:rsidR="00FA6FED" w:rsidRPr="008A1999">
        <w:t>Rather, the point is</w:t>
      </w:r>
      <w:r w:rsidR="001F5994" w:rsidRPr="008A1999">
        <w:t xml:space="preserve"> that key strands of the Court’s jurisprudence seem to imply that there ought to </w:t>
      </w:r>
      <w:r w:rsidR="001F5994" w:rsidRPr="007D7448">
        <w:t xml:space="preserve">be some room for domestic Convention rights to take on a life of their own in some respects. </w:t>
      </w:r>
      <w:r w:rsidR="003A7223">
        <w:t>Exactly h</w:t>
      </w:r>
      <w:r w:rsidR="00F42965" w:rsidRPr="00527E06">
        <w:t>ow much room</w:t>
      </w:r>
      <w:r w:rsidR="00CA3ABD">
        <w:t>,</w:t>
      </w:r>
      <w:r w:rsidR="003A7223">
        <w:t xml:space="preserve"> and in exactly what respects</w:t>
      </w:r>
      <w:r w:rsidR="00F42965" w:rsidRPr="00527E06">
        <w:t>, depends on which conception of the doctrine of subsidiarity one thinks fits best with the Court’s jurisprudence.</w:t>
      </w:r>
      <w:r w:rsidR="00F42965">
        <w:rPr>
          <w:b/>
          <w:bCs/>
        </w:rPr>
        <w:t xml:space="preserve"> </w:t>
      </w:r>
      <w:r w:rsidR="00D951AE">
        <w:t>But</w:t>
      </w:r>
      <w:r w:rsidR="001F5994" w:rsidRPr="008A1999">
        <w:t xml:space="preserve"> even </w:t>
      </w:r>
      <w:r w:rsidR="00F42965">
        <w:t xml:space="preserve">a </w:t>
      </w:r>
      <w:r w:rsidR="001F5994" w:rsidRPr="008A1999">
        <w:t>relatively</w:t>
      </w:r>
      <w:r w:rsidR="004C5CAD">
        <w:t xml:space="preserve"> conservative</w:t>
      </w:r>
      <w:r w:rsidR="001F5994" w:rsidRPr="008A1999">
        <w:t xml:space="preserve"> </w:t>
      </w:r>
      <w:r w:rsidR="00362261">
        <w:t xml:space="preserve">understanding of the </w:t>
      </w:r>
      <w:r w:rsidR="004C5CAD">
        <w:t xml:space="preserve">Court’s </w:t>
      </w:r>
      <w:r w:rsidR="00D951AE">
        <w:t xml:space="preserve">subsidiarity </w:t>
      </w:r>
      <w:r w:rsidR="00362261">
        <w:t>doctrine still entails</w:t>
      </w:r>
      <w:r w:rsidR="00D951AE">
        <w:t xml:space="preserve"> that there should be some room</w:t>
      </w:r>
      <w:r w:rsidR="00F91910">
        <w:t>;</w:t>
      </w:r>
      <w:r w:rsidR="00D951AE">
        <w:t xml:space="preserve"> and this</w:t>
      </w:r>
      <w:r w:rsidR="00362261">
        <w:t xml:space="preserve"> </w:t>
      </w:r>
      <w:r w:rsidR="001F5994" w:rsidRPr="008A1999">
        <w:t xml:space="preserve">conclusion </w:t>
      </w:r>
      <w:r w:rsidR="002A1812" w:rsidRPr="008A1999">
        <w:t xml:space="preserve">is a long way from the domestic </w:t>
      </w:r>
      <w:r w:rsidR="002E1C47" w:rsidRPr="008A1999">
        <w:t>courts’ repeated assertions</w:t>
      </w:r>
      <w:r w:rsidR="002A1812" w:rsidRPr="008A1999">
        <w:t xml:space="preserve"> that HRA rights are </w:t>
      </w:r>
      <w:r w:rsidR="00F13A46" w:rsidRPr="008A1999">
        <w:t xml:space="preserve">categorically </w:t>
      </w:r>
      <w:r w:rsidR="002E1C47" w:rsidRPr="008A1999">
        <w:t>“</w:t>
      </w:r>
      <w:r w:rsidR="002A1812" w:rsidRPr="008A1999">
        <w:t>not free-standing</w:t>
      </w:r>
      <w:r w:rsidR="002E1C47" w:rsidRPr="008A1999">
        <w:t>”</w:t>
      </w:r>
      <w:r w:rsidR="002A1812" w:rsidRPr="008A1999">
        <w:t xml:space="preserve">. </w:t>
      </w:r>
    </w:p>
    <w:p w14:paraId="4CFB16C5" w14:textId="3E89DF11" w:rsidR="009E769F" w:rsidRPr="008A1999" w:rsidRDefault="00496E71" w:rsidP="00DD6A6F">
      <w:pPr>
        <w:ind w:firstLine="720"/>
        <w:jc w:val="both"/>
      </w:pPr>
      <w:r w:rsidRPr="008A1999">
        <w:t xml:space="preserve">Second, and more fundamentally, </w:t>
      </w:r>
      <w:r w:rsidR="00EC47D3" w:rsidRPr="008A1999">
        <w:t xml:space="preserve">the view </w:t>
      </w:r>
      <w:r w:rsidR="002415AE" w:rsidRPr="008A1999">
        <w:t>that</w:t>
      </w:r>
      <w:r w:rsidR="00EC47D3" w:rsidRPr="008A1999">
        <w:t xml:space="preserve"> domestic </w:t>
      </w:r>
      <w:r w:rsidR="00A95A5E" w:rsidRPr="008A1999">
        <w:t>Convention</w:t>
      </w:r>
      <w:r w:rsidR="00EC47D3" w:rsidRPr="008A1999">
        <w:t xml:space="preserve"> rights are </w:t>
      </w:r>
      <w:r w:rsidR="00C0666A" w:rsidRPr="008A1999">
        <w:t>mere</w:t>
      </w:r>
      <w:r w:rsidR="00EC47D3" w:rsidRPr="008A1999">
        <w:t xml:space="preserve"> copies of </w:t>
      </w:r>
      <w:r w:rsidR="00A95A5E" w:rsidRPr="008A1999">
        <w:t xml:space="preserve">international </w:t>
      </w:r>
      <w:r w:rsidR="00EC47D3" w:rsidRPr="008A1999">
        <w:t xml:space="preserve">Convention rights is difficult to reconcile with </w:t>
      </w:r>
      <w:r w:rsidR="00AA3481" w:rsidRPr="008A1999">
        <w:t xml:space="preserve">compelling accounts of the </w:t>
      </w:r>
      <w:r w:rsidR="00E64FD1" w:rsidRPr="008A1999">
        <w:t>underlying</w:t>
      </w:r>
      <w:r w:rsidR="00EC47D3" w:rsidRPr="008A1999">
        <w:t xml:space="preserve"> normative basis for the principle </w:t>
      </w:r>
      <w:r w:rsidR="00307CDE" w:rsidRPr="008A1999">
        <w:t xml:space="preserve">of </w:t>
      </w:r>
      <w:r w:rsidR="00EC47D3" w:rsidRPr="008A1999">
        <w:t>subsidiarity employed by the ECtHR.</w:t>
      </w:r>
    </w:p>
    <w:p w14:paraId="23356F74" w14:textId="338CA61F" w:rsidR="00AE324F" w:rsidRPr="008A1999" w:rsidRDefault="00D96C57" w:rsidP="00DD6A6F">
      <w:pPr>
        <w:ind w:firstLine="720"/>
        <w:jc w:val="both"/>
      </w:pPr>
      <w:r w:rsidRPr="008A1999">
        <w:t xml:space="preserve">One plausible account of </w:t>
      </w:r>
      <w:r w:rsidR="003104E0" w:rsidRPr="008A1999">
        <w:t>the underlying nor</w:t>
      </w:r>
      <w:r w:rsidR="00AF4FAA" w:rsidRPr="008A1999">
        <w:t xml:space="preserve">mative basis for </w:t>
      </w:r>
      <w:r w:rsidRPr="008A1999">
        <w:t>human rights subsidiarity is</w:t>
      </w:r>
      <w:r w:rsidR="00AF4FAA" w:rsidRPr="008A1999">
        <w:t xml:space="preserve"> </w:t>
      </w:r>
      <w:r w:rsidR="002832D6" w:rsidRPr="008A1999">
        <w:t>Besson</w:t>
      </w:r>
      <w:r w:rsidR="008B7A33">
        <w:t>’s.</w:t>
      </w:r>
      <w:r w:rsidR="008E6CBA" w:rsidRPr="008A1999">
        <w:t xml:space="preserve"> </w:t>
      </w:r>
      <w:r w:rsidR="008B7A33">
        <w:t>She</w:t>
      </w:r>
      <w:r w:rsidR="008E6CBA" w:rsidRPr="008A1999">
        <w:t xml:space="preserve"> argues that</w:t>
      </w:r>
      <w:r w:rsidR="00526674" w:rsidRPr="008A1999">
        <w:t xml:space="preserve"> </w:t>
      </w:r>
      <w:r w:rsidR="002E0D5D" w:rsidRPr="008A1999">
        <w:t xml:space="preserve">although domestic </w:t>
      </w:r>
      <w:r w:rsidR="00A642EF" w:rsidRPr="008A1999">
        <w:t xml:space="preserve">human </w:t>
      </w:r>
      <w:r w:rsidR="002E0D5D" w:rsidRPr="008A1999">
        <w:t xml:space="preserve">rights and international human rights both protect the same moral </w:t>
      </w:r>
      <w:r w:rsidR="00937A20" w:rsidRPr="008A1999">
        <w:t>rights</w:t>
      </w:r>
      <w:r w:rsidR="002E0D5D" w:rsidRPr="008A1999">
        <w:t>, they serve different purposes and have different roles and functions</w:t>
      </w:r>
      <w:r w:rsidR="0036765E" w:rsidRPr="008A1999">
        <w:t>.</w:t>
      </w:r>
      <w:r w:rsidR="0036765E" w:rsidRPr="008A1999">
        <w:rPr>
          <w:rStyle w:val="FootnoteReference"/>
        </w:rPr>
        <w:footnoteReference w:id="68"/>
      </w:r>
      <w:r w:rsidR="003B1767" w:rsidRPr="008A1999">
        <w:t xml:space="preserve"> </w:t>
      </w:r>
      <w:r w:rsidR="00AE324F" w:rsidRPr="008A1999">
        <w:t>B</w:t>
      </w:r>
      <w:r w:rsidR="00013206" w:rsidRPr="008A1999">
        <w:t>ecause domestic law</w:t>
      </w:r>
      <w:r w:rsidR="00AE324F" w:rsidRPr="008A1999">
        <w:t xml:space="preserve"> is seen as</w:t>
      </w:r>
      <w:r w:rsidR="00013206" w:rsidRPr="008A1999">
        <w:t xml:space="preserve"> ha</w:t>
      </w:r>
      <w:r w:rsidR="00AE324F" w:rsidRPr="008A1999">
        <w:t xml:space="preserve">ving </w:t>
      </w:r>
      <w:r w:rsidR="00013206" w:rsidRPr="008A1999">
        <w:t xml:space="preserve">greater democratic legitimacy than international law, </w:t>
      </w:r>
      <w:r w:rsidR="006C31E1" w:rsidRPr="008A1999">
        <w:t xml:space="preserve">domestic law should be the primary means through which </w:t>
      </w:r>
      <w:r w:rsidR="000244A1" w:rsidRPr="008A1999">
        <w:t>human</w:t>
      </w:r>
      <w:r w:rsidR="006C31E1" w:rsidRPr="008A1999">
        <w:t xml:space="preserve"> rights are protected, and domestic institutions should have priority in the “interpretation and specification” of rights.</w:t>
      </w:r>
      <w:r w:rsidR="006C31E1" w:rsidRPr="008A1999">
        <w:rPr>
          <w:rStyle w:val="FootnoteReference"/>
        </w:rPr>
        <w:footnoteReference w:id="69"/>
      </w:r>
      <w:r w:rsidR="00AE324F" w:rsidRPr="008A1999">
        <w:t xml:space="preserve"> However, international human rights law has a “universal scope that matches that of universal moral rights”</w:t>
      </w:r>
      <w:r w:rsidR="00526674" w:rsidRPr="008A1999">
        <w:t>,</w:t>
      </w:r>
      <w:r w:rsidR="00AE324F" w:rsidRPr="008A1999">
        <w:t xml:space="preserve"> </w:t>
      </w:r>
      <w:r w:rsidR="00526674" w:rsidRPr="008A1999">
        <w:t>a</w:t>
      </w:r>
      <w:r w:rsidR="00AE324F" w:rsidRPr="008A1999">
        <w:t xml:space="preserve">nd because human rights “work as constraints on democratic sovereignty and self-determination” they “cannot be guaranteed exclusively from within a given political community”. So international law, on this view, has an essentially </w:t>
      </w:r>
      <w:r w:rsidR="00AE324F" w:rsidRPr="008A1999">
        <w:rPr>
          <w:i/>
          <w:iCs/>
        </w:rPr>
        <w:t>supervisory</w:t>
      </w:r>
      <w:r w:rsidR="00AE324F" w:rsidRPr="008A1999">
        <w:t xml:space="preserve"> role.</w:t>
      </w:r>
      <w:r w:rsidR="00AE324F" w:rsidRPr="008A1999">
        <w:rPr>
          <w:rStyle w:val="FootnoteReference"/>
        </w:rPr>
        <w:footnoteReference w:id="70"/>
      </w:r>
      <w:r w:rsidR="00AE324F" w:rsidRPr="008A1999">
        <w:t xml:space="preserve"> </w:t>
      </w:r>
      <w:r w:rsidR="00F47DDE" w:rsidRPr="008A1999">
        <w:t xml:space="preserve">In Besson’s conception of subsidiarity, then, the role of the ECtHR is not to </w:t>
      </w:r>
      <w:r w:rsidR="00111008" w:rsidRPr="008A1999">
        <w:t>specify the content of human rights themselves, but rather</w:t>
      </w:r>
      <w:r w:rsidR="00C36F50" w:rsidRPr="008A1999">
        <w:t>,</w:t>
      </w:r>
      <w:r w:rsidR="00111008" w:rsidRPr="008A1999">
        <w:t xml:space="preserve"> </w:t>
      </w:r>
      <w:r w:rsidR="00EA036B" w:rsidRPr="008A1999">
        <w:t>to create “second order duties for states … to generate first-order human rights duties for themselves under domestic law”.</w:t>
      </w:r>
      <w:r w:rsidR="00111008" w:rsidRPr="008A1999">
        <w:rPr>
          <w:rStyle w:val="FootnoteReference"/>
        </w:rPr>
        <w:footnoteReference w:id="71"/>
      </w:r>
      <w:r w:rsidR="00BD1662" w:rsidRPr="008A1999">
        <w:t xml:space="preserve"> </w:t>
      </w:r>
      <w:r w:rsidR="00325412" w:rsidRPr="008A1999">
        <w:t xml:space="preserve">This leads Besson to the conclusion that </w:t>
      </w:r>
      <w:r w:rsidR="004C40C1" w:rsidRPr="008A1999">
        <w:t>the international “human rights law regime has three functions that make it complementary to domestic human rights law”: a substantive one, a personal one, and a procedural one.</w:t>
      </w:r>
      <w:r w:rsidR="004C40C1" w:rsidRPr="008A1999">
        <w:rPr>
          <w:rStyle w:val="FootnoteReference"/>
        </w:rPr>
        <w:footnoteReference w:id="72"/>
      </w:r>
      <w:r w:rsidR="00027D79" w:rsidRPr="008A1999">
        <w:t xml:space="preserve"> And</w:t>
      </w:r>
      <w:r w:rsidR="000C1C71" w:rsidRPr="008A1999">
        <w:t>,</w:t>
      </w:r>
      <w:r w:rsidR="00027D79" w:rsidRPr="008A1999">
        <w:t xml:space="preserve"> for Besson, each of these compl</w:t>
      </w:r>
      <w:r w:rsidR="00405567">
        <w:t>e</w:t>
      </w:r>
      <w:r w:rsidR="00027D79" w:rsidRPr="008A1999">
        <w:t xml:space="preserve">mentary functions </w:t>
      </w:r>
      <w:r w:rsidR="00BD1662" w:rsidRPr="008A1999">
        <w:t>is</w:t>
      </w:r>
      <w:r w:rsidR="00027D79" w:rsidRPr="008A1999">
        <w:t xml:space="preserve"> reflected in the </w:t>
      </w:r>
      <w:r w:rsidR="00DC4D81" w:rsidRPr="008A1999">
        <w:t xml:space="preserve">different forms of subsidiarity adopted by the </w:t>
      </w:r>
      <w:r w:rsidR="00027D79" w:rsidRPr="008A1999">
        <w:t>ECtHR</w:t>
      </w:r>
      <w:r w:rsidR="00405567">
        <w:t>—</w:t>
      </w:r>
      <w:r w:rsidR="00DC4D81" w:rsidRPr="008A1999">
        <w:t xml:space="preserve">specifically, in its jurisprudence </w:t>
      </w:r>
      <w:r w:rsidR="00027D79" w:rsidRPr="008A1999">
        <w:t xml:space="preserve">on </w:t>
      </w:r>
      <w:r w:rsidR="004001FB" w:rsidRPr="008A1999">
        <w:t xml:space="preserve">the exhaustion of </w:t>
      </w:r>
      <w:r w:rsidR="00F21315" w:rsidRPr="008A1999">
        <w:t>domestic</w:t>
      </w:r>
      <w:r w:rsidR="004001FB" w:rsidRPr="008A1999">
        <w:t xml:space="preserve"> remedies, </w:t>
      </w:r>
      <w:r w:rsidR="00F21315" w:rsidRPr="008A1999">
        <w:t>admissibility rules, the fourth-instance doctrine, the margin of appreciation, the principle of favo</w:t>
      </w:r>
      <w:r w:rsidR="007C7712" w:rsidRPr="008A1999">
        <w:t>u</w:t>
      </w:r>
      <w:r w:rsidR="00F21315" w:rsidRPr="008A1999">
        <w:t>r, and the declaratory nature of judgments.</w:t>
      </w:r>
      <w:r w:rsidR="00F21315" w:rsidRPr="008A1999">
        <w:rPr>
          <w:rStyle w:val="FootnoteReference"/>
        </w:rPr>
        <w:footnoteReference w:id="73"/>
      </w:r>
      <w:r w:rsidR="00A642EF" w:rsidRPr="008A1999">
        <w:softHyphen/>
      </w:r>
      <w:r w:rsidR="00A642EF" w:rsidRPr="008A1999">
        <w:softHyphen/>
      </w:r>
      <w:r w:rsidR="00A642EF" w:rsidRPr="008A1999">
        <w:softHyphen/>
      </w:r>
      <w:r w:rsidR="00A642EF" w:rsidRPr="008A1999">
        <w:softHyphen/>
      </w:r>
    </w:p>
    <w:p w14:paraId="04F217F0" w14:textId="784AE3D8" w:rsidR="005527B9" w:rsidRPr="008A1999" w:rsidRDefault="00D33896" w:rsidP="00DD6A6F">
      <w:pPr>
        <w:ind w:firstLine="720"/>
        <w:jc w:val="both"/>
      </w:pPr>
      <w:r w:rsidRPr="008A1999">
        <w:t>An alternative</w:t>
      </w:r>
      <w:r w:rsidR="00B705DD">
        <w:t xml:space="preserve"> </w:t>
      </w:r>
      <w:r w:rsidRPr="008A1999">
        <w:t xml:space="preserve">account of the normative basis for the </w:t>
      </w:r>
      <w:r w:rsidR="00B32295" w:rsidRPr="008A1999">
        <w:t>ECtHR</w:t>
      </w:r>
      <w:r w:rsidR="000842FF" w:rsidRPr="008A1999">
        <w:t>’s</w:t>
      </w:r>
      <w:r w:rsidR="00B32295" w:rsidRPr="008A1999">
        <w:t xml:space="preserve"> doctrine of subsidiarity is provided b</w:t>
      </w:r>
      <w:r w:rsidR="002F50D8" w:rsidRPr="008A1999">
        <w:t>y</w:t>
      </w:r>
      <w:r w:rsidR="00D90DC5" w:rsidRPr="008A1999">
        <w:t xml:space="preserve"> Vila, </w:t>
      </w:r>
      <w:r w:rsidR="002F50D8" w:rsidRPr="008A1999">
        <w:t xml:space="preserve">who argues that </w:t>
      </w:r>
      <w:r w:rsidR="00D90DC5" w:rsidRPr="008A1999">
        <w:t>human rights are not grounded in general moral rights, but are instead “special rights whose existence depends on a previous relationship that justifies the protection of certain goods and interests”.</w:t>
      </w:r>
      <w:r w:rsidR="00D90DC5" w:rsidRPr="008A1999">
        <w:rPr>
          <w:rStyle w:val="FootnoteReference"/>
        </w:rPr>
        <w:footnoteReference w:id="74"/>
      </w:r>
      <w:r w:rsidR="00A03C08" w:rsidRPr="008A1999">
        <w:t xml:space="preserve"> </w:t>
      </w:r>
      <w:r w:rsidR="00E455C5" w:rsidRPr="008A1999">
        <w:t>On Vila’s view, human rights are seen as “minimal claims for inclusion in the international system as a whole”</w:t>
      </w:r>
      <w:r w:rsidR="006B2F85" w:rsidRPr="008A1999">
        <w:t xml:space="preserve">, </w:t>
      </w:r>
      <w:r w:rsidR="00E455C5" w:rsidRPr="008A1999">
        <w:t>grounded in “three conditions in global interaction that involve relationships of justice: interdependence, institutionalization, and cooperation”</w:t>
      </w:r>
      <w:r w:rsidR="00D3502F" w:rsidRPr="008A1999">
        <w:t>. In Vila’s cooperative conception of human rights, domestic and international institutions thus have different roles to play in protecting human rights, which reflect the differen</w:t>
      </w:r>
      <w:r w:rsidR="00AA3616" w:rsidRPr="008A1999">
        <w:t>ces between</w:t>
      </w:r>
      <w:r w:rsidR="00D3502F" w:rsidRPr="008A1999">
        <w:t xml:space="preserve"> </w:t>
      </w:r>
      <w:r w:rsidR="00AA3616" w:rsidRPr="008A1999">
        <w:t xml:space="preserve">the </w:t>
      </w:r>
      <w:r w:rsidR="00D3502F" w:rsidRPr="008A1999">
        <w:t xml:space="preserve">associative bonds which exist, respectively, </w:t>
      </w:r>
      <w:r w:rsidR="00AA3616" w:rsidRPr="008A1999">
        <w:t>amongst</w:t>
      </w:r>
      <w:r w:rsidR="00D3502F" w:rsidRPr="008A1999">
        <w:t xml:space="preserve"> individuals </w:t>
      </w:r>
      <w:r w:rsidR="00D3502F" w:rsidRPr="008A1999">
        <w:rPr>
          <w:i/>
          <w:iCs/>
        </w:rPr>
        <w:t>qua</w:t>
      </w:r>
      <w:r w:rsidR="00D3502F" w:rsidRPr="008A1999">
        <w:t xml:space="preserve"> members of nation states, and individuals </w:t>
      </w:r>
      <w:r w:rsidR="00D3502F" w:rsidRPr="008A1999">
        <w:rPr>
          <w:i/>
          <w:iCs/>
        </w:rPr>
        <w:t>qua</w:t>
      </w:r>
      <w:r w:rsidR="00D3502F" w:rsidRPr="008A1999">
        <w:t xml:space="preserve"> members of the international community. </w:t>
      </w:r>
      <w:r w:rsidR="004D5547" w:rsidRPr="008A1999">
        <w:t xml:space="preserve">International law is seen as being the primary means through which human rights are protected, and international institutions </w:t>
      </w:r>
      <w:r w:rsidR="004A5809" w:rsidRPr="008A1999">
        <w:t xml:space="preserve">are seen </w:t>
      </w:r>
      <w:r w:rsidR="004D5547" w:rsidRPr="008A1999">
        <w:t xml:space="preserve">as having priority in the </w:t>
      </w:r>
      <w:r w:rsidR="004D5547" w:rsidRPr="008A1999">
        <w:lastRenderedPageBreak/>
        <w:t xml:space="preserve">interpretation and specification of rights. </w:t>
      </w:r>
      <w:r w:rsidR="00AE324F" w:rsidRPr="008A1999">
        <w:t>But domestic human rights law still has an important</w:t>
      </w:r>
      <w:r w:rsidR="003627FF" w:rsidRPr="008A1999">
        <w:t xml:space="preserve"> </w:t>
      </w:r>
      <w:r w:rsidR="000842FF" w:rsidRPr="008A1999">
        <w:t>“</w:t>
      </w:r>
      <w:r w:rsidR="003627FF" w:rsidRPr="008A1999">
        <w:t>cooperative</w:t>
      </w:r>
      <w:r w:rsidR="000842FF" w:rsidRPr="008A1999">
        <w:t>”</w:t>
      </w:r>
      <w:r w:rsidR="00AE324F" w:rsidRPr="008A1999">
        <w:t xml:space="preserve"> role to play. </w:t>
      </w:r>
      <w:r w:rsidR="005527B9" w:rsidRPr="008A1999">
        <w:t>Th</w:t>
      </w:r>
      <w:r w:rsidR="000842FF" w:rsidRPr="008A1999">
        <w:t>is</w:t>
      </w:r>
      <w:r w:rsidR="005527B9" w:rsidRPr="008A1999">
        <w:t xml:space="preserve"> cooperative conception involves “an understanding of the subsidiarity principle that favors a balanced division of labor in rights protection”, with different roles being assigned to domestic human rights law and international human rights law. So, for Vila, domestic human rights law is not simply a copy of international human rights law: the protection of rights is “consolidated though inclusion in multiple interrelated structures”, and it is recognised that these “institutional structures pursue their ends in distinctive ways, following their particular histories and circumstances, </w:t>
      </w:r>
      <w:r w:rsidR="005527B9" w:rsidRPr="008A1999">
        <w:rPr>
          <w:i/>
          <w:iCs/>
        </w:rPr>
        <w:t>which prevent us from subsuming them under any homogenous unity</w:t>
      </w:r>
      <w:r w:rsidR="005527B9" w:rsidRPr="008A1999">
        <w:t>”.</w:t>
      </w:r>
      <w:r w:rsidR="005527B9" w:rsidRPr="008A1999">
        <w:rPr>
          <w:rStyle w:val="FootnoteReference"/>
        </w:rPr>
        <w:footnoteReference w:id="75"/>
      </w:r>
      <w:r w:rsidR="00AE324F" w:rsidRPr="008A1999">
        <w:t xml:space="preserve"> And for Vila, this cooperative conception of human rights is reflected in the different forms of subsidiarity adopted by the ECtHR</w:t>
      </w:r>
      <w:r w:rsidR="00405567">
        <w:t>—</w:t>
      </w:r>
      <w:r w:rsidR="00AE324F" w:rsidRPr="008A1999">
        <w:t>specifically in its jurisprudence on incrementalism and the margin of appreciation.</w:t>
      </w:r>
      <w:r w:rsidR="00C41C3C" w:rsidRPr="008A1999">
        <w:rPr>
          <w:rStyle w:val="FootnoteReference"/>
        </w:rPr>
        <w:footnoteReference w:id="76"/>
      </w:r>
    </w:p>
    <w:p w14:paraId="791F7372" w14:textId="7A7A90D3" w:rsidR="005527B9" w:rsidRPr="008A1999" w:rsidRDefault="008F6CAA" w:rsidP="00DD6A6F">
      <w:pPr>
        <w:ind w:firstLine="720"/>
        <w:jc w:val="both"/>
      </w:pPr>
      <w:r w:rsidRPr="008A1999">
        <w:t>Both</w:t>
      </w:r>
      <w:r w:rsidR="00F1439C" w:rsidRPr="008A1999">
        <w:t xml:space="preserve"> of these</w:t>
      </w:r>
      <w:r w:rsidRPr="008A1999">
        <w:t xml:space="preserve"> very different</w:t>
      </w:r>
      <w:r w:rsidR="00F1439C" w:rsidRPr="008A1999">
        <w:t xml:space="preserve"> theories of </w:t>
      </w:r>
      <w:r w:rsidRPr="008A1999">
        <w:t>the normative basis</w:t>
      </w:r>
      <w:r w:rsidR="005A5C63" w:rsidRPr="008A1999">
        <w:t xml:space="preserve"> for the ECtHR’s doctrine of </w:t>
      </w:r>
      <w:r w:rsidR="00F1439C" w:rsidRPr="008A1999">
        <w:t>subsidiarity</w:t>
      </w:r>
      <w:r w:rsidR="00405567">
        <w:t>—</w:t>
      </w:r>
      <w:r w:rsidR="006A6CA1" w:rsidRPr="008A1999">
        <w:t>each</w:t>
      </w:r>
      <w:r w:rsidR="005A5C63" w:rsidRPr="008A1999">
        <w:t xml:space="preserve"> of </w:t>
      </w:r>
      <w:r w:rsidR="00F1439C" w:rsidRPr="008A1999">
        <w:t>which fit</w:t>
      </w:r>
      <w:r w:rsidR="006A6CA1" w:rsidRPr="008A1999">
        <w:t>s</w:t>
      </w:r>
      <w:r w:rsidR="00F1439C" w:rsidRPr="008A1999">
        <w:t xml:space="preserve"> with</w:t>
      </w:r>
      <w:r w:rsidR="006A6CA1" w:rsidRPr="008A1999">
        <w:t xml:space="preserve"> important parts of</w:t>
      </w:r>
      <w:r w:rsidR="00F1439C" w:rsidRPr="008A1999">
        <w:t xml:space="preserve"> the jurisprudence of the ECtHR</w:t>
      </w:r>
      <w:r w:rsidR="00405567">
        <w:t>—</w:t>
      </w:r>
      <w:r w:rsidR="00F1164B" w:rsidRPr="008A1999">
        <w:t>contradict</w:t>
      </w:r>
      <w:r w:rsidR="00F1439C" w:rsidRPr="008A1999">
        <w:t xml:space="preserve"> the view that domestic </w:t>
      </w:r>
      <w:r w:rsidR="00F57CCF" w:rsidRPr="008A1999">
        <w:t>Convention</w:t>
      </w:r>
      <w:r w:rsidR="00F1439C" w:rsidRPr="008A1999">
        <w:t xml:space="preserve"> rights are mere copies of </w:t>
      </w:r>
      <w:r w:rsidR="00F57CCF" w:rsidRPr="008A1999">
        <w:t xml:space="preserve">international </w:t>
      </w:r>
      <w:r w:rsidR="00F1439C" w:rsidRPr="008A1999">
        <w:t xml:space="preserve">Convention rights. </w:t>
      </w:r>
      <w:r w:rsidR="006303EA">
        <w:t>B</w:t>
      </w:r>
      <w:r w:rsidR="003D64B3" w:rsidRPr="008A1999">
        <w:t xml:space="preserve">oth are united in the view that </w:t>
      </w:r>
      <w:r w:rsidR="00F1439C" w:rsidRPr="008A1999">
        <w:t>the roles, functions, and purposes of domestic and international human rights law are distinct</w:t>
      </w:r>
      <w:r w:rsidR="006303EA">
        <w:t>,</w:t>
      </w:r>
      <w:r w:rsidR="0073261B" w:rsidRPr="008A1999">
        <w:t xml:space="preserve"> and that </w:t>
      </w:r>
      <w:r w:rsidR="000851B8" w:rsidRPr="008A1999">
        <w:t xml:space="preserve">the </w:t>
      </w:r>
      <w:r w:rsidR="0073261B" w:rsidRPr="008A1999">
        <w:t xml:space="preserve">domestic </w:t>
      </w:r>
      <w:r w:rsidR="000851B8" w:rsidRPr="008A1999">
        <w:t>Convention</w:t>
      </w:r>
      <w:r w:rsidR="0073261B" w:rsidRPr="008A1999">
        <w:t xml:space="preserve"> rights cannot, therefore, </w:t>
      </w:r>
      <w:r w:rsidR="00C23C74" w:rsidRPr="008A1999">
        <w:t>be regarded as mere copies of international Convention rights.</w:t>
      </w:r>
    </w:p>
    <w:p w14:paraId="7C658298" w14:textId="3E85E522" w:rsidR="00801662" w:rsidRPr="008A1999" w:rsidRDefault="002B6F9C" w:rsidP="00DD6A6F">
      <w:pPr>
        <w:ind w:firstLine="720"/>
        <w:jc w:val="both"/>
      </w:pPr>
      <w:r w:rsidRPr="008A1999">
        <w:t xml:space="preserve">We have, </w:t>
      </w:r>
      <w:r w:rsidR="00C23C74" w:rsidRPr="008A1999">
        <w:t>in short</w:t>
      </w:r>
      <w:r w:rsidRPr="008A1999">
        <w:t>,</w:t>
      </w:r>
      <w:r w:rsidR="00594149" w:rsidRPr="008A1999">
        <w:t xml:space="preserve"> two competing conceptions of the nature of domestic human rights</w:t>
      </w:r>
      <w:r w:rsidR="00405567">
        <w:t>—</w:t>
      </w:r>
      <w:r w:rsidR="00405567" w:rsidRPr="008A1999">
        <w:t xml:space="preserve"> </w:t>
      </w:r>
      <w:r w:rsidR="00594149" w:rsidRPr="008A1999">
        <w:t>(</w:t>
      </w:r>
      <w:proofErr w:type="spellStart"/>
      <w:r w:rsidR="00594149" w:rsidRPr="008A1999">
        <w:t>i</w:t>
      </w:r>
      <w:proofErr w:type="spellEnd"/>
      <w:r w:rsidR="00594149" w:rsidRPr="008A1999">
        <w:t xml:space="preserve">) domestic </w:t>
      </w:r>
      <w:r w:rsidR="0051353D" w:rsidRPr="008A1999">
        <w:t>Convention</w:t>
      </w:r>
      <w:r w:rsidR="00594149" w:rsidRPr="008A1999">
        <w:t xml:space="preserve"> rights as </w:t>
      </w:r>
      <w:r w:rsidR="00405567">
        <w:t>“</w:t>
      </w:r>
      <w:r w:rsidR="00594149" w:rsidRPr="008A1999">
        <w:t>copies</w:t>
      </w:r>
      <w:r w:rsidR="00405567">
        <w:t>”</w:t>
      </w:r>
      <w:r w:rsidR="00594149" w:rsidRPr="008A1999">
        <w:t xml:space="preserve"> of</w:t>
      </w:r>
      <w:r w:rsidR="0051353D" w:rsidRPr="008A1999">
        <w:t xml:space="preserve"> international</w:t>
      </w:r>
      <w:r w:rsidR="00594149" w:rsidRPr="008A1999">
        <w:t xml:space="preserve"> Convention rights,</w:t>
      </w:r>
      <w:r w:rsidR="00F83183" w:rsidRPr="008A1999">
        <w:t xml:space="preserve"> with no substantive life of their own</w:t>
      </w:r>
      <w:r w:rsidR="00594149" w:rsidRPr="008A1999">
        <w:t xml:space="preserve"> and (ii) domestic </w:t>
      </w:r>
      <w:r w:rsidR="002D4E4A" w:rsidRPr="008A1999">
        <w:t>Convention</w:t>
      </w:r>
      <w:r w:rsidR="00594149" w:rsidRPr="008A1999">
        <w:t xml:space="preserve"> rights as</w:t>
      </w:r>
      <w:r w:rsidR="00F83183" w:rsidRPr="008A1999">
        <w:t>, at least in part,</w:t>
      </w:r>
      <w:r w:rsidR="00594149" w:rsidRPr="008A1999">
        <w:t xml:space="preserve"> </w:t>
      </w:r>
      <w:r w:rsidR="00405567">
        <w:t>“</w:t>
      </w:r>
      <w:r w:rsidR="00594149" w:rsidRPr="008A1999">
        <w:t>freestanding</w:t>
      </w:r>
      <w:r w:rsidR="00405567">
        <w:t>”</w:t>
      </w:r>
      <w:r w:rsidR="00594149" w:rsidRPr="008A1999">
        <w:t xml:space="preserve"> from </w:t>
      </w:r>
      <w:r w:rsidR="002D4E4A" w:rsidRPr="008A1999">
        <w:t xml:space="preserve">international </w:t>
      </w:r>
      <w:r w:rsidR="00594149" w:rsidRPr="008A1999">
        <w:t>Convention rights</w:t>
      </w:r>
      <w:r w:rsidR="00405567">
        <w:t>—</w:t>
      </w:r>
      <w:r w:rsidR="00594149" w:rsidRPr="008A1999">
        <w:t xml:space="preserve">with the Supreme Court favouring the former </w:t>
      </w:r>
      <w:r w:rsidR="00004860" w:rsidRPr="008A1999">
        <w:t xml:space="preserve">view, </w:t>
      </w:r>
      <w:r w:rsidR="00594149" w:rsidRPr="008A1999">
        <w:t xml:space="preserve">and </w:t>
      </w:r>
      <w:r w:rsidR="00896EC4" w:rsidRPr="008A1999">
        <w:t>the</w:t>
      </w:r>
      <w:r w:rsidR="0087280F" w:rsidRPr="008A1999">
        <w:t xml:space="preserve"> subsidiarity doctrine of the</w:t>
      </w:r>
      <w:r w:rsidR="00896EC4" w:rsidRPr="008A1999">
        <w:t xml:space="preserve"> ECtHR</w:t>
      </w:r>
      <w:r w:rsidR="00594149" w:rsidRPr="008A1999">
        <w:t xml:space="preserve"> </w:t>
      </w:r>
      <w:r w:rsidR="00F83183" w:rsidRPr="008A1999">
        <w:t>being more congruent with the</w:t>
      </w:r>
      <w:r w:rsidR="00594149" w:rsidRPr="008A1999">
        <w:t xml:space="preserve"> latter. </w:t>
      </w:r>
    </w:p>
    <w:p w14:paraId="385ED538" w14:textId="2BE6E5F7" w:rsidR="002F2C1D" w:rsidRPr="008A1999" w:rsidRDefault="00896EC4" w:rsidP="00DD6A6F">
      <w:pPr>
        <w:ind w:firstLine="720"/>
        <w:jc w:val="both"/>
      </w:pPr>
      <w:r w:rsidRPr="008A1999">
        <w:t xml:space="preserve">On the </w:t>
      </w:r>
      <w:r w:rsidR="00405567">
        <w:t>“</w:t>
      </w:r>
      <w:r w:rsidRPr="008A1999">
        <w:t>copies</w:t>
      </w:r>
      <w:r w:rsidR="00405567">
        <w:t>”</w:t>
      </w:r>
      <w:r w:rsidRPr="008A1999">
        <w:t xml:space="preserve"> conception, </w:t>
      </w:r>
      <w:r w:rsidR="002F2C1D" w:rsidRPr="008A1999">
        <w:t xml:space="preserve">the fact that domestic </w:t>
      </w:r>
      <w:r w:rsidR="00AB041E" w:rsidRPr="008A1999">
        <w:t>Convention</w:t>
      </w:r>
      <w:r w:rsidR="002F2C1D" w:rsidRPr="008A1999">
        <w:t xml:space="preserve"> rights and </w:t>
      </w:r>
      <w:r w:rsidR="00AB041E" w:rsidRPr="008A1999">
        <w:t xml:space="preserve">international </w:t>
      </w:r>
      <w:r w:rsidR="002F2C1D" w:rsidRPr="008A1999">
        <w:t xml:space="preserve">Convention </w:t>
      </w:r>
      <w:r w:rsidR="00585C6E" w:rsidRPr="008A1999">
        <w:t xml:space="preserve">rights </w:t>
      </w:r>
      <w:r w:rsidR="002F2C1D" w:rsidRPr="008A1999">
        <w:t xml:space="preserve">are seen as the very same rights provides a strong reason for domestic courts to follow Strasbourg jurisprudence </w:t>
      </w:r>
      <w:r w:rsidR="00527279" w:rsidRPr="008A1999">
        <w:t xml:space="preserve">down </w:t>
      </w:r>
      <w:r w:rsidR="002F2C1D" w:rsidRPr="008A1999">
        <w:t>to the letter</w:t>
      </w:r>
      <w:r w:rsidR="00405567">
        <w:t>—</w:t>
      </w:r>
      <w:r w:rsidR="002F2C1D" w:rsidRPr="008A1999">
        <w:t xml:space="preserve">in particular, it provides a strong reason for </w:t>
      </w:r>
      <w:r w:rsidR="005A3A8C" w:rsidRPr="008A1999">
        <w:t>domestic courts not</w:t>
      </w:r>
      <w:r w:rsidR="002F2C1D" w:rsidRPr="008A1999">
        <w:t xml:space="preserve"> to</w:t>
      </w:r>
      <w:r w:rsidR="005A3A8C" w:rsidRPr="008A1999">
        <w:t xml:space="preserve"> “give a more generous scope to [Convention] rights than that which [is] to be found in the jurisprudence of the Strasbourg court”.</w:t>
      </w:r>
      <w:r w:rsidR="005A3A8C" w:rsidRPr="008A1999">
        <w:rPr>
          <w:rStyle w:val="FootnoteReference"/>
        </w:rPr>
        <w:footnoteReference w:id="77"/>
      </w:r>
      <w:r w:rsidR="00291151" w:rsidRPr="008A1999">
        <w:t xml:space="preserve"> It follows </w:t>
      </w:r>
      <w:r w:rsidR="002B6F9C" w:rsidRPr="008A1999">
        <w:t xml:space="preserve">from this view </w:t>
      </w:r>
      <w:r w:rsidR="00291151" w:rsidRPr="008A1999">
        <w:t xml:space="preserve">that where domestic courts give a more generous scope to the protection of </w:t>
      </w:r>
      <w:r w:rsidR="00216BCE" w:rsidRPr="008A1999">
        <w:t>Convention</w:t>
      </w:r>
      <w:r w:rsidR="00291151" w:rsidRPr="008A1999">
        <w:t xml:space="preserve"> rights than Strasbourg, they are not interpreting </w:t>
      </w:r>
      <w:r w:rsidR="000536ED" w:rsidRPr="008A1999">
        <w:t>a</w:t>
      </w:r>
      <w:r w:rsidR="00291151" w:rsidRPr="008A1999">
        <w:t xml:space="preserve"> domestic Convention right, but rather interpreting only </w:t>
      </w:r>
      <w:r w:rsidR="000536ED" w:rsidRPr="008A1999">
        <w:t>a</w:t>
      </w:r>
      <w:r w:rsidR="00291151" w:rsidRPr="008A1999">
        <w:t xml:space="preserve"> “corresponding common law right”.</w:t>
      </w:r>
      <w:r w:rsidR="00291151" w:rsidRPr="008A1999">
        <w:rPr>
          <w:rStyle w:val="FootnoteReference"/>
        </w:rPr>
        <w:footnoteReference w:id="78"/>
      </w:r>
      <w:r w:rsidR="000536ED" w:rsidRPr="008A1999">
        <w:t xml:space="preserve"> </w:t>
      </w:r>
    </w:p>
    <w:p w14:paraId="40DB79EF" w14:textId="16D94806" w:rsidR="00AF559B" w:rsidRPr="008A1999" w:rsidRDefault="000536ED" w:rsidP="00DD6A6F">
      <w:pPr>
        <w:ind w:firstLine="720"/>
        <w:jc w:val="both"/>
      </w:pPr>
      <w:r w:rsidRPr="008A1999">
        <w:t xml:space="preserve">On the </w:t>
      </w:r>
      <w:r w:rsidR="00405567">
        <w:t>“</w:t>
      </w:r>
      <w:r w:rsidRPr="008A1999">
        <w:t>freestanding</w:t>
      </w:r>
      <w:r w:rsidR="00405567">
        <w:t>”</w:t>
      </w:r>
      <w:r w:rsidRPr="008A1999">
        <w:t xml:space="preserve"> conception</w:t>
      </w:r>
      <w:r w:rsidR="001C4869" w:rsidRPr="008A1999">
        <w:t xml:space="preserve">, by contrast, domestic </w:t>
      </w:r>
      <w:r w:rsidR="00B73A6E" w:rsidRPr="008A1999">
        <w:t>Convention</w:t>
      </w:r>
      <w:r w:rsidR="001C4869" w:rsidRPr="008A1999">
        <w:t xml:space="preserve"> rights </w:t>
      </w:r>
      <w:r w:rsidR="00B73A6E" w:rsidRPr="008A1999">
        <w:t>are</w:t>
      </w:r>
      <w:r w:rsidR="001C4869" w:rsidRPr="008A1999">
        <w:t xml:space="preserve"> seen as having “created new rights … not simply given the people within the jurisdiction of the United Kingdom the rights which Strasbourg would give them”.</w:t>
      </w:r>
      <w:r w:rsidR="001C4869" w:rsidRPr="008A1999">
        <w:rPr>
          <w:rStyle w:val="FootnoteReference"/>
        </w:rPr>
        <w:footnoteReference w:id="79"/>
      </w:r>
      <w:r w:rsidR="002F2C1D" w:rsidRPr="008A1999">
        <w:t xml:space="preserve"> On this view,</w:t>
      </w:r>
      <w:r w:rsidR="00D571F3" w:rsidRPr="008A1999">
        <w:t xml:space="preserve"> </w:t>
      </w:r>
      <w:r w:rsidR="00736768" w:rsidRPr="008A1999">
        <w:t>congruent with</w:t>
      </w:r>
      <w:r w:rsidR="00D571F3" w:rsidRPr="008A1999">
        <w:t xml:space="preserve"> the ECtHR’s doctrine of subsidiarity,</w:t>
      </w:r>
      <w:r w:rsidR="002F2C1D" w:rsidRPr="008A1999">
        <w:t xml:space="preserve"> the nature of domestic </w:t>
      </w:r>
      <w:r w:rsidR="000546B8" w:rsidRPr="008A1999">
        <w:t>Convention</w:t>
      </w:r>
      <w:r w:rsidR="002F2C1D" w:rsidRPr="008A1999">
        <w:t xml:space="preserve"> rights </w:t>
      </w:r>
      <w:r w:rsidR="000546B8" w:rsidRPr="008A1999">
        <w:t>does</w:t>
      </w:r>
      <w:r w:rsidR="002F2C1D" w:rsidRPr="008A1999">
        <w:t xml:space="preserve"> not, by itself, </w:t>
      </w:r>
      <w:r w:rsidR="003F0F18" w:rsidRPr="008A1999">
        <w:t>appear</w:t>
      </w:r>
      <w:r w:rsidR="002F2C1D" w:rsidRPr="008A1999">
        <w:t xml:space="preserve"> as a reason for domestic courts</w:t>
      </w:r>
      <w:r w:rsidR="004B42F7">
        <w:t xml:space="preserve"> always</w:t>
      </w:r>
      <w:r w:rsidR="002F2C1D" w:rsidRPr="008A1999">
        <w:t xml:space="preserve"> to follow Strasbourg jurisprudence</w:t>
      </w:r>
      <w:r w:rsidR="0027415F" w:rsidRPr="008A1999">
        <w:t xml:space="preserve"> down </w:t>
      </w:r>
      <w:r w:rsidR="00942AD7" w:rsidRPr="008A1999">
        <w:t xml:space="preserve">to </w:t>
      </w:r>
      <w:r w:rsidR="0027415F" w:rsidRPr="008A1999">
        <w:t>the letter</w:t>
      </w:r>
      <w:r w:rsidR="002F2C1D" w:rsidRPr="008A1999">
        <w:t xml:space="preserve">. </w:t>
      </w:r>
      <w:r w:rsidR="00BB77D5" w:rsidRPr="008A1999">
        <w:t xml:space="preserve">Of course, on this view, </w:t>
      </w:r>
      <w:r w:rsidR="00DA5912" w:rsidRPr="008A1999">
        <w:t xml:space="preserve">the relevant similarities between international and domestic human rights </w:t>
      </w:r>
      <w:r w:rsidR="001B42BE">
        <w:t>can</w:t>
      </w:r>
      <w:r w:rsidR="00DA5912" w:rsidRPr="008A1999">
        <w:t>not be ignored</w:t>
      </w:r>
      <w:r w:rsidR="00882F31" w:rsidRPr="008A1999">
        <w:t xml:space="preserve">: (i) </w:t>
      </w:r>
      <w:r w:rsidR="002F2C1D" w:rsidRPr="008A1999">
        <w:t xml:space="preserve">that Convention rights and </w:t>
      </w:r>
      <w:r w:rsidR="00C24F8C" w:rsidRPr="008A1999">
        <w:t>the rights in the HRA</w:t>
      </w:r>
      <w:r w:rsidR="002F2C1D" w:rsidRPr="008A1999">
        <w:t xml:space="preserve"> are expressed in identical language</w:t>
      </w:r>
      <w:r w:rsidR="00BB77D5" w:rsidRPr="008A1999">
        <w:t xml:space="preserve"> </w:t>
      </w:r>
      <w:r w:rsidR="00DA5912" w:rsidRPr="008A1999">
        <w:t>implies that</w:t>
      </w:r>
      <w:r w:rsidR="00882F31" w:rsidRPr="008A1999">
        <w:t xml:space="preserve"> Strasbourg jurisprudence should carry</w:t>
      </w:r>
      <w:r w:rsidR="00BB77D5" w:rsidRPr="008A1999">
        <w:t xml:space="preserve"> weight </w:t>
      </w:r>
      <w:r w:rsidR="007225D3" w:rsidRPr="008A1999">
        <w:t xml:space="preserve">insofar as </w:t>
      </w:r>
      <w:r w:rsidR="00C24F8C" w:rsidRPr="008A1999">
        <w:t>it</w:t>
      </w:r>
      <w:r w:rsidR="007225D3" w:rsidRPr="008A1999">
        <w:t xml:space="preserve"> </w:t>
      </w:r>
      <w:r w:rsidR="00C24F8C" w:rsidRPr="008A1999">
        <w:t>provides</w:t>
      </w:r>
      <w:r w:rsidR="007225D3" w:rsidRPr="008A1999">
        <w:t xml:space="preserve"> a compelling interpretation of the language of th</w:t>
      </w:r>
      <w:r w:rsidR="002D338A" w:rsidRPr="008A1999">
        <w:t>ose</w:t>
      </w:r>
      <w:r w:rsidR="007225D3" w:rsidRPr="008A1999">
        <w:t xml:space="preserve"> rights</w:t>
      </w:r>
      <w:r w:rsidR="00882F31" w:rsidRPr="008A1999">
        <w:t xml:space="preserve">; and, (ii) that both international and domestic human rights are based on the same underlying moral concerns implies that Strasbourg jurisprudence ought to be given weight insofar as it provides a compelling account of the underlying moral logic of the rights at stake. </w:t>
      </w:r>
      <w:r w:rsidR="00EF311C" w:rsidRPr="008A1999">
        <w:t>Nor should one ignore those elements of the ECtHR’s jurisprudence which suggest that certain questions about rights</w:t>
      </w:r>
      <w:r w:rsidR="00405567">
        <w:t>—</w:t>
      </w:r>
      <w:r w:rsidR="004A5E90">
        <w:t>like</w:t>
      </w:r>
      <w:r w:rsidR="00EF311C" w:rsidRPr="008A1999">
        <w:t xml:space="preserve"> those </w:t>
      </w:r>
      <w:r w:rsidR="004A5E90">
        <w:t>concerning</w:t>
      </w:r>
      <w:r w:rsidR="00EF311C" w:rsidRPr="008A1999">
        <w:t xml:space="preserve"> scope</w:t>
      </w:r>
      <w:r w:rsidR="00405567">
        <w:t>—</w:t>
      </w:r>
      <w:r w:rsidR="00EF311C" w:rsidRPr="008A1999">
        <w:t xml:space="preserve">ought to be answered identically at the domestic and international level. </w:t>
      </w:r>
      <w:r w:rsidR="00DA5912" w:rsidRPr="008A1999">
        <w:t xml:space="preserve">But this view also recognises that much of Strasbourg jurisprudence is not </w:t>
      </w:r>
      <w:r w:rsidR="00DA5912" w:rsidRPr="008A1999">
        <w:lastRenderedPageBreak/>
        <w:t xml:space="preserve">based simply on the language of the Convention or on the moral logic of human rights, but rather, is </w:t>
      </w:r>
      <w:r w:rsidR="0043112E" w:rsidRPr="008A1999">
        <w:t xml:space="preserve">based on the specific roles, functions, and purposes that are served by international human rights law. </w:t>
      </w:r>
      <w:r w:rsidR="00F70A10" w:rsidRPr="008A1999">
        <w:t>I</w:t>
      </w:r>
      <w:r w:rsidR="0043112E" w:rsidRPr="008A1999">
        <w:t xml:space="preserve">nsofar as domestic </w:t>
      </w:r>
      <w:r w:rsidR="0024158A" w:rsidRPr="008A1999">
        <w:t>Convention</w:t>
      </w:r>
      <w:r w:rsidR="0043112E" w:rsidRPr="008A1999">
        <w:t xml:space="preserve"> rights </w:t>
      </w:r>
      <w:r w:rsidR="0024158A" w:rsidRPr="008A1999">
        <w:t>have</w:t>
      </w:r>
      <w:r w:rsidR="0043112E" w:rsidRPr="008A1999">
        <w:t xml:space="preserve"> different roles, functions, and purposes, this will provide a reason for domestic courts to diverge from Strasbourg jurisprudence</w:t>
      </w:r>
      <w:r w:rsidR="001C6342">
        <w:t xml:space="preserve">, </w:t>
      </w:r>
      <w:r w:rsidR="00283D9D">
        <w:t>either</w:t>
      </w:r>
      <w:r w:rsidR="001C6342">
        <w:t xml:space="preserve"> by giving more </w:t>
      </w:r>
      <w:r w:rsidR="00283D9D">
        <w:t xml:space="preserve">or less </w:t>
      </w:r>
      <w:r w:rsidR="001C6342">
        <w:t>generous protection to Convention rights</w:t>
      </w:r>
      <w:r w:rsidR="0043112E" w:rsidRPr="008A1999">
        <w:t>.</w:t>
      </w:r>
    </w:p>
    <w:p w14:paraId="7186051E" w14:textId="77777777" w:rsidR="00AF559B" w:rsidRPr="008A1999" w:rsidRDefault="00AF559B" w:rsidP="00193042">
      <w:pPr>
        <w:jc w:val="both"/>
      </w:pPr>
    </w:p>
    <w:p w14:paraId="022D6544" w14:textId="49EFD452" w:rsidR="00CE5AF7" w:rsidRPr="00DD6A6F" w:rsidRDefault="00405567" w:rsidP="00CE5AF7">
      <w:pPr>
        <w:pStyle w:val="ListParagraph"/>
        <w:numPr>
          <w:ilvl w:val="0"/>
          <w:numId w:val="2"/>
        </w:numPr>
        <w:jc w:val="both"/>
        <w:rPr>
          <w:b/>
          <w:bCs/>
        </w:rPr>
      </w:pPr>
      <w:r>
        <w:rPr>
          <w:b/>
          <w:bCs/>
        </w:rPr>
        <w:t>“</w:t>
      </w:r>
      <w:r w:rsidR="008D4124" w:rsidRPr="008A1999">
        <w:rPr>
          <w:b/>
          <w:bCs/>
        </w:rPr>
        <w:t xml:space="preserve">The Convention </w:t>
      </w:r>
      <w:r w:rsidR="0069105F" w:rsidRPr="008A1999">
        <w:rPr>
          <w:b/>
          <w:bCs/>
        </w:rPr>
        <w:t>H</w:t>
      </w:r>
      <w:r w:rsidR="008D4124" w:rsidRPr="008A1999">
        <w:rPr>
          <w:b/>
          <w:bCs/>
        </w:rPr>
        <w:t xml:space="preserve">as a </w:t>
      </w:r>
      <w:r w:rsidR="00CB7239" w:rsidRPr="008A1999">
        <w:rPr>
          <w:b/>
          <w:bCs/>
        </w:rPr>
        <w:t>U</w:t>
      </w:r>
      <w:r w:rsidR="008D4124" w:rsidRPr="008A1999">
        <w:rPr>
          <w:b/>
          <w:bCs/>
        </w:rPr>
        <w:t xml:space="preserve">niform </w:t>
      </w:r>
      <w:r w:rsidR="00CB7239" w:rsidRPr="008A1999">
        <w:rPr>
          <w:b/>
          <w:bCs/>
        </w:rPr>
        <w:t>M</w:t>
      </w:r>
      <w:r w:rsidR="008D4124" w:rsidRPr="008A1999">
        <w:rPr>
          <w:b/>
          <w:bCs/>
        </w:rPr>
        <w:t xml:space="preserve">eaning </w:t>
      </w:r>
      <w:r w:rsidR="00CB7239" w:rsidRPr="008A1999">
        <w:rPr>
          <w:b/>
          <w:bCs/>
        </w:rPr>
        <w:t>T</w:t>
      </w:r>
      <w:r w:rsidR="008D4124" w:rsidRPr="008A1999">
        <w:rPr>
          <w:b/>
          <w:bCs/>
        </w:rPr>
        <w:t xml:space="preserve">hroughout </w:t>
      </w:r>
      <w:r w:rsidR="0069105F" w:rsidRPr="008A1999">
        <w:rPr>
          <w:b/>
          <w:bCs/>
        </w:rPr>
        <w:t>A</w:t>
      </w:r>
      <w:r w:rsidR="008D4124" w:rsidRPr="008A1999">
        <w:rPr>
          <w:b/>
          <w:bCs/>
        </w:rPr>
        <w:t>ll the High Contracting Parties</w:t>
      </w:r>
      <w:r>
        <w:rPr>
          <w:b/>
          <w:bCs/>
        </w:rPr>
        <w:t>”</w:t>
      </w:r>
    </w:p>
    <w:p w14:paraId="6ABB933B" w14:textId="47F4429A" w:rsidR="006B6058" w:rsidRPr="008A1999" w:rsidRDefault="00703088" w:rsidP="00CE5AF7">
      <w:pPr>
        <w:jc w:val="both"/>
      </w:pPr>
      <w:r w:rsidRPr="008A1999">
        <w:t>The third justification offered by the</w:t>
      </w:r>
      <w:r w:rsidR="0035299A" w:rsidRPr="008A1999">
        <w:t xml:space="preserve"> </w:t>
      </w:r>
      <w:r w:rsidR="000842FF" w:rsidRPr="008A1999">
        <w:t>domestic</w:t>
      </w:r>
      <w:r w:rsidRPr="008A1999">
        <w:t xml:space="preserve"> courts for maintaining a strong link between domestic jurisprudence and ECtHR jurisprudence is that the Convention must have a un</w:t>
      </w:r>
      <w:r w:rsidR="00AA7557" w:rsidRPr="008A1999">
        <w:t>i</w:t>
      </w:r>
      <w:r w:rsidRPr="008A1999">
        <w:t xml:space="preserve">form meaning throughout all the Contracting Parties. </w:t>
      </w:r>
      <w:r w:rsidR="00CC441F" w:rsidRPr="008A1999">
        <w:t>The</w:t>
      </w:r>
      <w:r w:rsidR="008D2F05" w:rsidRPr="008A1999">
        <w:t xml:space="preserve"> idea first appeared in the judgment of Buxton L</w:t>
      </w:r>
      <w:r w:rsidR="000842FF" w:rsidRPr="008A1999">
        <w:t>.</w:t>
      </w:r>
      <w:r w:rsidR="008D2F05" w:rsidRPr="008A1999">
        <w:t>J</w:t>
      </w:r>
      <w:r w:rsidR="000842FF" w:rsidRPr="008A1999">
        <w:t>.</w:t>
      </w:r>
      <w:r w:rsidR="008D2F05" w:rsidRPr="008A1999">
        <w:t xml:space="preserve"> in </w:t>
      </w:r>
      <w:r w:rsidR="008D2F05" w:rsidRPr="008A1999">
        <w:rPr>
          <w:i/>
          <w:iCs/>
        </w:rPr>
        <w:t>Anderson</w:t>
      </w:r>
      <w:r w:rsidR="008D2F05" w:rsidRPr="008A1999">
        <w:t>, where he said that “fairness between the citizens of [the] different countries requires that [the Convention’s] terms have a uniform and accessible meaning throughout the member countries”,</w:t>
      </w:r>
      <w:r w:rsidR="00CC441F" w:rsidRPr="008A1999">
        <w:t xml:space="preserve"> and that</w:t>
      </w:r>
      <w:r w:rsidR="008D2F05" w:rsidRPr="008A1999">
        <w:t xml:space="preserve"> it would be wrong to create “in England and Wales a different set of Convention rules from those that apply in other countries who are signatories to the Convention”.</w:t>
      </w:r>
      <w:r w:rsidR="008D2F05" w:rsidRPr="008A1999">
        <w:rPr>
          <w:rStyle w:val="FootnoteReference"/>
        </w:rPr>
        <w:footnoteReference w:id="80"/>
      </w:r>
      <w:r w:rsidR="00297F2D" w:rsidRPr="008A1999">
        <w:t xml:space="preserve"> </w:t>
      </w:r>
      <w:r w:rsidR="00474EB7" w:rsidRPr="008A1999">
        <w:t>In</w:t>
      </w:r>
      <w:r w:rsidR="00297F2D" w:rsidRPr="008A1999">
        <w:t xml:space="preserve"> </w:t>
      </w:r>
      <w:r w:rsidR="00297F2D" w:rsidRPr="008A1999">
        <w:rPr>
          <w:i/>
          <w:iCs/>
        </w:rPr>
        <w:t xml:space="preserve">Clift, </w:t>
      </w:r>
      <w:r w:rsidR="00474EB7" w:rsidRPr="008A1999">
        <w:t>Lord Hope</w:t>
      </w:r>
      <w:r w:rsidR="0035299A" w:rsidRPr="008A1999">
        <w:t xml:space="preserve"> likewise</w:t>
      </w:r>
      <w:r w:rsidR="00297F2D" w:rsidRPr="008A1999">
        <w:t xml:space="preserve"> said: “[a] measure of self-restraint is needed, lest we stretch our own jurisprudence beyond that which is shared by all the states parties to the Convention”.</w:t>
      </w:r>
      <w:r w:rsidR="00297F2D" w:rsidRPr="008A1999">
        <w:rPr>
          <w:rStyle w:val="FootnoteReference"/>
        </w:rPr>
        <w:footnoteReference w:id="81"/>
      </w:r>
      <w:r w:rsidR="000B1B39" w:rsidRPr="008A1999">
        <w:t xml:space="preserve"> </w:t>
      </w:r>
      <w:r w:rsidR="006B6058" w:rsidRPr="008A1999">
        <w:t xml:space="preserve">Lord Hope emphasised the same point in </w:t>
      </w:r>
      <w:proofErr w:type="spellStart"/>
      <w:r w:rsidR="006B6058" w:rsidRPr="008A1999">
        <w:rPr>
          <w:i/>
          <w:iCs/>
        </w:rPr>
        <w:t>Cadder</w:t>
      </w:r>
      <w:proofErr w:type="spellEnd"/>
      <w:r w:rsidR="006B6058" w:rsidRPr="008A1999">
        <w:t>, where he said that the approach of the ECtHR was “to provide principled solutions that are universally applicable in all the contracting states”. As he put it:</w:t>
      </w:r>
    </w:p>
    <w:p w14:paraId="20A18061" w14:textId="77777777" w:rsidR="006B6058" w:rsidRPr="008A1999" w:rsidRDefault="006B6058" w:rsidP="00CE5AF7">
      <w:pPr>
        <w:jc w:val="both"/>
      </w:pPr>
    </w:p>
    <w:p w14:paraId="3828CE0A" w14:textId="3A2ABA23" w:rsidR="00CE5AF7" w:rsidRPr="008A1999" w:rsidRDefault="006B6058" w:rsidP="006B6058">
      <w:pPr>
        <w:ind w:left="720"/>
        <w:jc w:val="both"/>
      </w:pPr>
      <w:r w:rsidRPr="008A1999">
        <w:t>“[The Convention] aims to achieve a harmonious application of standards of protection throughout the Council of Europe area, not one dictated by national choices and preferences. There is no room in its jurisprudence for, as it were, one rule for the countries in Eastern Europe such as Turkey on the one hand and those on its western fringes such as Scotland on the other.”</w:t>
      </w:r>
      <w:r w:rsidRPr="008A1999">
        <w:rPr>
          <w:rStyle w:val="FootnoteReference"/>
        </w:rPr>
        <w:footnoteReference w:id="82"/>
      </w:r>
    </w:p>
    <w:p w14:paraId="48DDA3FE" w14:textId="28014719" w:rsidR="0049054B" w:rsidRPr="008A1999" w:rsidRDefault="008C56C9" w:rsidP="006B6058">
      <w:pPr>
        <w:ind w:left="720"/>
        <w:jc w:val="both"/>
      </w:pPr>
      <w:r w:rsidRPr="008A1999">
        <w:t xml:space="preserve"> </w:t>
      </w:r>
    </w:p>
    <w:p w14:paraId="7A9A8504" w14:textId="0B800188" w:rsidR="00A6252A" w:rsidRPr="008A1999" w:rsidRDefault="00474EB7" w:rsidP="00193042">
      <w:pPr>
        <w:jc w:val="both"/>
      </w:pPr>
      <w:r w:rsidRPr="008A1999">
        <w:t>I</w:t>
      </w:r>
      <w:r w:rsidR="00E74E9C" w:rsidRPr="008A1999">
        <w:t>n some cases,</w:t>
      </w:r>
      <w:r w:rsidRPr="008A1999">
        <w:t xml:space="preserve"> the courts have</w:t>
      </w:r>
      <w:r w:rsidR="00E74E9C" w:rsidRPr="008A1999">
        <w:t xml:space="preserve"> recognised that this justification </w:t>
      </w:r>
      <w:r w:rsidR="00A6252A" w:rsidRPr="008A1999">
        <w:t>might not</w:t>
      </w:r>
      <w:r w:rsidR="00E74E9C" w:rsidRPr="008A1999">
        <w:t xml:space="preserve"> </w:t>
      </w:r>
      <w:r w:rsidR="007B28A8" w:rsidRPr="008A1999">
        <w:t xml:space="preserve">apply </w:t>
      </w:r>
      <w:r w:rsidR="00AF67B9" w:rsidRPr="008A1999">
        <w:t>in</w:t>
      </w:r>
      <w:r w:rsidR="00E74E9C" w:rsidRPr="008A1999">
        <w:t xml:space="preserve"> all circumstances. Most notably, in </w:t>
      </w:r>
      <w:r w:rsidR="00E74E9C" w:rsidRPr="008A1999">
        <w:rPr>
          <w:i/>
          <w:iCs/>
        </w:rPr>
        <w:t>Re G</w:t>
      </w:r>
      <w:r w:rsidR="00E74E9C" w:rsidRPr="008A1999">
        <w:t xml:space="preserve"> Lord Hoffmann </w:t>
      </w:r>
      <w:r w:rsidR="00F76F11" w:rsidRPr="008A1999">
        <w:t>took the view that “the general desirability of a uniform interpretation of the Convention in all member states” was not a consideration which applie</w:t>
      </w:r>
      <w:r w:rsidR="00A6252A" w:rsidRPr="008A1999">
        <w:t>d</w:t>
      </w:r>
      <w:r w:rsidR="00F76F11" w:rsidRPr="008A1999">
        <w:t xml:space="preserve"> “in a case in which Strasbourg has deliberately declined to lay down an interpretation for all member states, as it does when it says that the question is within the margin of appreciation”.</w:t>
      </w:r>
      <w:r w:rsidR="00F76F11" w:rsidRPr="008A1999">
        <w:rPr>
          <w:rStyle w:val="FootnoteReference"/>
        </w:rPr>
        <w:footnoteReference w:id="83"/>
      </w:r>
      <w:r w:rsidR="00A6252A" w:rsidRPr="008A1999">
        <w:t xml:space="preserve"> </w:t>
      </w:r>
    </w:p>
    <w:p w14:paraId="3C8EE148" w14:textId="64846264" w:rsidR="009615BB" w:rsidRPr="008A1999" w:rsidRDefault="00A6252A" w:rsidP="00DD6A6F">
      <w:pPr>
        <w:ind w:firstLine="720"/>
        <w:jc w:val="both"/>
      </w:pPr>
      <w:r w:rsidRPr="008A1999">
        <w:t xml:space="preserve">However, </w:t>
      </w:r>
      <w:r w:rsidR="00625585" w:rsidRPr="008A1999">
        <w:t>following</w:t>
      </w:r>
      <w:r w:rsidR="0035789E" w:rsidRPr="008A1999">
        <w:t xml:space="preserve"> </w:t>
      </w:r>
      <w:r w:rsidR="0035789E" w:rsidRPr="008A1999">
        <w:rPr>
          <w:i/>
          <w:iCs/>
        </w:rPr>
        <w:t>Elan-Cane</w:t>
      </w:r>
      <w:r w:rsidR="000D0091" w:rsidRPr="008A1999">
        <w:t xml:space="preserve">, </w:t>
      </w:r>
      <w:r w:rsidR="002E7088" w:rsidRPr="008A1999">
        <w:t>the</w:t>
      </w:r>
      <w:r w:rsidR="0035299A" w:rsidRPr="008A1999">
        <w:t xml:space="preserve"> </w:t>
      </w:r>
      <w:r w:rsidR="000842FF" w:rsidRPr="008A1999">
        <w:t>domestic</w:t>
      </w:r>
      <w:r w:rsidR="002E7088" w:rsidRPr="008A1999">
        <w:t xml:space="preserve"> courts </w:t>
      </w:r>
      <w:r w:rsidR="000B1B39" w:rsidRPr="008A1999">
        <w:t xml:space="preserve">now </w:t>
      </w:r>
      <w:r w:rsidR="004A0270" w:rsidRPr="008A1999">
        <w:t>take</w:t>
      </w:r>
      <w:r w:rsidR="000D0091" w:rsidRPr="008A1999">
        <w:t xml:space="preserve"> </w:t>
      </w:r>
      <w:r w:rsidR="004A0270" w:rsidRPr="008A1999">
        <w:t>the</w:t>
      </w:r>
      <w:r w:rsidR="002E7088" w:rsidRPr="008A1999">
        <w:t xml:space="preserve"> view that </w:t>
      </w:r>
      <w:r w:rsidR="004A0270" w:rsidRPr="008A1999">
        <w:t>the Convention should have a uniform meaning across all cases,</w:t>
      </w:r>
      <w:r w:rsidR="002E7088" w:rsidRPr="008A1999">
        <w:t xml:space="preserve"> regardless of Strasbourg’s use of the margin of appreciation</w:t>
      </w:r>
      <w:r w:rsidR="00474EB7" w:rsidRPr="008A1999">
        <w:t xml:space="preserve"> doctrine</w:t>
      </w:r>
      <w:r w:rsidR="002E7088" w:rsidRPr="008A1999">
        <w:t>.</w:t>
      </w:r>
      <w:r w:rsidR="00D8126B" w:rsidRPr="008A1999">
        <w:rPr>
          <w:rStyle w:val="FootnoteReference"/>
        </w:rPr>
        <w:footnoteReference w:id="84"/>
      </w:r>
      <w:r w:rsidR="00D8126B" w:rsidRPr="008A1999">
        <w:t xml:space="preserve"> In </w:t>
      </w:r>
      <w:r w:rsidR="00D8126B" w:rsidRPr="008A1999">
        <w:rPr>
          <w:i/>
          <w:iCs/>
        </w:rPr>
        <w:t xml:space="preserve">Elan-Cane, </w:t>
      </w:r>
      <w:r w:rsidR="00D8126B" w:rsidRPr="008A1999">
        <w:t>Lord Reed</w:t>
      </w:r>
      <w:r w:rsidR="00030817">
        <w:t>—</w:t>
      </w:r>
      <w:r w:rsidR="00940EB6" w:rsidRPr="008A1999">
        <w:t>with whom the rest of the Court agreed</w:t>
      </w:r>
      <w:r w:rsidR="00030817">
        <w:t>—</w:t>
      </w:r>
      <w:r w:rsidR="00D8126B" w:rsidRPr="008A1999">
        <w:t xml:space="preserve">understood the margin of appreciation as a </w:t>
      </w:r>
      <w:r w:rsidR="0080058D" w:rsidRPr="008A1999">
        <w:t>doctrine</w:t>
      </w:r>
      <w:r w:rsidR="00D8126B" w:rsidRPr="008A1999">
        <w:t xml:space="preserve"> of “judicial restraint” or deference</w:t>
      </w:r>
      <w:r w:rsidR="00AA25D3" w:rsidRPr="008A1999">
        <w:t>:</w:t>
      </w:r>
      <w:r w:rsidR="00BC49B2" w:rsidRPr="008A1999">
        <w:t xml:space="preserve"> where it applies, the ECtHR adopts a “restrained interpretation of the relevant article of the Convention”</w:t>
      </w:r>
      <w:r w:rsidR="00D8126B" w:rsidRPr="008A1999">
        <w:t>.</w:t>
      </w:r>
      <w:r w:rsidR="00D8126B" w:rsidRPr="008A1999">
        <w:rPr>
          <w:rStyle w:val="FootnoteReference"/>
        </w:rPr>
        <w:footnoteReference w:id="85"/>
      </w:r>
      <w:r w:rsidR="00940EB6" w:rsidRPr="008A1999">
        <w:t xml:space="preserve"> For Lord Reed,</w:t>
      </w:r>
      <w:r w:rsidR="0080058D" w:rsidRPr="008A1999">
        <w:t xml:space="preserve"> the doctrine is part of the correct approach to the interpretation of the Convention itself, rather than</w:t>
      </w:r>
      <w:r w:rsidR="004B7C1C" w:rsidRPr="008A1999">
        <w:t xml:space="preserve"> </w:t>
      </w:r>
      <w:r w:rsidR="0080058D" w:rsidRPr="008A1999">
        <w:t>peculiar to the institutional position of the ECtHR</w:t>
      </w:r>
      <w:r w:rsidR="002C102D" w:rsidRPr="008A1999">
        <w:t xml:space="preserve">. In Lord Reed’s view, where the ECtHR applies the doctrine it is not declaring that the issue is “within the national margin of appreciation” </w:t>
      </w:r>
      <w:r w:rsidR="00F31FD4" w:rsidRPr="008A1999">
        <w:t>and thus “declining to interpret the Convention”.</w:t>
      </w:r>
      <w:r w:rsidR="002C4800" w:rsidRPr="008A1999">
        <w:rPr>
          <w:rStyle w:val="FootnoteReference"/>
        </w:rPr>
        <w:footnoteReference w:id="86"/>
      </w:r>
      <w:r w:rsidR="00F31FD4" w:rsidRPr="008A1999">
        <w:t xml:space="preserve"> R</w:t>
      </w:r>
      <w:r w:rsidR="002C102D" w:rsidRPr="008A1999">
        <w:t>ather,</w:t>
      </w:r>
      <w:r w:rsidR="00F31FD4" w:rsidRPr="008A1999">
        <w:t xml:space="preserve"> it is</w:t>
      </w:r>
      <w:r w:rsidR="002C102D" w:rsidRPr="008A1999">
        <w:t xml:space="preserve"> </w:t>
      </w:r>
      <w:r w:rsidR="0040284A" w:rsidRPr="008A1999">
        <w:t xml:space="preserve">authoritatively determining the proper interpretation of the </w:t>
      </w:r>
      <w:r w:rsidR="0040284A" w:rsidRPr="008A1999">
        <w:lastRenderedPageBreak/>
        <w:t>Convention applicable uniformly to all member states.</w:t>
      </w:r>
      <w:r w:rsidR="002C102D" w:rsidRPr="008A1999">
        <w:t xml:space="preserve"> </w:t>
      </w:r>
      <w:r w:rsidR="00306CFE" w:rsidRPr="008A1999">
        <w:t>As Lord Reed put it: “The margin of appreciation doctrine is not an abdication of the task of interpretation, but an important aspect of that task.”</w:t>
      </w:r>
      <w:r w:rsidR="00306CFE" w:rsidRPr="008A1999">
        <w:rPr>
          <w:rStyle w:val="FootnoteReference"/>
        </w:rPr>
        <w:footnoteReference w:id="87"/>
      </w:r>
      <w:r w:rsidR="005840D6">
        <w:t xml:space="preserve"> Thus, according to Lord Reed, even in relation to issues where Strasbourg applies the margin of appreciation, domestic courts should not adopt more generous interpretations of Convention rights than does Strasbourg, unless such results </w:t>
      </w:r>
      <w:r w:rsidR="00030817">
        <w:t>“</w:t>
      </w:r>
      <w:r w:rsidR="005840D6">
        <w:t>flow naturally</w:t>
      </w:r>
      <w:r w:rsidR="00030817">
        <w:t>”</w:t>
      </w:r>
      <w:r w:rsidR="005840D6">
        <w:t xml:space="preserve"> from Strasbourg’s jurisprudence.</w:t>
      </w:r>
      <w:r w:rsidR="005840D6">
        <w:rPr>
          <w:rStyle w:val="FootnoteReference"/>
        </w:rPr>
        <w:footnoteReference w:id="88"/>
      </w:r>
      <w:r w:rsidR="00B64EA6" w:rsidRPr="008A1999">
        <w:t xml:space="preserve"> </w:t>
      </w:r>
    </w:p>
    <w:p w14:paraId="489E6EDB" w14:textId="4CB1A5F5" w:rsidR="00AF328C" w:rsidRPr="008A1999" w:rsidRDefault="00BD5368" w:rsidP="00DD6A6F">
      <w:pPr>
        <w:ind w:firstLine="720"/>
        <w:jc w:val="both"/>
      </w:pPr>
      <w:r w:rsidRPr="008A1999">
        <w:t xml:space="preserve">There are two possible views about what the ECtHR is doing when it </w:t>
      </w:r>
      <w:r w:rsidR="009C4FCE" w:rsidRPr="008A1999">
        <w:t xml:space="preserve">applies the margin of appreciation. </w:t>
      </w:r>
      <w:r w:rsidR="00D51FA1" w:rsidRPr="008A1999">
        <w:t>On the first view</w:t>
      </w:r>
      <w:r w:rsidR="00030817">
        <w:t>—</w:t>
      </w:r>
      <w:r w:rsidR="00D51FA1" w:rsidRPr="008A1999">
        <w:t>held by</w:t>
      </w:r>
      <w:r w:rsidR="00AF328C" w:rsidRPr="008A1999">
        <w:t xml:space="preserve"> Lord Reed</w:t>
      </w:r>
      <w:r w:rsidR="00030817">
        <w:t>—</w:t>
      </w:r>
      <w:r w:rsidR="00AF328C" w:rsidRPr="008A1999">
        <w:t xml:space="preserve">the margin of appreciation </w:t>
      </w:r>
      <w:r w:rsidR="0019098C" w:rsidRPr="008A1999">
        <w:t xml:space="preserve">is seen as consistent with the idea that </w:t>
      </w:r>
      <w:r w:rsidR="00AF328C" w:rsidRPr="008A1999">
        <w:t xml:space="preserve">the Convention </w:t>
      </w:r>
      <w:r w:rsidR="0019098C" w:rsidRPr="008A1999">
        <w:t xml:space="preserve">has a </w:t>
      </w:r>
      <w:r w:rsidR="00AF328C" w:rsidRPr="008A1999">
        <w:t>uniform meaning</w:t>
      </w:r>
      <w:r w:rsidR="0019098C" w:rsidRPr="008A1999">
        <w:t xml:space="preserve"> throughout the member states</w:t>
      </w:r>
      <w:r w:rsidR="00AF328C" w:rsidRPr="008A1999">
        <w:t xml:space="preserve">. On this view, the margin of appreciation operates as a device which allows domestic courts to diverge from Strasbourg’s view, but only as a matter of domestic law, not as a matter of </w:t>
      </w:r>
      <w:r w:rsidR="00B456F8">
        <w:t>“</w:t>
      </w:r>
      <w:r w:rsidR="00AF328C" w:rsidRPr="008A1999">
        <w:t>Convention law</w:t>
      </w:r>
      <w:r w:rsidR="00B456F8">
        <w:t>”</w:t>
      </w:r>
      <w:r w:rsidR="00AF328C" w:rsidRPr="008A1999">
        <w:t>.</w:t>
      </w:r>
      <w:r w:rsidR="0041624E" w:rsidRPr="008A1999">
        <w:t xml:space="preserve"> </w:t>
      </w:r>
      <w:r w:rsidR="00AF328C" w:rsidRPr="008A1999">
        <w:t xml:space="preserve">The Convention is seen as purely international instrument, with only one, uniform meaning: the one it is given at the international level. </w:t>
      </w:r>
      <w:r w:rsidR="0019098C" w:rsidRPr="008A1999">
        <w:t>It follows</w:t>
      </w:r>
      <w:r w:rsidR="00AF328C" w:rsidRPr="008A1999">
        <w:t xml:space="preserve"> </w:t>
      </w:r>
      <w:r w:rsidR="0019098C" w:rsidRPr="008A1999">
        <w:t xml:space="preserve">that </w:t>
      </w:r>
      <w:r w:rsidR="00AF328C" w:rsidRPr="008A1999">
        <w:t xml:space="preserve">when domestic courts take a different view from Strasbourg, they may be doing one of two things: (i) saying what they think the Convention means at the international level, and thus, what it ought to mean uniformly for all member states; or, (ii) saying that </w:t>
      </w:r>
      <w:r w:rsidR="0019098C" w:rsidRPr="008A1999">
        <w:t xml:space="preserve">the </w:t>
      </w:r>
      <w:r w:rsidR="00AF328C" w:rsidRPr="008A1999">
        <w:t xml:space="preserve">domestic </w:t>
      </w:r>
      <w:r w:rsidR="0019098C" w:rsidRPr="008A1999">
        <w:t>common law</w:t>
      </w:r>
      <w:r w:rsidR="00AF328C" w:rsidRPr="008A1999">
        <w:t xml:space="preserve"> should diverge from Convention law. However, what they </w:t>
      </w:r>
      <w:r w:rsidR="00AF328C" w:rsidRPr="008A1999">
        <w:rPr>
          <w:i/>
          <w:iCs/>
        </w:rPr>
        <w:t>cannot</w:t>
      </w:r>
      <w:r w:rsidR="00AF328C" w:rsidRPr="008A1999">
        <w:t xml:space="preserve"> be saying is: (iii) that what the Convention means domestically is different from what it means internationally. </w:t>
      </w:r>
    </w:p>
    <w:p w14:paraId="2E871FA9" w14:textId="17BD7614" w:rsidR="00752C59" w:rsidRPr="008A1999" w:rsidRDefault="00DE6AAE" w:rsidP="00DD6A6F">
      <w:pPr>
        <w:ind w:firstLine="720"/>
        <w:jc w:val="both"/>
      </w:pPr>
      <w:r w:rsidRPr="008A1999">
        <w:t xml:space="preserve">On the second view, in cases where Strasbourg applies the margin of appreciation </w:t>
      </w:r>
      <w:r w:rsidR="0018597C">
        <w:t>it</w:t>
      </w:r>
      <w:r w:rsidR="00135C66" w:rsidRPr="008A1999">
        <w:t xml:space="preserve"> is</w:t>
      </w:r>
      <w:r w:rsidRPr="008A1999">
        <w:t xml:space="preserve"> not using </w:t>
      </w:r>
      <w:r w:rsidR="00440783" w:rsidRPr="008A1999">
        <w:t xml:space="preserve">the margin of appreciation </w:t>
      </w:r>
      <w:r w:rsidRPr="008A1999">
        <w:t>as</w:t>
      </w:r>
      <w:r w:rsidR="00EC675C" w:rsidRPr="008A1999">
        <w:t xml:space="preserve"> </w:t>
      </w:r>
      <w:r w:rsidR="00095A01" w:rsidRPr="008A1999">
        <w:t xml:space="preserve">a </w:t>
      </w:r>
      <w:r w:rsidR="00CB6ECC">
        <w:t>“</w:t>
      </w:r>
      <w:r w:rsidR="003304CC" w:rsidRPr="008A1999">
        <w:t>general</w:t>
      </w:r>
      <w:r w:rsidR="00CB6ECC">
        <w:t>”</w:t>
      </w:r>
      <w:r w:rsidR="003304CC" w:rsidRPr="008A1999">
        <w:t xml:space="preserve"> doctrine of restraint</w:t>
      </w:r>
      <w:r w:rsidR="00EC675C" w:rsidRPr="008A1999">
        <w:t xml:space="preserve"> which must be mirrored in domestic </w:t>
      </w:r>
      <w:r w:rsidR="00870631" w:rsidRPr="008A1999">
        <w:t>c</w:t>
      </w:r>
      <w:r w:rsidR="00EC675C" w:rsidRPr="008A1999">
        <w:t>ourts</w:t>
      </w:r>
      <w:r w:rsidR="00870631" w:rsidRPr="008A1999">
        <w:t xml:space="preserve">, but rather as </w:t>
      </w:r>
      <w:r w:rsidR="00EC675C" w:rsidRPr="008A1999">
        <w:t xml:space="preserve">doctrine arising from </w:t>
      </w:r>
      <w:r w:rsidR="002C231C" w:rsidRPr="008A1999">
        <w:t xml:space="preserve">the ECtHR’s </w:t>
      </w:r>
      <w:r w:rsidR="00EC675C" w:rsidRPr="008A1999">
        <w:t>specific position as an international tribunal.</w:t>
      </w:r>
      <w:r w:rsidR="00623EBE" w:rsidRPr="008A1999">
        <w:t xml:space="preserve"> </w:t>
      </w:r>
      <w:r w:rsidR="00AE74CF" w:rsidRPr="008A1999">
        <w:t>On this view, a</w:t>
      </w:r>
      <w:r w:rsidR="005F6587" w:rsidRPr="008A1999">
        <w:t>lthough Lord Reed is</w:t>
      </w:r>
      <w:r w:rsidR="00E867C5" w:rsidRPr="008A1999">
        <w:t xml:space="preserve"> plainly</w:t>
      </w:r>
      <w:r w:rsidR="005F6587" w:rsidRPr="008A1999">
        <w:t xml:space="preserve"> right that the Court is not “declining to interpret the Convention”</w:t>
      </w:r>
      <w:r w:rsidR="00A06FEE" w:rsidRPr="008A1999">
        <w:t xml:space="preserve"> when it applies the margin of appreciation</w:t>
      </w:r>
      <w:r w:rsidR="005F6587" w:rsidRPr="008A1999">
        <w:t xml:space="preserve">, what it </w:t>
      </w:r>
      <w:r w:rsidR="00BF24C8" w:rsidRPr="008A1999">
        <w:t xml:space="preserve">seems to be </w:t>
      </w:r>
      <w:r w:rsidR="005F6587" w:rsidRPr="008A1999">
        <w:t xml:space="preserve">doing is </w:t>
      </w:r>
      <w:r w:rsidR="006E47D1" w:rsidRPr="008A1999">
        <w:t xml:space="preserve">to </w:t>
      </w:r>
      <w:r w:rsidR="005F6587" w:rsidRPr="008A1999">
        <w:t xml:space="preserve">offer an interpretation of the Convention </w:t>
      </w:r>
      <w:r w:rsidR="006615FE" w:rsidRPr="008A1999">
        <w:t>that</w:t>
      </w:r>
      <w:r w:rsidR="005F6587" w:rsidRPr="008A1999">
        <w:t xml:space="preserve"> is peculiar to its institutional positioning as an international Court, rather than </w:t>
      </w:r>
      <w:r w:rsidR="004B7D6B">
        <w:t>a</w:t>
      </w:r>
      <w:r w:rsidR="005F6587" w:rsidRPr="008A1999">
        <w:t xml:space="preserve"> definitive interpretation of Convention </w:t>
      </w:r>
      <w:r w:rsidR="002C2E34" w:rsidRPr="008A1999">
        <w:t xml:space="preserve">rights </w:t>
      </w:r>
      <w:r w:rsidR="005F6587" w:rsidRPr="008A1999">
        <w:t>uniformly applicable to all member states.</w:t>
      </w:r>
      <w:r w:rsidR="003D5011" w:rsidRPr="008A1999">
        <w:t xml:space="preserve"> As Majewski puts it, </w:t>
      </w:r>
      <w:r w:rsidR="003D2AC3" w:rsidRPr="008A1999">
        <w:t xml:space="preserve">the Court here is determining the “extent of a Convention right </w:t>
      </w:r>
      <w:r w:rsidR="003D2AC3" w:rsidRPr="008A1999">
        <w:rPr>
          <w:i/>
          <w:iCs/>
        </w:rPr>
        <w:t xml:space="preserve">on the level of Strasbourg </w:t>
      </w:r>
      <w:r w:rsidR="003D2AC3" w:rsidRPr="008A1999">
        <w:t xml:space="preserve">and yet, at the same time, [declining to determine] its extent on </w:t>
      </w:r>
      <w:r w:rsidR="003D2AC3" w:rsidRPr="008A1999">
        <w:rPr>
          <w:i/>
          <w:iCs/>
        </w:rPr>
        <w:t xml:space="preserve">all </w:t>
      </w:r>
      <w:r w:rsidR="003D2AC3" w:rsidRPr="008A1999">
        <w:t>levels”.</w:t>
      </w:r>
      <w:r w:rsidR="003D2AC3" w:rsidRPr="008A1999">
        <w:rPr>
          <w:rStyle w:val="FootnoteReference"/>
        </w:rPr>
        <w:footnoteReference w:id="89"/>
      </w:r>
      <w:r w:rsidR="001A07AB" w:rsidRPr="008A1999">
        <w:t xml:space="preserve"> </w:t>
      </w:r>
      <w:r w:rsidR="00590FAA" w:rsidRPr="008A1999">
        <w:t>In other words</w:t>
      </w:r>
      <w:r w:rsidR="00752C59" w:rsidRPr="008A1999">
        <w:t xml:space="preserve">, the margin of appreciation allows domestic courts to diverge from Strasbourg’s view as a matter of domestic Convention interpretation. Here, the Convention is seen as an instrument of both domestic and international law, and its meaning at the international level may be different from its meaning at the domestic level. From this perspective, when domestic courts take a different view from Strasbourg, they may be saying one of three things: (i) what they think the Convention means at the international level, and thus, what it ought to mean uniformly for all member states; (ii) what domestic common law rights mean, separately from what Convention rights mean; or, (iii) what Convention rights mean domestically, which may </w:t>
      </w:r>
      <w:r w:rsidR="0066392C">
        <w:t>differ</w:t>
      </w:r>
      <w:r w:rsidR="00752C59" w:rsidRPr="008A1999">
        <w:t xml:space="preserve"> from what they mean internationally. </w:t>
      </w:r>
    </w:p>
    <w:p w14:paraId="507F9C8E" w14:textId="082E43A5" w:rsidR="002855B2" w:rsidRPr="008A1999" w:rsidRDefault="00095A01" w:rsidP="00DD6A6F">
      <w:pPr>
        <w:ind w:firstLine="720"/>
        <w:jc w:val="both"/>
      </w:pPr>
      <w:r w:rsidRPr="008A1999">
        <w:t>The second view fits better</w:t>
      </w:r>
      <w:r w:rsidR="008A5B75" w:rsidRPr="008A1999">
        <w:t xml:space="preserve"> than the first</w:t>
      </w:r>
      <w:r w:rsidRPr="008A1999">
        <w:t xml:space="preserve"> with the Strasbourg jurisprudence. </w:t>
      </w:r>
      <w:r w:rsidR="00C91573" w:rsidRPr="008A1999">
        <w:t xml:space="preserve">As we </w:t>
      </w:r>
      <w:r w:rsidR="0058615E" w:rsidRPr="008A1999">
        <w:t>have seen</w:t>
      </w:r>
      <w:r w:rsidR="00517499" w:rsidRPr="008A1999">
        <w:t>,</w:t>
      </w:r>
      <w:r w:rsidR="0058615E" w:rsidRPr="008A1999">
        <w:t xml:space="preserve"> </w:t>
      </w:r>
      <w:r w:rsidR="008351AD" w:rsidRPr="008A1999">
        <w:t xml:space="preserve">realising the aspirations of </w:t>
      </w:r>
      <w:r w:rsidR="000E298C" w:rsidRPr="008A1999">
        <w:t>the</w:t>
      </w:r>
      <w:r w:rsidR="00B70C17" w:rsidRPr="008A1999">
        <w:t xml:space="preserve"> ECtHR</w:t>
      </w:r>
      <w:r w:rsidR="000E298C" w:rsidRPr="008A1999">
        <w:t xml:space="preserve">’s </w:t>
      </w:r>
      <w:r w:rsidR="00B70C17" w:rsidRPr="008A1999">
        <w:t>doctrine</w:t>
      </w:r>
      <w:r w:rsidR="000E298C" w:rsidRPr="008A1999">
        <w:t xml:space="preserve"> of subsidiarity</w:t>
      </w:r>
      <w:r w:rsidR="00C91573" w:rsidRPr="008A1999">
        <w:t xml:space="preserve"> </w:t>
      </w:r>
      <w:r w:rsidR="00A64A65" w:rsidRPr="008A1999">
        <w:t xml:space="preserve">entails </w:t>
      </w:r>
      <w:r w:rsidR="00C91573" w:rsidRPr="008A1999">
        <w:t xml:space="preserve">that domestic Convention rights should, at least to some degree, </w:t>
      </w:r>
      <w:r w:rsidR="00703783" w:rsidRPr="008A1999">
        <w:t xml:space="preserve">be </w:t>
      </w:r>
      <w:r w:rsidR="00543130">
        <w:t>“</w:t>
      </w:r>
      <w:r w:rsidR="00C91573" w:rsidRPr="008A1999">
        <w:t>freestanding</w:t>
      </w:r>
      <w:r w:rsidR="00543130">
        <w:t>”</w:t>
      </w:r>
      <w:r w:rsidR="00C91573" w:rsidRPr="008A1999">
        <w:t xml:space="preserve"> from international Convention rights. </w:t>
      </w:r>
      <w:r w:rsidR="0023441F" w:rsidRPr="008A1999">
        <w:t xml:space="preserve">Given the close connection between the margin of appreciation doctrine and the </w:t>
      </w:r>
      <w:r w:rsidR="008F517F" w:rsidRPr="008A1999">
        <w:t>doctrine</w:t>
      </w:r>
      <w:r w:rsidR="0023441F" w:rsidRPr="008A1999">
        <w:t xml:space="preserve"> of subsidiarity, </w:t>
      </w:r>
      <w:r w:rsidR="008A1369" w:rsidRPr="008A1999">
        <w:t>it seems</w:t>
      </w:r>
      <w:r w:rsidR="00704C70" w:rsidRPr="008A1999">
        <w:t xml:space="preserve"> natural to interpret the</w:t>
      </w:r>
      <w:r w:rsidR="004C57E6" w:rsidRPr="008A1999">
        <w:t xml:space="preserve"> </w:t>
      </w:r>
      <w:r w:rsidR="00704C70" w:rsidRPr="008A1999">
        <w:t xml:space="preserve">margin of appreciation, too, </w:t>
      </w:r>
      <w:r w:rsidR="004C57E6" w:rsidRPr="008A1999">
        <w:t>as allowing</w:t>
      </w:r>
      <w:r w:rsidR="00CB2D38" w:rsidRPr="008A1999">
        <w:t xml:space="preserve"> room for the</w:t>
      </w:r>
      <w:r w:rsidR="004C57E6" w:rsidRPr="008A1999">
        <w:t xml:space="preserve"> domestic courts to </w:t>
      </w:r>
      <w:r w:rsidR="00CB2D38" w:rsidRPr="008A1999">
        <w:t>develop their own domestic Convention rights jurisprudence</w:t>
      </w:r>
      <w:r w:rsidR="00543130">
        <w:t>—</w:t>
      </w:r>
      <w:r w:rsidR="00CB2D38" w:rsidRPr="008A1999">
        <w:t xml:space="preserve">not just as allowing domestic courts to develop common law rights. </w:t>
      </w:r>
      <w:r w:rsidR="00312820" w:rsidRPr="008A1999">
        <w:t xml:space="preserve">This view has been expressed by ECtHR </w:t>
      </w:r>
      <w:r w:rsidR="00C377F5" w:rsidRPr="008A1999">
        <w:t>Presidents</w:t>
      </w:r>
      <w:r w:rsidR="00BA1FAA" w:rsidRPr="008A1999">
        <w:t>:</w:t>
      </w:r>
      <w:r w:rsidR="0006285A" w:rsidRPr="008A1999">
        <w:t xml:space="preserve"> </w:t>
      </w:r>
      <w:r w:rsidR="00312820" w:rsidRPr="008A1999">
        <w:t xml:space="preserve">Spano </w:t>
      </w:r>
      <w:r w:rsidR="00F23A33" w:rsidRPr="008A1999">
        <w:t>argue</w:t>
      </w:r>
      <w:r w:rsidR="00BA1FAA" w:rsidRPr="008A1999">
        <w:t>s</w:t>
      </w:r>
      <w:r w:rsidR="007443FF" w:rsidRPr="008A1999">
        <w:t xml:space="preserve"> </w:t>
      </w:r>
      <w:r w:rsidR="00312820" w:rsidRPr="008A1999">
        <w:t xml:space="preserve">that the Court does </w:t>
      </w:r>
      <w:r w:rsidR="00312820" w:rsidRPr="00527E06">
        <w:rPr>
          <w:i/>
          <w:iCs/>
        </w:rPr>
        <w:t>not</w:t>
      </w:r>
      <w:r w:rsidR="00312820" w:rsidRPr="008A1999">
        <w:t xml:space="preserve"> regard the Convention as being “an instrument of human rights unification”, but rather regards itself as laying down only “minimum standards” and enforcing the “collective guarantee” of the </w:t>
      </w:r>
      <w:r w:rsidR="00312820" w:rsidRPr="008A1999">
        <w:lastRenderedPageBreak/>
        <w:t>protection of rights</w:t>
      </w:r>
      <w:r w:rsidR="00BA1FAA" w:rsidRPr="008A1999">
        <w:t>;</w:t>
      </w:r>
      <w:r w:rsidR="00312820" w:rsidRPr="008A1999">
        <w:rPr>
          <w:rStyle w:val="FootnoteReference"/>
        </w:rPr>
        <w:footnoteReference w:id="90"/>
      </w:r>
      <w:r w:rsidR="00BA1FAA" w:rsidRPr="008A1999">
        <w:t xml:space="preserve"> and Spielmann argues that </w:t>
      </w:r>
      <w:r w:rsidR="008E34E5" w:rsidRPr="008A1999">
        <w:t>the “paramount concern” of the Court “is effectiveness, not uniformity”.</w:t>
      </w:r>
      <w:r w:rsidR="008E34E5" w:rsidRPr="008A1999">
        <w:rPr>
          <w:rStyle w:val="FootnoteReference"/>
        </w:rPr>
        <w:footnoteReference w:id="91"/>
      </w:r>
      <w:r w:rsidR="00312820" w:rsidRPr="008A1999">
        <w:t xml:space="preserve"> </w:t>
      </w:r>
      <w:r w:rsidR="00CC6F75" w:rsidRPr="008A1999">
        <w:t>T</w:t>
      </w:r>
      <w:r w:rsidR="0075525C" w:rsidRPr="008A1999">
        <w:t>he same sentiment has been</w:t>
      </w:r>
      <w:r w:rsidR="00312820" w:rsidRPr="008A1999">
        <w:t xml:space="preserve"> expressed in </w:t>
      </w:r>
      <w:r w:rsidR="00A622BB" w:rsidRPr="008A1999">
        <w:t>ECtHR</w:t>
      </w:r>
      <w:r w:rsidR="00312820" w:rsidRPr="008A1999">
        <w:t xml:space="preserve"> judgments: for example, by judges Mahoney and </w:t>
      </w:r>
      <w:proofErr w:type="spellStart"/>
      <w:r w:rsidR="00312820" w:rsidRPr="008A1999">
        <w:t>Wojtyczek</w:t>
      </w:r>
      <w:proofErr w:type="spellEnd"/>
      <w:r w:rsidR="00312820" w:rsidRPr="008A1999">
        <w:t xml:space="preserve"> in </w:t>
      </w:r>
      <w:r w:rsidR="00312820" w:rsidRPr="008A1999">
        <w:rPr>
          <w:i/>
          <w:iCs/>
        </w:rPr>
        <w:t>Abdu</w:t>
      </w:r>
      <w:r w:rsidR="004D63C4" w:rsidRPr="008A1999">
        <w:t>, where they said that the “Convention and the Protocols lay down a collective guarantee on some of the universally recognised human rights, establishing a minimum standard of protection …</w:t>
      </w:r>
      <w:r w:rsidR="00543130">
        <w:t xml:space="preserve"> </w:t>
      </w:r>
      <w:r w:rsidR="004D63C4" w:rsidRPr="008A1999">
        <w:t>”</w:t>
      </w:r>
      <w:r w:rsidR="00312820" w:rsidRPr="008A1999">
        <w:rPr>
          <w:rStyle w:val="FootnoteReference"/>
        </w:rPr>
        <w:footnoteReference w:id="92"/>
      </w:r>
      <w:r w:rsidR="00D769E9" w:rsidRPr="008A1999">
        <w:t xml:space="preserve"> </w:t>
      </w:r>
      <w:r w:rsidR="00510F33">
        <w:t xml:space="preserve">And </w:t>
      </w:r>
      <w:r w:rsidR="0018597C">
        <w:t>th</w:t>
      </w:r>
      <w:r w:rsidR="00510F33">
        <w:t xml:space="preserve">e </w:t>
      </w:r>
      <w:r w:rsidR="0018597C">
        <w:t>ECtHR</w:t>
      </w:r>
      <w:r w:rsidR="00510F33">
        <w:t xml:space="preserve"> has </w:t>
      </w:r>
      <w:r w:rsidR="0018597C">
        <w:t xml:space="preserve">been explicit that the margin of appreciation is </w:t>
      </w:r>
      <w:r w:rsidR="00510F33">
        <w:t>“</w:t>
      </w:r>
      <w:r w:rsidR="00510F33" w:rsidRPr="00510F33">
        <w:t>a tool to define relations between the domestic authorities and the Court</w:t>
      </w:r>
      <w:r w:rsidR="00510F33">
        <w:t>”</w:t>
      </w:r>
      <w:r w:rsidR="00510F33" w:rsidRPr="00510F33">
        <w:t xml:space="preserve"> which </w:t>
      </w:r>
      <w:r w:rsidR="00510F33">
        <w:t>“</w:t>
      </w:r>
      <w:r w:rsidR="00510F33" w:rsidRPr="00510F33">
        <w:t>cannot have the same application to the relations between the organs of State at the domestic level</w:t>
      </w:r>
      <w:r w:rsidR="00510F33">
        <w:t>”.</w:t>
      </w:r>
      <w:r w:rsidR="00510F33">
        <w:rPr>
          <w:rStyle w:val="FootnoteReference"/>
        </w:rPr>
        <w:footnoteReference w:id="93"/>
      </w:r>
      <w:r w:rsidR="00510F33">
        <w:t xml:space="preserve"> </w:t>
      </w:r>
    </w:p>
    <w:p w14:paraId="2911756B" w14:textId="6B1BB42C" w:rsidR="00F13A46" w:rsidRPr="008A1999" w:rsidRDefault="008A1999" w:rsidP="00DD6A6F">
      <w:pPr>
        <w:ind w:firstLine="720"/>
        <w:jc w:val="both"/>
      </w:pPr>
      <w:r w:rsidRPr="00527E06">
        <w:rPr>
          <w:rStyle w:val="s4"/>
          <w:color w:val="212121"/>
        </w:rPr>
        <w:t xml:space="preserve">It is true that some ECtHR judges </w:t>
      </w:r>
      <w:r w:rsidRPr="008A1999">
        <w:rPr>
          <w:rStyle w:val="s4"/>
          <w:color w:val="212121"/>
        </w:rPr>
        <w:t xml:space="preserve">take the view that </w:t>
      </w:r>
      <w:r w:rsidRPr="00527E06">
        <w:rPr>
          <w:rStyle w:val="s4"/>
          <w:color w:val="212121"/>
        </w:rPr>
        <w:t xml:space="preserve">the Convention </w:t>
      </w:r>
      <w:r w:rsidR="00A16393" w:rsidRPr="00565355">
        <w:rPr>
          <w:rStyle w:val="s4"/>
          <w:color w:val="212121"/>
        </w:rPr>
        <w:t>is</w:t>
      </w:r>
      <w:r w:rsidR="00A16393" w:rsidRPr="003A2BED">
        <w:rPr>
          <w:rStyle w:val="s4"/>
          <w:color w:val="212121"/>
        </w:rPr>
        <w:t> </w:t>
      </w:r>
      <w:r w:rsidR="00A16393" w:rsidRPr="00565355">
        <w:rPr>
          <w:rStyle w:val="s4"/>
          <w:color w:val="212121"/>
        </w:rPr>
        <w:t>an instrument of unification</w:t>
      </w:r>
      <w:r w:rsidR="00A16393" w:rsidRPr="008A1999">
        <w:rPr>
          <w:rStyle w:val="s4"/>
          <w:color w:val="212121"/>
        </w:rPr>
        <w:t xml:space="preserve"> </w:t>
      </w:r>
      <w:r w:rsidR="00A16393">
        <w:rPr>
          <w:rStyle w:val="s4"/>
          <w:color w:val="212121"/>
        </w:rPr>
        <w:t xml:space="preserve">which </w:t>
      </w:r>
      <w:r w:rsidRPr="008A1999">
        <w:rPr>
          <w:rStyle w:val="s4"/>
          <w:color w:val="212121"/>
        </w:rPr>
        <w:t xml:space="preserve">goes beyond merely establishing </w:t>
      </w:r>
      <w:r w:rsidRPr="00527E06">
        <w:rPr>
          <w:rStyle w:val="s4"/>
          <w:color w:val="212121"/>
        </w:rPr>
        <w:t>minimum standards</w:t>
      </w:r>
      <w:r w:rsidR="0029419A" w:rsidRPr="008A1999">
        <w:t xml:space="preserve">. </w:t>
      </w:r>
      <w:proofErr w:type="spellStart"/>
      <w:r w:rsidR="009F6FE1" w:rsidRPr="008A1999">
        <w:t>Rozakis</w:t>
      </w:r>
      <w:proofErr w:type="spellEnd"/>
      <w:r w:rsidR="009F6FE1" w:rsidRPr="008A1999">
        <w:t xml:space="preserve">, for example, argues that </w:t>
      </w:r>
      <w:r w:rsidR="00D65EC7" w:rsidRPr="008A1999">
        <w:t>“no power can stop the Court in the long run from advancing its course towards fulfilling its role as an impactful and weighty instrument of European integration”.</w:t>
      </w:r>
      <w:r w:rsidR="009F6FE1" w:rsidRPr="008A1999">
        <w:rPr>
          <w:rStyle w:val="FootnoteReference"/>
        </w:rPr>
        <w:footnoteReference w:id="94"/>
      </w:r>
      <w:r w:rsidR="00B20273" w:rsidRPr="008A1999">
        <w:t xml:space="preserve"> </w:t>
      </w:r>
      <w:r w:rsidR="0029419A" w:rsidRPr="008A1999">
        <w:t xml:space="preserve">And as </w:t>
      </w:r>
      <w:proofErr w:type="spellStart"/>
      <w:r w:rsidR="0029419A" w:rsidRPr="008A1999">
        <w:t>Dzehtsiarou’s</w:t>
      </w:r>
      <w:proofErr w:type="spellEnd"/>
      <w:r w:rsidR="0029419A" w:rsidRPr="008A1999">
        <w:t xml:space="preserve"> work shows, </w:t>
      </w:r>
      <w:r w:rsidR="00BA55AB" w:rsidRPr="008A1999">
        <w:t>at least some</w:t>
      </w:r>
      <w:r w:rsidR="0029419A" w:rsidRPr="008A1999">
        <w:t xml:space="preserve"> </w:t>
      </w:r>
      <w:r w:rsidR="00417975" w:rsidRPr="008A1999">
        <w:t xml:space="preserve">Strasbourg </w:t>
      </w:r>
      <w:r w:rsidR="0029419A" w:rsidRPr="008A1999">
        <w:t xml:space="preserve">judges seem to support the notion that the ECtHR should actively </w:t>
      </w:r>
      <w:r w:rsidR="00417975" w:rsidRPr="008A1999">
        <w:t>aim to create</w:t>
      </w:r>
      <w:r w:rsidR="0029419A" w:rsidRPr="008A1999">
        <w:t xml:space="preserve"> a unified “European public order”.</w:t>
      </w:r>
      <w:r w:rsidR="0029419A" w:rsidRPr="008A1999">
        <w:rPr>
          <w:rStyle w:val="FootnoteReference"/>
        </w:rPr>
        <w:footnoteReference w:id="95"/>
      </w:r>
      <w:r w:rsidR="00D65EC7" w:rsidRPr="008A1999">
        <w:t xml:space="preserve"> However, even these judges seem to recognise that </w:t>
      </w:r>
      <w:r w:rsidR="00A63B6D" w:rsidRPr="008A1999">
        <w:t xml:space="preserve">in a case </w:t>
      </w:r>
      <w:r w:rsidR="00D65EC7" w:rsidRPr="008A1999">
        <w:t xml:space="preserve">where the margin of appreciation doctrine applies, the </w:t>
      </w:r>
      <w:r w:rsidR="00EF2818" w:rsidRPr="008A1999">
        <w:t>Court</w:t>
      </w:r>
      <w:r w:rsidR="00A63B6D" w:rsidRPr="008A1999">
        <w:t xml:space="preserve">’s role is not to treat the Convention as an instrument of unification or integration. </w:t>
      </w:r>
      <w:r w:rsidR="00BE36C2" w:rsidRPr="008A1999">
        <w:t xml:space="preserve">Indeed, it is this very feature of the margin of appreciation of doctrine which prompts </w:t>
      </w:r>
      <w:proofErr w:type="spellStart"/>
      <w:r w:rsidR="00BE36C2" w:rsidRPr="008A1999">
        <w:t>Rozakis</w:t>
      </w:r>
      <w:proofErr w:type="spellEnd"/>
      <w:r w:rsidR="00BE36C2" w:rsidRPr="008A1999">
        <w:t xml:space="preserve"> to lament </w:t>
      </w:r>
      <w:r w:rsidR="00FB79FE" w:rsidRPr="008A1999">
        <w:t>its</w:t>
      </w:r>
      <w:r w:rsidR="00BE36C2" w:rsidRPr="008A1999">
        <w:t xml:space="preserve"> </w:t>
      </w:r>
      <w:r w:rsidR="00BD528B">
        <w:t>“</w:t>
      </w:r>
      <w:r w:rsidR="00BE36C2" w:rsidRPr="008A1999">
        <w:t>re-animat</w:t>
      </w:r>
      <w:r w:rsidR="00FB79FE" w:rsidRPr="008A1999">
        <w:t>ion</w:t>
      </w:r>
      <w:r w:rsidR="00BD528B">
        <w:t>”</w:t>
      </w:r>
      <w:r w:rsidR="00BE36C2" w:rsidRPr="008A1999">
        <w:t xml:space="preserve"> in recent years,</w:t>
      </w:r>
      <w:r w:rsidR="00FB79FE" w:rsidRPr="008A1999">
        <w:t xml:space="preserve"> </w:t>
      </w:r>
      <w:r w:rsidR="00BE36C2" w:rsidRPr="008A1999">
        <w:t>to regard this</w:t>
      </w:r>
      <w:r w:rsidR="00BD528B">
        <w:t>—</w:t>
      </w:r>
      <w:r w:rsidR="00BE36C2" w:rsidRPr="008A1999">
        <w:t>and the re-affirmation of subsidiarity by Protocol 15</w:t>
      </w:r>
      <w:r w:rsidR="00BD528B">
        <w:t>—</w:t>
      </w:r>
      <w:r w:rsidR="00BE36C2" w:rsidRPr="008A1999">
        <w:t>as “negative developments”</w:t>
      </w:r>
      <w:r w:rsidR="007D1234" w:rsidRPr="008A1999">
        <w:t>, and to hope that the margin of appreciation doctrine will “gradually recede in favour of a real, substantive decision by the ECtHR”.</w:t>
      </w:r>
      <w:r w:rsidR="00BE36C2" w:rsidRPr="008A1999">
        <w:rPr>
          <w:rStyle w:val="FootnoteReference"/>
        </w:rPr>
        <w:footnoteReference w:id="96"/>
      </w:r>
      <w:r w:rsidR="00BE36C2" w:rsidRPr="008A1999">
        <w:t xml:space="preserve"> </w:t>
      </w:r>
      <w:r w:rsidR="00B93001" w:rsidRPr="008A1999">
        <w:t xml:space="preserve">So, even those ECtHR judges who think that the Convention should, in principle, have a uniform meaning, would seem to disagree with Lord Reed’s </w:t>
      </w:r>
      <w:r w:rsidR="001B79D1" w:rsidRPr="008A1999">
        <w:t>understanding</w:t>
      </w:r>
      <w:r w:rsidR="00B93001" w:rsidRPr="008A1999">
        <w:t xml:space="preserve"> of the margin of appreciation. </w:t>
      </w:r>
    </w:p>
    <w:p w14:paraId="4C9EE39F" w14:textId="041B225E" w:rsidR="003E578A" w:rsidRPr="008A1999" w:rsidRDefault="00D55AB2" w:rsidP="00DD6A6F">
      <w:pPr>
        <w:ind w:firstLine="720"/>
        <w:jc w:val="both"/>
      </w:pPr>
      <w:r w:rsidRPr="008A1999">
        <w:t>Supporters of Lord Reed’s view may</w:t>
      </w:r>
      <w:r w:rsidR="0004288B" w:rsidRPr="008A1999">
        <w:t xml:space="preserve"> argue that </w:t>
      </w:r>
      <w:r w:rsidRPr="008A1999">
        <w:t xml:space="preserve">his </w:t>
      </w:r>
      <w:r w:rsidR="00946E93" w:rsidRPr="008A1999">
        <w:t xml:space="preserve">approach is understandable because the ECtHR sometimes does use the margin of appreciation </w:t>
      </w:r>
      <w:r w:rsidR="00C24585" w:rsidRPr="008A1999">
        <w:t>doctrine as a “substantive concept”</w:t>
      </w:r>
      <w:r w:rsidR="00BD528B" w:rsidRPr="00BD528B">
        <w:t xml:space="preserve"> </w:t>
      </w:r>
      <w:r w:rsidR="00BD528B">
        <w:t>—</w:t>
      </w:r>
      <w:r w:rsidR="00FA454A" w:rsidRPr="008A1999">
        <w:t>recognising that</w:t>
      </w:r>
      <w:r w:rsidR="003E578A" w:rsidRPr="008A1999">
        <w:t xml:space="preserve"> Convention rights are sometimes limited by reference to collective interests.</w:t>
      </w:r>
      <w:r w:rsidR="003E578A" w:rsidRPr="008A1999">
        <w:rPr>
          <w:rStyle w:val="FootnoteReference"/>
        </w:rPr>
        <w:footnoteReference w:id="97"/>
      </w:r>
      <w:r w:rsidR="00A24627" w:rsidRPr="008A1999">
        <w:t xml:space="preserve"> When it does so, the </w:t>
      </w:r>
      <w:r w:rsidR="00CA2EC3" w:rsidRPr="008A1999">
        <w:t>ECtHR seems to</w:t>
      </w:r>
      <w:r w:rsidR="00A24627" w:rsidRPr="008A1999">
        <w:t xml:space="preserve"> use</w:t>
      </w:r>
      <w:r w:rsidR="00CA2EC3" w:rsidRPr="008A1999">
        <w:t xml:space="preserve"> </w:t>
      </w:r>
      <w:r w:rsidR="00A24627" w:rsidRPr="008A1999">
        <w:t xml:space="preserve">the margin of appreciation as a general doctrine of deference which it envisages being mirrored by national courts, and uses it to justify ascribing a meaning to the Convention which it does not see as peculiar to its specific role as an international court. </w:t>
      </w:r>
    </w:p>
    <w:p w14:paraId="03BEE4E7" w14:textId="27791222" w:rsidR="000E298C" w:rsidRPr="008A1999" w:rsidRDefault="007C3598" w:rsidP="00DD6A6F">
      <w:pPr>
        <w:ind w:firstLine="720"/>
        <w:jc w:val="both"/>
      </w:pPr>
      <w:r w:rsidRPr="008A1999">
        <w:t>Though this</w:t>
      </w:r>
      <w:r w:rsidR="00030E02" w:rsidRPr="008A1999">
        <w:t xml:space="preserve"> </w:t>
      </w:r>
      <w:r w:rsidR="009D107D">
        <w:t>“</w:t>
      </w:r>
      <w:r w:rsidR="00030E02" w:rsidRPr="008A1999">
        <w:t>substantive</w:t>
      </w:r>
      <w:r w:rsidR="009D107D">
        <w:t>”</w:t>
      </w:r>
      <w:r w:rsidR="00030E02" w:rsidRPr="008A1999">
        <w:t xml:space="preserve"> use of the margin of appreciation </w:t>
      </w:r>
      <w:r w:rsidRPr="008A1999">
        <w:t xml:space="preserve">lends some credence to Lord Reed’s approach, </w:t>
      </w:r>
      <w:r w:rsidR="00700D26" w:rsidRPr="008A1999">
        <w:t>the</w:t>
      </w:r>
      <w:r w:rsidR="00121DB6" w:rsidRPr="008A1999">
        <w:t xml:space="preserve"> </w:t>
      </w:r>
      <w:r w:rsidR="009D107D">
        <w:t>“</w:t>
      </w:r>
      <w:r w:rsidR="00121DB6" w:rsidRPr="008A1999">
        <w:t>structural</w:t>
      </w:r>
      <w:r w:rsidR="009D107D">
        <w:t>”</w:t>
      </w:r>
      <w:r w:rsidR="00700D26" w:rsidRPr="008A1999">
        <w:t xml:space="preserve"> </w:t>
      </w:r>
      <w:r w:rsidR="0055460F" w:rsidRPr="008A1999">
        <w:t xml:space="preserve">form of the margin of </w:t>
      </w:r>
      <w:r w:rsidR="00440527" w:rsidRPr="008A1999">
        <w:t>appreciation</w:t>
      </w:r>
      <w:r w:rsidR="00121DB6" w:rsidRPr="008A1999">
        <w:t xml:space="preserve"> is </w:t>
      </w:r>
      <w:r w:rsidR="008A6931" w:rsidRPr="008A1999">
        <w:t xml:space="preserve">now </w:t>
      </w:r>
      <w:r w:rsidR="00121DB6" w:rsidRPr="008A1999">
        <w:t xml:space="preserve">the primary or focal </w:t>
      </w:r>
      <w:r w:rsidR="00A21933" w:rsidRPr="008A1999">
        <w:t>usage</w:t>
      </w:r>
      <w:r w:rsidR="00121DB6" w:rsidRPr="008A1999">
        <w:t xml:space="preserve"> of the doctrine</w:t>
      </w:r>
      <w:r w:rsidR="003932BE" w:rsidRPr="008A1999">
        <w:t>, and the substantive use of the doctrine is a secondary or peripheral form of it</w:t>
      </w:r>
      <w:r w:rsidR="00121DB6" w:rsidRPr="008A1999">
        <w:t xml:space="preserve">. </w:t>
      </w:r>
      <w:r w:rsidR="007C433E" w:rsidRPr="008A1999">
        <w:t xml:space="preserve">As </w:t>
      </w:r>
      <w:proofErr w:type="spellStart"/>
      <w:r w:rsidR="007C433E" w:rsidRPr="008A1999">
        <w:t>Rabinder</w:t>
      </w:r>
      <w:proofErr w:type="spellEnd"/>
      <w:r w:rsidR="007C433E" w:rsidRPr="008A1999">
        <w:t xml:space="preserve"> Singh </w:t>
      </w:r>
      <w:r w:rsidR="00AB4798" w:rsidRPr="008A1999">
        <w:t xml:space="preserve">commented over </w:t>
      </w:r>
      <w:r w:rsidR="00236DCF" w:rsidRPr="008A1999">
        <w:t>two decades</w:t>
      </w:r>
      <w:r w:rsidR="00AB4798" w:rsidRPr="008A1999">
        <w:t xml:space="preserve"> ago, “the [ECtHR’s] case law makes it clear that it primarily regards the concept of margin of appreciation as defining the relationship between a supranational court and national authorities (including national courts). This does not suggest that … the national court should also apply the margin of appreciation when reviewing the decisions of other national authorities.”</w:t>
      </w:r>
      <w:r w:rsidR="00AB4798" w:rsidRPr="008A1999">
        <w:rPr>
          <w:rStyle w:val="FootnoteReference"/>
        </w:rPr>
        <w:footnoteReference w:id="98"/>
      </w:r>
      <w:r w:rsidR="008E3524" w:rsidRPr="008A1999">
        <w:t xml:space="preserve"> </w:t>
      </w:r>
      <w:r w:rsidR="00E971C1" w:rsidRPr="008A1999">
        <w:t xml:space="preserve">This comment </w:t>
      </w:r>
      <w:r w:rsidR="00E971C1" w:rsidRPr="008A1999">
        <w:lastRenderedPageBreak/>
        <w:t>rings even truer now than it did 20 years ago</w:t>
      </w:r>
      <w:r w:rsidR="00CA21EB" w:rsidRPr="008A1999">
        <w:t xml:space="preserve">. </w:t>
      </w:r>
      <w:r w:rsidR="00236DCF" w:rsidRPr="008A1999">
        <w:t>Since then</w:t>
      </w:r>
      <w:r w:rsidR="00863F95" w:rsidRPr="008A1999">
        <w:t>,</w:t>
      </w:r>
      <w:r w:rsidR="00236DCF" w:rsidRPr="008A1999">
        <w:t xml:space="preserve"> the</w:t>
      </w:r>
      <w:r w:rsidR="00CA21EB" w:rsidRPr="008A1999">
        <w:t xml:space="preserve"> </w:t>
      </w:r>
      <w:r w:rsidR="00743B1D" w:rsidRPr="008A1999">
        <w:t xml:space="preserve">Court’s </w:t>
      </w:r>
      <w:r w:rsidR="00CA21EB" w:rsidRPr="008A1999">
        <w:t xml:space="preserve">use of the </w:t>
      </w:r>
      <w:r w:rsidR="00743B1D" w:rsidRPr="008A1999">
        <w:t>substantive concept</w:t>
      </w:r>
      <w:r w:rsidR="00CA21EB" w:rsidRPr="008A1999">
        <w:t xml:space="preserve"> has been widely criticised </w:t>
      </w:r>
      <w:r w:rsidR="00FE62F1" w:rsidRPr="008A1999">
        <w:t>as redundant or “purely rhetorical”.</w:t>
      </w:r>
      <w:r w:rsidR="00FE62F1" w:rsidRPr="008A1999">
        <w:rPr>
          <w:rStyle w:val="FootnoteReference"/>
        </w:rPr>
        <w:footnoteReference w:id="99"/>
      </w:r>
      <w:r w:rsidR="00BA2EC6" w:rsidRPr="008A1999">
        <w:t xml:space="preserve"> Moreover</w:t>
      </w:r>
      <w:r w:rsidR="00015CF9" w:rsidRPr="008A1999">
        <w:t xml:space="preserve">, as </w:t>
      </w:r>
      <w:r w:rsidR="00863F95" w:rsidRPr="008A1999">
        <w:t xml:space="preserve">I have </w:t>
      </w:r>
      <w:r w:rsidR="00015CF9" w:rsidRPr="008A1999">
        <w:t xml:space="preserve">already argued, the Court has </w:t>
      </w:r>
      <w:r w:rsidR="009C66B6" w:rsidRPr="008A1999">
        <w:t xml:space="preserve">recently </w:t>
      </w:r>
      <w:r w:rsidR="00015CF9" w:rsidRPr="008A1999">
        <w:t xml:space="preserve">placed an increased emphasis on the </w:t>
      </w:r>
      <w:r w:rsidR="0025461A" w:rsidRPr="008A1999">
        <w:t>principle</w:t>
      </w:r>
      <w:r w:rsidR="00015CF9" w:rsidRPr="008A1999">
        <w:t xml:space="preserve"> of subsidiarity</w:t>
      </w:r>
      <w:r w:rsidR="000F4BC0" w:rsidRPr="008A1999">
        <w:t>.</w:t>
      </w:r>
      <w:r w:rsidR="0030679A" w:rsidRPr="008A1999">
        <w:rPr>
          <w:rStyle w:val="FootnoteReference"/>
        </w:rPr>
        <w:footnoteReference w:id="100"/>
      </w:r>
      <w:r w:rsidR="00015CF9" w:rsidRPr="008A1999">
        <w:t xml:space="preserve"> </w:t>
      </w:r>
      <w:r w:rsidR="000F4BC0" w:rsidRPr="008A1999">
        <w:t>I</w:t>
      </w:r>
      <w:r w:rsidR="00015CF9" w:rsidRPr="008A1999">
        <w:t xml:space="preserve">ndeed, the margin of appreciation </w:t>
      </w:r>
      <w:r w:rsidR="009624BD" w:rsidRPr="008A1999">
        <w:t xml:space="preserve">doctrine </w:t>
      </w:r>
      <w:r w:rsidR="00015CF9" w:rsidRPr="008A1999">
        <w:t xml:space="preserve">is </w:t>
      </w:r>
      <w:r w:rsidR="009624BD" w:rsidRPr="008A1999">
        <w:t xml:space="preserve">now </w:t>
      </w:r>
      <w:r w:rsidR="00015CF9" w:rsidRPr="008A1999">
        <w:t xml:space="preserve">explicitly tied to the </w:t>
      </w:r>
      <w:r w:rsidR="0025461A" w:rsidRPr="008A1999">
        <w:t>principle</w:t>
      </w:r>
      <w:r w:rsidR="00015CF9" w:rsidRPr="008A1999">
        <w:t xml:space="preserve"> of subsidiarity </w:t>
      </w:r>
      <w:r w:rsidR="00B16D4F" w:rsidRPr="008A1999">
        <w:t>by</w:t>
      </w:r>
      <w:r w:rsidR="00015CF9" w:rsidRPr="008A1999">
        <w:t xml:space="preserve"> Protocol 15</w:t>
      </w:r>
      <w:r w:rsidR="00B16D4F" w:rsidRPr="008A1999">
        <w:t xml:space="preserve"> ECHR</w:t>
      </w:r>
      <w:r w:rsidR="00293BDC" w:rsidRPr="008A1999">
        <w:t xml:space="preserve">, and many commentators argue that subsidiarity is the primary justification for the </w:t>
      </w:r>
      <w:r w:rsidR="00533C4D" w:rsidRPr="008A1999">
        <w:t>doctrine</w:t>
      </w:r>
      <w:r w:rsidR="00B16D4F" w:rsidRPr="008A1999">
        <w:t>.</w:t>
      </w:r>
      <w:r w:rsidR="00533C4D" w:rsidRPr="008A1999">
        <w:rPr>
          <w:rStyle w:val="FootnoteReference"/>
        </w:rPr>
        <w:footnoteReference w:id="101"/>
      </w:r>
      <w:r w:rsidR="00B16D4F" w:rsidRPr="008A1999">
        <w:t xml:space="preserve"> </w:t>
      </w:r>
      <w:r w:rsidR="004F675E" w:rsidRPr="008A1999">
        <w:t xml:space="preserve">So, even if the </w:t>
      </w:r>
      <w:r w:rsidR="00710FFB">
        <w:t>“</w:t>
      </w:r>
      <w:r w:rsidR="004F675E" w:rsidRPr="008A1999">
        <w:t>substantive</w:t>
      </w:r>
      <w:r w:rsidR="00710FFB">
        <w:t>”</w:t>
      </w:r>
      <w:r w:rsidR="004F675E" w:rsidRPr="008A1999">
        <w:t xml:space="preserve"> concept of the margin of appreciation </w:t>
      </w:r>
      <w:r w:rsidR="00E86928" w:rsidRPr="008A1999">
        <w:t xml:space="preserve">might once have been said to </w:t>
      </w:r>
      <w:r w:rsidR="00C73B94" w:rsidRPr="008A1999">
        <w:t xml:space="preserve">have held </w:t>
      </w:r>
      <w:r w:rsidR="00540165" w:rsidRPr="008A1999">
        <w:t>some sway</w:t>
      </w:r>
      <w:r w:rsidR="00E86928" w:rsidRPr="008A1999">
        <w:t xml:space="preserve">, its influence </w:t>
      </w:r>
      <w:r w:rsidR="00315FDF">
        <w:t>appears</w:t>
      </w:r>
      <w:r w:rsidR="00E86928" w:rsidRPr="008A1999">
        <w:t xml:space="preserve"> to be waning. </w:t>
      </w:r>
    </w:p>
    <w:p w14:paraId="23AD13F0" w14:textId="6FCAE276" w:rsidR="006B201D" w:rsidRDefault="00440527" w:rsidP="009C2721">
      <w:pPr>
        <w:ind w:firstLine="360"/>
        <w:jc w:val="both"/>
      </w:pPr>
      <w:r w:rsidRPr="008A1999">
        <w:t>All in all,</w:t>
      </w:r>
      <w:r w:rsidR="00F77DDC" w:rsidRPr="008A1999">
        <w:t xml:space="preserve"> </w:t>
      </w:r>
      <w:r w:rsidR="00422453" w:rsidRPr="008A1999">
        <w:rPr>
          <w:i/>
          <w:iCs/>
        </w:rPr>
        <w:t>pace</w:t>
      </w:r>
      <w:r w:rsidR="00E64961" w:rsidRPr="008A1999">
        <w:rPr>
          <w:i/>
          <w:iCs/>
        </w:rPr>
        <w:t xml:space="preserve"> </w:t>
      </w:r>
      <w:r w:rsidR="00E64961" w:rsidRPr="008A1999">
        <w:t xml:space="preserve">Lord </w:t>
      </w:r>
      <w:r w:rsidR="00856E40" w:rsidRPr="008A1999">
        <w:t xml:space="preserve">Reed, </w:t>
      </w:r>
      <w:r w:rsidRPr="008A1999">
        <w:t>there is no r</w:t>
      </w:r>
      <w:r w:rsidR="004D514B" w:rsidRPr="008A1999">
        <w:t>eason to doubt that the ECtHR, when f</w:t>
      </w:r>
      <w:r w:rsidR="00AC555F" w:rsidRPr="008A1999">
        <w:t>ollowing its central practice of applying the structural</w:t>
      </w:r>
      <w:r w:rsidR="00856E40" w:rsidRPr="008A1999">
        <w:t xml:space="preserve"> </w:t>
      </w:r>
      <w:r w:rsidR="00AC555F" w:rsidRPr="008A1999">
        <w:t>form of the margin</w:t>
      </w:r>
      <w:r w:rsidR="008459E5" w:rsidRPr="008A1999">
        <w:t xml:space="preserve"> of appreciation, intend</w:t>
      </w:r>
      <w:r w:rsidR="001571AA">
        <w:t>s</w:t>
      </w:r>
      <w:r w:rsidR="008459E5" w:rsidRPr="008A1999">
        <w:t xml:space="preserve"> to give room </w:t>
      </w:r>
      <w:r w:rsidR="00E64961" w:rsidRPr="008A1999">
        <w:t xml:space="preserve">for </w:t>
      </w:r>
      <w:r w:rsidR="00372C9D" w:rsidRPr="008A1999">
        <w:t xml:space="preserve">domestic courts to </w:t>
      </w:r>
      <w:r w:rsidR="0016749C">
        <w:t>give more generous protection to Convention rights than Strasbourg</w:t>
      </w:r>
      <w:r w:rsidR="00372C9D" w:rsidRPr="008A1999">
        <w:t xml:space="preserve"> as a matter of domestic Convention interpretation</w:t>
      </w:r>
      <w:r w:rsidR="00E64961" w:rsidRPr="008A1999">
        <w:t>.</w:t>
      </w:r>
    </w:p>
    <w:p w14:paraId="2AB260D2" w14:textId="77777777" w:rsidR="00440218" w:rsidRPr="008A1999" w:rsidRDefault="00440218" w:rsidP="005F405E">
      <w:pPr>
        <w:jc w:val="both"/>
      </w:pPr>
    </w:p>
    <w:p w14:paraId="5808E708" w14:textId="2C4A1742" w:rsidR="006B1C31" w:rsidRPr="008A1999" w:rsidRDefault="009C2721" w:rsidP="006B1C31">
      <w:pPr>
        <w:pStyle w:val="ListParagraph"/>
        <w:numPr>
          <w:ilvl w:val="0"/>
          <w:numId w:val="2"/>
        </w:numPr>
        <w:jc w:val="both"/>
        <w:rPr>
          <w:b/>
          <w:bCs/>
        </w:rPr>
      </w:pPr>
      <w:r>
        <w:rPr>
          <w:b/>
          <w:bCs/>
        </w:rPr>
        <w:t>“</w:t>
      </w:r>
      <w:r w:rsidR="006B1C31" w:rsidRPr="008A1999">
        <w:rPr>
          <w:b/>
          <w:bCs/>
        </w:rPr>
        <w:t xml:space="preserve">Domestic </w:t>
      </w:r>
      <w:r w:rsidR="008A20CB" w:rsidRPr="008A1999">
        <w:rPr>
          <w:b/>
          <w:bCs/>
        </w:rPr>
        <w:t>C</w:t>
      </w:r>
      <w:r w:rsidR="006B1C31" w:rsidRPr="008A1999">
        <w:rPr>
          <w:b/>
          <w:bCs/>
        </w:rPr>
        <w:t xml:space="preserve">ourts </w:t>
      </w:r>
      <w:r w:rsidR="008A20CB" w:rsidRPr="008A1999">
        <w:rPr>
          <w:b/>
          <w:bCs/>
        </w:rPr>
        <w:t>S</w:t>
      </w:r>
      <w:r w:rsidR="005B5B40" w:rsidRPr="008A1999">
        <w:rPr>
          <w:b/>
          <w:bCs/>
        </w:rPr>
        <w:t>hould</w:t>
      </w:r>
      <w:r w:rsidR="0082370C" w:rsidRPr="008A1999">
        <w:rPr>
          <w:b/>
          <w:bCs/>
        </w:rPr>
        <w:t xml:space="preserve"> </w:t>
      </w:r>
      <w:r w:rsidR="008A20CB" w:rsidRPr="008A1999">
        <w:rPr>
          <w:b/>
          <w:bCs/>
        </w:rPr>
        <w:t>N</w:t>
      </w:r>
      <w:r w:rsidR="005B5B40" w:rsidRPr="008A1999">
        <w:rPr>
          <w:b/>
          <w:bCs/>
        </w:rPr>
        <w:t xml:space="preserve">ot </w:t>
      </w:r>
      <w:r w:rsidR="008A20CB" w:rsidRPr="008A1999">
        <w:rPr>
          <w:b/>
          <w:bCs/>
        </w:rPr>
        <w:t>N</w:t>
      </w:r>
      <w:r w:rsidR="005B5B40" w:rsidRPr="008A1999">
        <w:rPr>
          <w:b/>
          <w:bCs/>
        </w:rPr>
        <w:t xml:space="preserve">ormally </w:t>
      </w:r>
      <w:r w:rsidR="008A20CB" w:rsidRPr="008A1999">
        <w:rPr>
          <w:b/>
          <w:bCs/>
        </w:rPr>
        <w:t>D</w:t>
      </w:r>
      <w:r w:rsidR="005B5B40" w:rsidRPr="008A1999">
        <w:rPr>
          <w:b/>
          <w:bCs/>
        </w:rPr>
        <w:t xml:space="preserve">iverge </w:t>
      </w:r>
      <w:r w:rsidR="00341FBF" w:rsidRPr="008A1999">
        <w:rPr>
          <w:b/>
          <w:bCs/>
        </w:rPr>
        <w:t>F</w:t>
      </w:r>
      <w:r w:rsidR="005B5B40" w:rsidRPr="008A1999">
        <w:rPr>
          <w:b/>
          <w:bCs/>
        </w:rPr>
        <w:t xml:space="preserve">rom ECtHR </w:t>
      </w:r>
      <w:r w:rsidR="008A20CB" w:rsidRPr="008A1999">
        <w:rPr>
          <w:b/>
          <w:bCs/>
        </w:rPr>
        <w:t>J</w:t>
      </w:r>
      <w:r w:rsidR="005B5B40" w:rsidRPr="008A1999">
        <w:rPr>
          <w:b/>
          <w:bCs/>
        </w:rPr>
        <w:t xml:space="preserve">urisprudence </w:t>
      </w:r>
      <w:r w:rsidR="00872E49" w:rsidRPr="008A1999">
        <w:rPr>
          <w:b/>
          <w:bCs/>
        </w:rPr>
        <w:t>if</w:t>
      </w:r>
      <w:r w:rsidR="005B5B40" w:rsidRPr="008A1999">
        <w:rPr>
          <w:b/>
          <w:bCs/>
        </w:rPr>
        <w:t xml:space="preserve"> </w:t>
      </w:r>
      <w:r w:rsidR="007659B9" w:rsidRPr="008A1999">
        <w:rPr>
          <w:b/>
          <w:bCs/>
        </w:rPr>
        <w:t>the ECtHR</w:t>
      </w:r>
      <w:r w:rsidR="005B5B40" w:rsidRPr="008A1999">
        <w:rPr>
          <w:b/>
          <w:bCs/>
        </w:rPr>
        <w:t xml:space="preserve"> </w:t>
      </w:r>
      <w:r w:rsidR="008A20CB" w:rsidRPr="008A1999">
        <w:rPr>
          <w:b/>
          <w:bCs/>
        </w:rPr>
        <w:t>W</w:t>
      </w:r>
      <w:r w:rsidR="005B5B40" w:rsidRPr="008A1999">
        <w:rPr>
          <w:b/>
          <w:bCs/>
        </w:rPr>
        <w:t xml:space="preserve">ould </w:t>
      </w:r>
      <w:r w:rsidR="00341FBF" w:rsidRPr="008A1999">
        <w:rPr>
          <w:b/>
          <w:bCs/>
        </w:rPr>
        <w:t>B</w:t>
      </w:r>
      <w:r w:rsidR="005B5B40" w:rsidRPr="008A1999">
        <w:rPr>
          <w:b/>
          <w:bCs/>
        </w:rPr>
        <w:t xml:space="preserve">e </w:t>
      </w:r>
      <w:r w:rsidR="008A20CB" w:rsidRPr="008A1999">
        <w:rPr>
          <w:b/>
          <w:bCs/>
        </w:rPr>
        <w:t>L</w:t>
      </w:r>
      <w:r w:rsidR="005B5B40" w:rsidRPr="008A1999">
        <w:rPr>
          <w:b/>
          <w:bCs/>
        </w:rPr>
        <w:t xml:space="preserve">ikely to </w:t>
      </w:r>
      <w:r w:rsidR="008A20CB" w:rsidRPr="008A1999">
        <w:rPr>
          <w:b/>
          <w:bCs/>
        </w:rPr>
        <w:t>C</w:t>
      </w:r>
      <w:r w:rsidR="00A606BD" w:rsidRPr="008A1999">
        <w:rPr>
          <w:b/>
          <w:bCs/>
        </w:rPr>
        <w:t xml:space="preserve">onfirm </w:t>
      </w:r>
      <w:r w:rsidR="00341FBF" w:rsidRPr="008A1999">
        <w:rPr>
          <w:b/>
          <w:bCs/>
        </w:rPr>
        <w:t>I</w:t>
      </w:r>
      <w:r w:rsidR="00A606BD" w:rsidRPr="008A1999">
        <w:rPr>
          <w:b/>
          <w:bCs/>
        </w:rPr>
        <w:t xml:space="preserve">ts </w:t>
      </w:r>
      <w:r w:rsidR="008A20CB" w:rsidRPr="008A1999">
        <w:rPr>
          <w:b/>
          <w:bCs/>
        </w:rPr>
        <w:t>P</w:t>
      </w:r>
      <w:r w:rsidR="00A606BD" w:rsidRPr="008A1999">
        <w:rPr>
          <w:b/>
          <w:bCs/>
        </w:rPr>
        <w:t xml:space="preserve">revious </w:t>
      </w:r>
      <w:r w:rsidR="008A20CB" w:rsidRPr="008A1999">
        <w:rPr>
          <w:b/>
          <w:bCs/>
        </w:rPr>
        <w:t>J</w:t>
      </w:r>
      <w:r w:rsidR="00A606BD" w:rsidRPr="008A1999">
        <w:rPr>
          <w:b/>
          <w:bCs/>
        </w:rPr>
        <w:t>urisprudence</w:t>
      </w:r>
      <w:r>
        <w:rPr>
          <w:b/>
          <w:bCs/>
        </w:rPr>
        <w:t>”</w:t>
      </w:r>
      <w:r w:rsidR="005B5B40" w:rsidRPr="008A1999">
        <w:rPr>
          <w:b/>
          <w:bCs/>
        </w:rPr>
        <w:t xml:space="preserve"> </w:t>
      </w:r>
    </w:p>
    <w:p w14:paraId="604B01EB" w14:textId="58657097" w:rsidR="00027424" w:rsidRPr="008A1999" w:rsidRDefault="00027424" w:rsidP="00DE24AA">
      <w:pPr>
        <w:jc w:val="both"/>
      </w:pPr>
      <w:r w:rsidRPr="008A1999">
        <w:t xml:space="preserve">The </w:t>
      </w:r>
      <w:r w:rsidR="00101C59">
        <w:t>fourth</w:t>
      </w:r>
      <w:r w:rsidR="00101C59" w:rsidRPr="008A1999">
        <w:t xml:space="preserve"> </w:t>
      </w:r>
      <w:r w:rsidRPr="008A1999">
        <w:t xml:space="preserve">justification offered by the </w:t>
      </w:r>
      <w:r w:rsidR="002F76A2" w:rsidRPr="008A1999">
        <w:t>domestic</w:t>
      </w:r>
      <w:r w:rsidR="00402BAD" w:rsidRPr="008A1999">
        <w:t xml:space="preserve"> </w:t>
      </w:r>
      <w:r w:rsidRPr="008A1999">
        <w:t xml:space="preserve">courts for maintaining a strong link between domestic jurisprudence and ECtHR jurisprudence </w:t>
      </w:r>
      <w:r w:rsidR="004162AD" w:rsidRPr="008A1999">
        <w:t xml:space="preserve">was articulated by Lord </w:t>
      </w:r>
      <w:proofErr w:type="spellStart"/>
      <w:r w:rsidR="004162AD" w:rsidRPr="008A1999">
        <w:t>Slynn</w:t>
      </w:r>
      <w:proofErr w:type="spellEnd"/>
      <w:r w:rsidR="004162AD" w:rsidRPr="008A1999">
        <w:t xml:space="preserve"> in </w:t>
      </w:r>
      <w:r w:rsidR="004162AD" w:rsidRPr="008A1999">
        <w:rPr>
          <w:i/>
          <w:iCs/>
        </w:rPr>
        <w:t>Alconbury</w:t>
      </w:r>
      <w:r w:rsidR="004162AD" w:rsidRPr="008A1999">
        <w:t>, where he said:</w:t>
      </w:r>
    </w:p>
    <w:p w14:paraId="37B3A932" w14:textId="026EBBE2" w:rsidR="004162AD" w:rsidRPr="008A1999" w:rsidRDefault="004162AD" w:rsidP="00DE24AA">
      <w:pPr>
        <w:jc w:val="both"/>
      </w:pPr>
    </w:p>
    <w:p w14:paraId="6D2A82F9" w14:textId="61B9F14A" w:rsidR="004162AD" w:rsidRPr="008A1999" w:rsidRDefault="004162AD" w:rsidP="004162AD">
      <w:pPr>
        <w:ind w:left="720"/>
        <w:jc w:val="both"/>
      </w:pPr>
      <w:r w:rsidRPr="008A1999">
        <w:t>“it seems to me that the court should follow any clear and constant jurisprudence of the European Court of Human Rights. If it does not do so there is at least a possibility that the case will go to that court, which is likely in the ordinary case to follow its own constant jurisprudence.”</w:t>
      </w:r>
      <w:r w:rsidRPr="008A1999">
        <w:rPr>
          <w:rStyle w:val="FootnoteReference"/>
        </w:rPr>
        <w:footnoteReference w:id="102"/>
      </w:r>
    </w:p>
    <w:p w14:paraId="1D302F4A" w14:textId="5C92E680" w:rsidR="007A22B6" w:rsidRPr="008A1999" w:rsidRDefault="007A22B6" w:rsidP="007A22B6">
      <w:pPr>
        <w:jc w:val="both"/>
      </w:pPr>
    </w:p>
    <w:p w14:paraId="0AA19452" w14:textId="6D72670E" w:rsidR="007A22B6" w:rsidRPr="008A1999" w:rsidRDefault="007A22B6" w:rsidP="00815FBB">
      <w:pPr>
        <w:jc w:val="both"/>
      </w:pPr>
      <w:r w:rsidRPr="008A1999">
        <w:t xml:space="preserve">Similarly, in </w:t>
      </w:r>
      <w:r w:rsidRPr="008A1999">
        <w:rPr>
          <w:i/>
          <w:iCs/>
        </w:rPr>
        <w:t xml:space="preserve">Amin </w:t>
      </w:r>
      <w:r w:rsidRPr="008A1999">
        <w:t xml:space="preserve">Lord Bingham said that </w:t>
      </w:r>
      <w:r w:rsidR="00815FBB" w:rsidRPr="008A1999">
        <w:t>domestic courts should follow Strasbourg because otherwise “</w:t>
      </w:r>
      <w:r w:rsidRPr="008A1999">
        <w:t>the dissatisfied litigant has a right to go to Strasbourg where existing jurisprudence is likely to be followed.”</w:t>
      </w:r>
      <w:r w:rsidR="002B3573" w:rsidRPr="008A1999">
        <w:rPr>
          <w:rStyle w:val="FootnoteReference"/>
        </w:rPr>
        <w:footnoteReference w:id="103"/>
      </w:r>
    </w:p>
    <w:p w14:paraId="631AE978" w14:textId="7B81E33A" w:rsidR="008F3B96" w:rsidRPr="008A1999" w:rsidRDefault="002B3573" w:rsidP="00DD6A6F">
      <w:pPr>
        <w:ind w:firstLine="720"/>
        <w:jc w:val="both"/>
      </w:pPr>
      <w:r w:rsidRPr="008A1999">
        <w:t xml:space="preserve">These statements illustrate an unwillingness by the </w:t>
      </w:r>
      <w:r w:rsidR="00883B75" w:rsidRPr="008A1999">
        <w:t xml:space="preserve">domestic </w:t>
      </w:r>
      <w:r w:rsidRPr="008A1999">
        <w:t>courts</w:t>
      </w:r>
      <w:r w:rsidR="001316A9">
        <w:t xml:space="preserve"> ever</w:t>
      </w:r>
      <w:r w:rsidRPr="008A1999">
        <w:t xml:space="preserve"> to </w:t>
      </w:r>
      <w:r w:rsidR="0087738F">
        <w:t>giv</w:t>
      </w:r>
      <w:r w:rsidR="001316A9">
        <w:t>e</w:t>
      </w:r>
      <w:r w:rsidR="0087738F">
        <w:t xml:space="preserve"> Convention rights less protection than Strasbourg</w:t>
      </w:r>
      <w:r w:rsidR="006A2808" w:rsidRPr="008A1999">
        <w:t xml:space="preserve">. They represent a relatively </w:t>
      </w:r>
      <w:r w:rsidR="009C2721">
        <w:t>“</w:t>
      </w:r>
      <w:r w:rsidR="006A2808" w:rsidRPr="008A1999">
        <w:t>risk-averse</w:t>
      </w:r>
      <w:r w:rsidR="009C2721">
        <w:t>”</w:t>
      </w:r>
      <w:r w:rsidR="006A2808" w:rsidRPr="008A1999">
        <w:t xml:space="preserve"> approach to disagreement with Strasbourg,</w:t>
      </w:r>
      <w:r w:rsidR="002422D0" w:rsidRPr="008A1999">
        <w:t xml:space="preserve"> t</w:t>
      </w:r>
      <w:r w:rsidR="001113C4" w:rsidRPr="008A1999">
        <w:t xml:space="preserve">he effect of </w:t>
      </w:r>
      <w:r w:rsidR="002422D0" w:rsidRPr="008A1999">
        <w:t>which</w:t>
      </w:r>
      <w:r w:rsidR="001113C4" w:rsidRPr="008A1999">
        <w:t xml:space="preserve"> is that domestic judges have sometimes felt bound to follow Strasbourg jurisprudence even where </w:t>
      </w:r>
      <w:r w:rsidR="00C8011C" w:rsidRPr="008A1999">
        <w:t xml:space="preserve">there </w:t>
      </w:r>
      <w:r w:rsidR="00241E12" w:rsidRPr="008A1999">
        <w:t>remains</w:t>
      </w:r>
      <w:r w:rsidR="00C8011C" w:rsidRPr="008A1999">
        <w:t xml:space="preserve"> reasonable doubt about whether Strasbourg would maintain its original position </w:t>
      </w:r>
      <w:r w:rsidR="009C2721">
        <w:t>“</w:t>
      </w:r>
      <w:r w:rsidR="00C8011C" w:rsidRPr="008A1999">
        <w:t>on appeal</w:t>
      </w:r>
      <w:r w:rsidR="009C2721">
        <w:t>”</w:t>
      </w:r>
      <w:r w:rsidR="00C8011C" w:rsidRPr="008A1999">
        <w:t xml:space="preserve"> were the domestic court to diverge from </w:t>
      </w:r>
      <w:r w:rsidR="00241E12" w:rsidRPr="008A1999">
        <w:t>it</w:t>
      </w:r>
      <w:r w:rsidR="00C8011C" w:rsidRPr="008A1999">
        <w:t xml:space="preserve">. </w:t>
      </w:r>
      <w:r w:rsidR="00A34BCA" w:rsidRPr="008A1999">
        <w:t xml:space="preserve">This risk-aversion is evident, for example, in </w:t>
      </w:r>
      <w:r w:rsidR="00285693" w:rsidRPr="008A1999">
        <w:t xml:space="preserve">Lord </w:t>
      </w:r>
      <w:r w:rsidR="00BC401D" w:rsidRPr="008A1999">
        <w:t>Reed’s</w:t>
      </w:r>
      <w:r w:rsidR="00285693" w:rsidRPr="008A1999">
        <w:t xml:space="preserve"> judgment in </w:t>
      </w:r>
      <w:r w:rsidR="00285693" w:rsidRPr="008A1999">
        <w:rPr>
          <w:i/>
          <w:iCs/>
        </w:rPr>
        <w:t>Hallam</w:t>
      </w:r>
      <w:r w:rsidR="00E47728" w:rsidRPr="008A1999">
        <w:rPr>
          <w:i/>
          <w:iCs/>
        </w:rPr>
        <w:t xml:space="preserve">. </w:t>
      </w:r>
      <w:r w:rsidR="008F3B96" w:rsidRPr="008A1999">
        <w:t xml:space="preserve">There, the </w:t>
      </w:r>
      <w:r w:rsidR="00D02C59" w:rsidRPr="008A1999">
        <w:t>majority</w:t>
      </w:r>
      <w:r w:rsidR="00E47728" w:rsidRPr="008A1999">
        <w:t xml:space="preserve"> </w:t>
      </w:r>
      <w:r w:rsidR="00D02C59" w:rsidRPr="008A1999">
        <w:t>declined to follow</w:t>
      </w:r>
      <w:r w:rsidR="00E47728" w:rsidRPr="008A1999">
        <w:t xml:space="preserve"> ECtHR’s position</w:t>
      </w:r>
      <w:r w:rsidR="00D02C59" w:rsidRPr="008A1999">
        <w:t xml:space="preserve">, taking the view that it was </w:t>
      </w:r>
      <w:r w:rsidR="00E47728" w:rsidRPr="008A1999">
        <w:t>“not just wrong but incoherent”,</w:t>
      </w:r>
      <w:r w:rsidR="00E47728" w:rsidRPr="008A1999">
        <w:rPr>
          <w:rStyle w:val="FootnoteReference"/>
        </w:rPr>
        <w:footnoteReference w:id="104"/>
      </w:r>
      <w:r w:rsidR="00A45D98" w:rsidRPr="008A1999">
        <w:t xml:space="preserve"> </w:t>
      </w:r>
      <w:r w:rsidR="00D02C59" w:rsidRPr="008A1999">
        <w:t>or was</w:t>
      </w:r>
      <w:r w:rsidR="00A45D98" w:rsidRPr="008A1999">
        <w:t xml:space="preserve"> unclear and created “considerable difficulties”,</w:t>
      </w:r>
      <w:r w:rsidR="00A45D98" w:rsidRPr="008A1999">
        <w:rPr>
          <w:rStyle w:val="FootnoteReference"/>
        </w:rPr>
        <w:footnoteReference w:id="105"/>
      </w:r>
      <w:r w:rsidR="00D02C59" w:rsidRPr="008A1999">
        <w:t xml:space="preserve"> or was “full of unsatisfactory and unsatisfying distinctions and uncertainties”</w:t>
      </w:r>
      <w:r w:rsidR="008F3B96" w:rsidRPr="008A1999">
        <w:t>.</w:t>
      </w:r>
      <w:r w:rsidR="00D02C59" w:rsidRPr="008A1999">
        <w:rPr>
          <w:rStyle w:val="FootnoteReference"/>
        </w:rPr>
        <w:footnoteReference w:id="106"/>
      </w:r>
      <w:r w:rsidR="008F3B96" w:rsidRPr="008A1999">
        <w:t xml:space="preserve"> Although the majority recognised that </w:t>
      </w:r>
      <w:r w:rsidR="00E92050" w:rsidRPr="008A1999">
        <w:t xml:space="preserve">it </w:t>
      </w:r>
      <w:r w:rsidR="00AB6810" w:rsidRPr="008A1999">
        <w:t>might be</w:t>
      </w:r>
      <w:r w:rsidR="00E92050" w:rsidRPr="008A1999">
        <w:t xml:space="preserve"> </w:t>
      </w:r>
      <w:r w:rsidR="00AB6810" w:rsidRPr="008A1999">
        <w:t>overly-</w:t>
      </w:r>
      <w:r w:rsidR="00E92050" w:rsidRPr="008A1999">
        <w:t xml:space="preserve">optimistic to think there was </w:t>
      </w:r>
      <w:r w:rsidR="008F3B96" w:rsidRPr="008A1999">
        <w:t>“</w:t>
      </w:r>
      <w:r w:rsidR="00E92050" w:rsidRPr="008A1999">
        <w:t>room for further constructive dialogue</w:t>
      </w:r>
      <w:r w:rsidR="008F3B96" w:rsidRPr="008A1999">
        <w:t>”</w:t>
      </w:r>
      <w:r w:rsidR="00E92050" w:rsidRPr="008A1999">
        <w:t xml:space="preserve"> with Strasb</w:t>
      </w:r>
      <w:r w:rsidR="00A430F6" w:rsidRPr="008A1999">
        <w:t>o</w:t>
      </w:r>
      <w:r w:rsidR="00E92050" w:rsidRPr="008A1999">
        <w:t>urg,</w:t>
      </w:r>
      <w:r w:rsidR="008F3B96" w:rsidRPr="008A1999">
        <w:t xml:space="preserve"> and regarded it as likely </w:t>
      </w:r>
      <w:r w:rsidR="008F3B96" w:rsidRPr="008A1999">
        <w:lastRenderedPageBreak/>
        <w:t xml:space="preserve">that Strasbourg would maintain its original position, they were </w:t>
      </w:r>
      <w:r w:rsidR="00E92050" w:rsidRPr="008A1999">
        <w:t xml:space="preserve">nonetheless </w:t>
      </w:r>
      <w:r w:rsidR="008F3B96" w:rsidRPr="008A1999">
        <w:t>willing to</w:t>
      </w:r>
      <w:r w:rsidR="00434998" w:rsidRPr="008A1999">
        <w:t xml:space="preserve"> take the risk of</w:t>
      </w:r>
      <w:r w:rsidR="008F3B96" w:rsidRPr="008A1999">
        <w:t xml:space="preserve"> </w:t>
      </w:r>
      <w:r w:rsidR="00692B05" w:rsidRPr="008A1999">
        <w:t>diverging</w:t>
      </w:r>
      <w:r w:rsidR="008F3B96" w:rsidRPr="008A1999">
        <w:t xml:space="preserve"> from Strasbourg.</w:t>
      </w:r>
      <w:r w:rsidR="00E92050" w:rsidRPr="008A1999">
        <w:rPr>
          <w:rStyle w:val="FootnoteReference"/>
        </w:rPr>
        <w:footnoteReference w:id="107"/>
      </w:r>
      <w:r w:rsidR="008F3B96" w:rsidRPr="008A1999">
        <w:t xml:space="preserve"> </w:t>
      </w:r>
      <w:r w:rsidR="00280153" w:rsidRPr="008A1999">
        <w:t xml:space="preserve">Lord Reed, on the other hand, was unwilling. </w:t>
      </w:r>
      <w:r w:rsidR="00D50A9C" w:rsidRPr="008A1999">
        <w:t>He thought that there was “unlikely to be scope for dialogue”.</w:t>
      </w:r>
      <w:r w:rsidR="00D50A9C" w:rsidRPr="008A1999">
        <w:rPr>
          <w:rStyle w:val="FootnoteReference"/>
        </w:rPr>
        <w:footnoteReference w:id="108"/>
      </w:r>
      <w:r w:rsidR="00D50A9C" w:rsidRPr="008A1999">
        <w:t xml:space="preserve"> As he said:</w:t>
      </w:r>
    </w:p>
    <w:p w14:paraId="3B7D3586" w14:textId="4D7B2627" w:rsidR="00280153" w:rsidRPr="008A1999" w:rsidRDefault="00280153" w:rsidP="00DE24AA">
      <w:pPr>
        <w:jc w:val="both"/>
      </w:pPr>
    </w:p>
    <w:p w14:paraId="08738328" w14:textId="070E5AA7" w:rsidR="00280153" w:rsidRPr="008A1999" w:rsidRDefault="00280153" w:rsidP="00D50A9C">
      <w:pPr>
        <w:ind w:left="720"/>
        <w:jc w:val="both"/>
      </w:pPr>
      <w:r w:rsidRPr="008A1999">
        <w:t xml:space="preserve">“I </w:t>
      </w:r>
      <w:r w:rsidR="00D50A9C" w:rsidRPr="008A1999">
        <w:t>fi</w:t>
      </w:r>
      <w:r w:rsidRPr="008A1999">
        <w:t>nd it di</w:t>
      </w:r>
      <w:r w:rsidR="00D50A9C" w:rsidRPr="008A1999">
        <w:t>ffi</w:t>
      </w:r>
      <w:r w:rsidRPr="008A1999">
        <w:t>cult to accept that this court should deliberately adopt a construction of the Convention which it knows to be out of step with the approach of the European Court of Human Rights, established by numerous Chamber judgments over the course of decades, and con</w:t>
      </w:r>
      <w:r w:rsidR="00D50A9C" w:rsidRPr="008A1999">
        <w:t>fi</w:t>
      </w:r>
      <w:r w:rsidRPr="008A1999">
        <w:t>rmed at the level of the Grand Chamber, in the absence of some compelling justi</w:t>
      </w:r>
      <w:r w:rsidR="00D50A9C" w:rsidRPr="008A1999">
        <w:t>fi</w:t>
      </w:r>
      <w:r w:rsidRPr="008A1999">
        <w:t>cation for taking such an exceptional step.</w:t>
      </w:r>
      <w:r w:rsidR="00D50A9C" w:rsidRPr="008A1999">
        <w:t>”</w:t>
      </w:r>
      <w:r w:rsidR="00D50A9C" w:rsidRPr="008A1999">
        <w:rPr>
          <w:rStyle w:val="FootnoteReference"/>
        </w:rPr>
        <w:footnoteReference w:id="109"/>
      </w:r>
    </w:p>
    <w:p w14:paraId="1C74733D" w14:textId="06B7E7AC" w:rsidR="00285693" w:rsidRPr="008A1999" w:rsidRDefault="00285693" w:rsidP="00DE24AA">
      <w:pPr>
        <w:jc w:val="both"/>
      </w:pPr>
    </w:p>
    <w:p w14:paraId="707E137C" w14:textId="7D0DDE9B" w:rsidR="003D7755" w:rsidRPr="008A1999" w:rsidRDefault="00D47EE8" w:rsidP="00DE24AA">
      <w:pPr>
        <w:jc w:val="both"/>
      </w:pPr>
      <w:r w:rsidRPr="008A1999">
        <w:t xml:space="preserve">Similarly, this risk-aversion is evident in the majority of the Supreme Court’s decision in </w:t>
      </w:r>
      <w:r w:rsidRPr="008A1999">
        <w:rPr>
          <w:i/>
          <w:iCs/>
        </w:rPr>
        <w:t xml:space="preserve">DSD </w:t>
      </w:r>
      <w:r w:rsidRPr="008A1999">
        <w:t xml:space="preserve">to follow Strasbourg jurisprudence despite </w:t>
      </w:r>
      <w:r w:rsidR="00A248F7" w:rsidRPr="008A1999">
        <w:t xml:space="preserve">the recognition by Lord </w:t>
      </w:r>
      <w:proofErr w:type="spellStart"/>
      <w:r w:rsidR="00A248F7" w:rsidRPr="008A1999">
        <w:t>Mance</w:t>
      </w:r>
      <w:proofErr w:type="spellEnd"/>
      <w:r w:rsidR="00A248F7" w:rsidRPr="008A1999">
        <w:t xml:space="preserve"> (who was in the majority) that “its foundations or rationale may be shaky”,</w:t>
      </w:r>
      <w:r w:rsidR="00A248F7" w:rsidRPr="008A1999">
        <w:rPr>
          <w:rStyle w:val="FootnoteReference"/>
        </w:rPr>
        <w:footnoteReference w:id="110"/>
      </w:r>
      <w:r w:rsidR="00A248F7" w:rsidRPr="008A1999">
        <w:t xml:space="preserve"> and despite Lord Hughes</w:t>
      </w:r>
      <w:r w:rsidR="0050233C" w:rsidRPr="008A1999">
        <w:t>’s</w:t>
      </w:r>
      <w:r w:rsidR="00A248F7" w:rsidRPr="008A1999">
        <w:t xml:space="preserve"> dissent</w:t>
      </w:r>
      <w:r w:rsidR="0050233C" w:rsidRPr="008A1999">
        <w:t xml:space="preserve">ing judgment </w:t>
      </w:r>
      <w:r w:rsidR="00DF7D4D" w:rsidRPr="008A1999">
        <w:t xml:space="preserve">in </w:t>
      </w:r>
      <w:r w:rsidR="0050233C" w:rsidRPr="008A1999">
        <w:t>which</w:t>
      </w:r>
      <w:r w:rsidR="00DF7D4D" w:rsidRPr="008A1999">
        <w:t xml:space="preserve"> he</w:t>
      </w:r>
      <w:r w:rsidR="00A248F7" w:rsidRPr="008A1999">
        <w:t xml:space="preserve"> </w:t>
      </w:r>
      <w:r w:rsidR="00BD4565" w:rsidRPr="008A1999">
        <w:t xml:space="preserve">was highly critical of the Strasbourg jurisprudence and </w:t>
      </w:r>
      <w:r w:rsidR="00A248F7" w:rsidRPr="008A1999">
        <w:t xml:space="preserve">opined that </w:t>
      </w:r>
      <w:r w:rsidRPr="008A1999">
        <w:t xml:space="preserve">large elements of </w:t>
      </w:r>
      <w:r w:rsidR="00A03808" w:rsidRPr="008A1999">
        <w:t>it</w:t>
      </w:r>
      <w:r w:rsidRPr="008A1999">
        <w:t xml:space="preserve"> were unclear and unexplained</w:t>
      </w:r>
      <w:r w:rsidR="00A248F7" w:rsidRPr="008A1999">
        <w:t>.</w:t>
      </w:r>
      <w:r w:rsidRPr="008A1999">
        <w:rPr>
          <w:rStyle w:val="FootnoteReference"/>
        </w:rPr>
        <w:footnoteReference w:id="111"/>
      </w:r>
      <w:r w:rsidR="00882022" w:rsidRPr="008A1999">
        <w:t xml:space="preserve"> And even in </w:t>
      </w:r>
      <w:r w:rsidR="00882022" w:rsidRPr="008A1999">
        <w:rPr>
          <w:i/>
          <w:iCs/>
        </w:rPr>
        <w:t>Horncastle</w:t>
      </w:r>
      <w:r w:rsidR="00697CC2" w:rsidRPr="008A1999">
        <w:rPr>
          <w:i/>
          <w:iCs/>
        </w:rPr>
        <w:t xml:space="preserve"> </w:t>
      </w:r>
      <w:r w:rsidR="00CD1225" w:rsidRPr="008A1999">
        <w:t>(</w:t>
      </w:r>
      <w:r w:rsidR="00882022" w:rsidRPr="008A1999">
        <w:t>where the Supreme Court was united in the view that the Strasbourg jurisprudence should not be followed</w:t>
      </w:r>
      <w:r w:rsidR="00CD1225" w:rsidRPr="008A1999">
        <w:t>)</w:t>
      </w:r>
      <w:r w:rsidR="00882022" w:rsidRPr="008A1999">
        <w:t xml:space="preserve"> </w:t>
      </w:r>
      <w:r w:rsidR="00430760" w:rsidRPr="008A1999">
        <w:t>the Court was at pains</w:t>
      </w:r>
      <w:r w:rsidR="00882022" w:rsidRPr="008A1999">
        <w:t xml:space="preserve"> </w:t>
      </w:r>
      <w:r w:rsidR="001533A6" w:rsidRPr="008A1999">
        <w:t xml:space="preserve">to show how likely it was that Strasbourg </w:t>
      </w:r>
      <w:r w:rsidR="003D7755" w:rsidRPr="008A1999">
        <w:t>would yield to their view.</w:t>
      </w:r>
      <w:r w:rsidR="003D7755" w:rsidRPr="008A1999">
        <w:rPr>
          <w:rStyle w:val="FootnoteReference"/>
        </w:rPr>
        <w:footnoteReference w:id="112"/>
      </w:r>
    </w:p>
    <w:p w14:paraId="12253F4F" w14:textId="1B9A2170" w:rsidR="008A76D6" w:rsidRPr="008A1999" w:rsidRDefault="00161B92" w:rsidP="00DD6A6F">
      <w:pPr>
        <w:ind w:firstLine="720"/>
        <w:jc w:val="both"/>
      </w:pPr>
      <w:r w:rsidRPr="008A1999">
        <w:t>However, in</w:t>
      </w:r>
      <w:r w:rsidR="00B06FFD" w:rsidRPr="008A1999">
        <w:t xml:space="preserve"> other cases the domestic courts have taken a less risk-averse approach</w:t>
      </w:r>
      <w:r w:rsidR="002D0CFF">
        <w:t>—</w:t>
      </w:r>
      <w:r w:rsidR="0018592D" w:rsidRPr="008A1999">
        <w:t xml:space="preserve">maintaining that the need to </w:t>
      </w:r>
      <w:r w:rsidR="0087738F">
        <w:t>give Convention rights as much protection as</w:t>
      </w:r>
      <w:r w:rsidR="0087738F" w:rsidRPr="008A1999">
        <w:t xml:space="preserve"> </w:t>
      </w:r>
      <w:r w:rsidR="0018592D" w:rsidRPr="008A1999">
        <w:t>Strasbourg</w:t>
      </w:r>
      <w:r w:rsidR="0087738F">
        <w:t>,</w:t>
      </w:r>
      <w:r w:rsidR="0018592D" w:rsidRPr="008A1999">
        <w:t xml:space="preserve"> even where the </w:t>
      </w:r>
      <w:r w:rsidR="00230E5C" w:rsidRPr="008A1999">
        <w:t>domestic</w:t>
      </w:r>
      <w:r w:rsidR="0018592D" w:rsidRPr="008A1999">
        <w:t xml:space="preserve"> c</w:t>
      </w:r>
      <w:r w:rsidR="00580558" w:rsidRPr="008A1999">
        <w:t>ourt regards Strasbourg’s interpretation of the Convention as incorr</w:t>
      </w:r>
      <w:r w:rsidR="00044187" w:rsidRPr="008A1999">
        <w:t>ect</w:t>
      </w:r>
      <w:r w:rsidR="0087738F">
        <w:t>,</w:t>
      </w:r>
      <w:r w:rsidR="00044187" w:rsidRPr="008A1999">
        <w:t xml:space="preserve"> arises only where there is no serious chance of the ECtHR</w:t>
      </w:r>
      <w:r w:rsidR="00612E88" w:rsidRPr="008A1999">
        <w:t xml:space="preserve"> changing its </w:t>
      </w:r>
      <w:r w:rsidR="0050313B">
        <w:t>view</w:t>
      </w:r>
      <w:r w:rsidR="00B06FFD" w:rsidRPr="008A1999">
        <w:t xml:space="preserve">. </w:t>
      </w:r>
      <w:r w:rsidR="00573629" w:rsidRPr="008A1999">
        <w:t xml:space="preserve">In these cases, the courts have emphasised that </w:t>
      </w:r>
      <w:r w:rsidR="00F02872" w:rsidRPr="008A1999">
        <w:t>Strasbourg should be followed only</w:t>
      </w:r>
      <w:r w:rsidR="00573629" w:rsidRPr="008A1999">
        <w:t xml:space="preserve"> because </w:t>
      </w:r>
      <w:r w:rsidR="00C6521F" w:rsidRPr="008A1999">
        <w:t>it is</w:t>
      </w:r>
      <w:r w:rsidR="00573629" w:rsidRPr="008A1999">
        <w:t xml:space="preserve"> near-certain </w:t>
      </w:r>
      <w:r w:rsidR="00C6521F" w:rsidRPr="008A1999">
        <w:t>that</w:t>
      </w:r>
      <w:r w:rsidR="00573629" w:rsidRPr="008A1999">
        <w:t xml:space="preserve"> Strasbourg</w:t>
      </w:r>
      <w:r w:rsidR="00C6521F" w:rsidRPr="008A1999">
        <w:t xml:space="preserve"> would </w:t>
      </w:r>
      <w:r w:rsidR="002D0CFF">
        <w:t>“</w:t>
      </w:r>
      <w:r w:rsidR="00346714" w:rsidRPr="008A1999">
        <w:t>stick to its guns</w:t>
      </w:r>
      <w:r w:rsidR="002D0CFF">
        <w:t>”</w:t>
      </w:r>
      <w:r w:rsidR="00C6521F" w:rsidRPr="008A1999">
        <w:t xml:space="preserve"> were the domestic courts to diverge</w:t>
      </w:r>
      <w:r w:rsidR="00087626" w:rsidRPr="008A1999">
        <w:t xml:space="preserve">. </w:t>
      </w:r>
      <w:r w:rsidR="00C07C86" w:rsidRPr="008A1999">
        <w:t xml:space="preserve">In </w:t>
      </w:r>
      <w:r w:rsidR="00C07C86" w:rsidRPr="008A1999">
        <w:rPr>
          <w:i/>
          <w:iCs/>
        </w:rPr>
        <w:t>AF (No 3)</w:t>
      </w:r>
      <w:r w:rsidR="00C07C86" w:rsidRPr="008A1999">
        <w:t>, there was evidently judicial disquiet about the position taken by Strasbourg</w:t>
      </w:r>
      <w:r w:rsidR="002D0CFF">
        <w:t>—</w:t>
      </w:r>
      <w:r w:rsidR="004F2208" w:rsidRPr="008A1999">
        <w:t>but their Lordships recognised that if they diverged from Strasbourg it would “almost certainly” confirm its original view, and that they had</w:t>
      </w:r>
      <w:r w:rsidR="00CD7AC1" w:rsidRPr="008A1999">
        <w:t xml:space="preserve"> </w:t>
      </w:r>
      <w:r w:rsidR="004F2208" w:rsidRPr="008A1999">
        <w:t>“in reality … no choice” but to abide by Strasbourg’s clear jurisprudence.</w:t>
      </w:r>
      <w:r w:rsidR="004F2208" w:rsidRPr="008A1999">
        <w:rPr>
          <w:rStyle w:val="FootnoteReference"/>
        </w:rPr>
        <w:footnoteReference w:id="113"/>
      </w:r>
      <w:r w:rsidR="001D71CD" w:rsidRPr="008A1999">
        <w:t xml:space="preserve"> </w:t>
      </w:r>
      <w:r w:rsidR="008A76D6" w:rsidRPr="008A1999">
        <w:t xml:space="preserve">A similar </w:t>
      </w:r>
      <w:r w:rsidR="00E2249D" w:rsidRPr="008A1999">
        <w:t>theme</w:t>
      </w:r>
      <w:r w:rsidR="008A76D6" w:rsidRPr="008A1999">
        <w:t xml:space="preserve"> </w:t>
      </w:r>
      <w:r w:rsidR="00E2249D" w:rsidRPr="008A1999">
        <w:t>appears</w:t>
      </w:r>
      <w:r w:rsidR="008A76D6" w:rsidRPr="008A1999">
        <w:t xml:space="preserve"> in </w:t>
      </w:r>
      <w:r w:rsidR="008A76D6" w:rsidRPr="008A1999">
        <w:rPr>
          <w:i/>
          <w:iCs/>
        </w:rPr>
        <w:t>Chester.</w:t>
      </w:r>
      <w:r w:rsidR="008A76D6" w:rsidRPr="008A1999">
        <w:rPr>
          <w:rStyle w:val="FootnoteReference"/>
        </w:rPr>
        <w:footnoteReference w:id="114"/>
      </w:r>
      <w:r w:rsidR="00005DA1" w:rsidRPr="008A1999">
        <w:rPr>
          <w:i/>
          <w:iCs/>
        </w:rPr>
        <w:t xml:space="preserve"> </w:t>
      </w:r>
      <w:r w:rsidR="00005DA1" w:rsidRPr="008A1999">
        <w:t xml:space="preserve">There, Lord </w:t>
      </w:r>
      <w:proofErr w:type="spellStart"/>
      <w:r w:rsidR="00005DA1" w:rsidRPr="008A1999">
        <w:t>Mance</w:t>
      </w:r>
      <w:proofErr w:type="spellEnd"/>
      <w:r w:rsidR="00005DA1" w:rsidRPr="008A1999">
        <w:t xml:space="preserve"> recognised that the process of </w:t>
      </w:r>
      <w:r w:rsidR="002D0CFF">
        <w:t>“</w:t>
      </w:r>
      <w:r w:rsidR="00005DA1" w:rsidRPr="008A1999">
        <w:t>dialogue</w:t>
      </w:r>
      <w:r w:rsidR="002D0CFF">
        <w:t>”</w:t>
      </w:r>
      <w:r w:rsidR="00005DA1" w:rsidRPr="008A1999">
        <w:t xml:space="preserve"> could be useful where a national court could have “confidence that the reasoned expression of a diverging national viewpoint will lead to a serious review of the position in Strasbourg”</w:t>
      </w:r>
      <w:r w:rsidR="00687251" w:rsidRPr="008A1999">
        <w:t>, but</w:t>
      </w:r>
      <w:r w:rsidR="00005DA1" w:rsidRPr="008A1999">
        <w:t xml:space="preserve"> that there were “limits to this process, particularly where the matter has been already to a Grand Chamber once or, even more so, as in this case, twice.”</w:t>
      </w:r>
      <w:r w:rsidR="00005DA1" w:rsidRPr="008A1999">
        <w:rPr>
          <w:rStyle w:val="FootnoteReference"/>
        </w:rPr>
        <w:footnoteReference w:id="115"/>
      </w:r>
      <w:r w:rsidR="008A76D6" w:rsidRPr="008A1999">
        <w:t xml:space="preserve"> </w:t>
      </w:r>
      <w:r w:rsidR="00F712B3" w:rsidRPr="008A1999">
        <w:t xml:space="preserve">Lord Sumption was explicit that </w:t>
      </w:r>
      <w:r w:rsidR="00AA6A7A" w:rsidRPr="008A1999">
        <w:t>he reached the conclusion he did only because</w:t>
      </w:r>
      <w:r w:rsidR="008C6D14" w:rsidRPr="008A1999">
        <w:t xml:space="preserve"> there was</w:t>
      </w:r>
      <w:r w:rsidR="00F712B3" w:rsidRPr="008A1999">
        <w:t xml:space="preserve"> “</w:t>
      </w:r>
      <w:r w:rsidR="00F712B3" w:rsidRPr="008A1999">
        <w:rPr>
          <w:i/>
          <w:iCs/>
        </w:rPr>
        <w:t>no realistic prospect</w:t>
      </w:r>
      <w:r w:rsidR="00F712B3" w:rsidRPr="008A1999">
        <w:t xml:space="preserve"> that further dialogue with Strasbourg [would] produce a change of heart”.</w:t>
      </w:r>
      <w:r w:rsidR="00F712B3" w:rsidRPr="008A1999">
        <w:rPr>
          <w:rStyle w:val="FootnoteReference"/>
        </w:rPr>
        <w:footnoteReference w:id="116"/>
      </w:r>
    </w:p>
    <w:p w14:paraId="46A9D63D" w14:textId="015967A7" w:rsidR="00C8092A" w:rsidRPr="008A1999" w:rsidRDefault="00425E3D" w:rsidP="00DD6A6F">
      <w:pPr>
        <w:ind w:firstLine="720"/>
        <w:jc w:val="both"/>
      </w:pPr>
      <w:r w:rsidRPr="008A1999">
        <w:t>This case law reveals</w:t>
      </w:r>
      <w:r w:rsidR="00311D64" w:rsidRPr="008A1999">
        <w:t xml:space="preserve"> </w:t>
      </w:r>
      <w:r w:rsidR="001A42EF" w:rsidRPr="008A1999">
        <w:t xml:space="preserve">competing </w:t>
      </w:r>
      <w:r w:rsidR="001E6FC2" w:rsidRPr="008A1999">
        <w:t>views</w:t>
      </w:r>
      <w:r w:rsidR="00311D64" w:rsidRPr="008A1999">
        <w:t xml:space="preserve"> within the </w:t>
      </w:r>
      <w:r w:rsidR="008E2EF9" w:rsidRPr="008A1999">
        <w:t xml:space="preserve">domestic </w:t>
      </w:r>
      <w:r w:rsidR="00870346" w:rsidRPr="008A1999">
        <w:t>case law</w:t>
      </w:r>
      <w:r w:rsidR="005030DB" w:rsidRPr="008A1999">
        <w:t xml:space="preserve"> about how “clear and constant” Strasbourg jurisprudence must be </w:t>
      </w:r>
      <w:r w:rsidR="005E760E" w:rsidRPr="008A1999">
        <w:t>fo</w:t>
      </w:r>
      <w:r w:rsidRPr="008A1999">
        <w:t xml:space="preserve">r domestic courts to regard themselves as effectively bound to </w:t>
      </w:r>
      <w:r w:rsidR="0087738F">
        <w:t xml:space="preserve">give Convention rights as much protection as </w:t>
      </w:r>
      <w:r w:rsidR="00D536C0">
        <w:t xml:space="preserve">does </w:t>
      </w:r>
      <w:r w:rsidR="0087738F">
        <w:t xml:space="preserve">Strasbourg </w:t>
      </w:r>
      <w:r w:rsidRPr="008A1999">
        <w:t>(absent special circumstances</w:t>
      </w:r>
      <w:r w:rsidRPr="008A1999">
        <w:rPr>
          <w:rStyle w:val="FootnoteReference"/>
        </w:rPr>
        <w:footnoteReference w:id="117"/>
      </w:r>
      <w:r w:rsidRPr="008A1999">
        <w:t>).</w:t>
      </w:r>
      <w:r w:rsidR="00FD3DAD" w:rsidRPr="008A1999">
        <w:t xml:space="preserve"> </w:t>
      </w:r>
      <w:r w:rsidR="005E7439" w:rsidRPr="008A1999">
        <w:t xml:space="preserve">On </w:t>
      </w:r>
      <w:r w:rsidR="00656A6E" w:rsidRPr="008A1999">
        <w:t>one</w:t>
      </w:r>
      <w:r w:rsidR="005E7439" w:rsidRPr="008A1999">
        <w:t xml:space="preserve"> view, </w:t>
      </w:r>
      <w:r w:rsidR="00FD3DAD" w:rsidRPr="008A1999">
        <w:t>domestic courts are effectively bound whe</w:t>
      </w:r>
      <w:r w:rsidR="005D0AAB" w:rsidRPr="008A1999">
        <w:t>never</w:t>
      </w:r>
      <w:r w:rsidR="00FD3DAD" w:rsidRPr="008A1999">
        <w:t xml:space="preserve"> </w:t>
      </w:r>
      <w:r w:rsidR="00FD3DAD" w:rsidRPr="008A1999">
        <w:lastRenderedPageBreak/>
        <w:t>Strasbourg is “likely” to follow its own jurisprudence</w:t>
      </w:r>
      <w:r w:rsidR="00A25A20">
        <w:t>—</w:t>
      </w:r>
      <w:r w:rsidR="005D0AAB" w:rsidRPr="008A1999">
        <w:t xml:space="preserve">even if there is a </w:t>
      </w:r>
      <w:r w:rsidR="003C5B64">
        <w:t>significant</w:t>
      </w:r>
      <w:r w:rsidR="005D0AAB" w:rsidRPr="008A1999">
        <w:t xml:space="preserve"> chance that Strasbourg might change its view</w:t>
      </w:r>
      <w:r w:rsidR="00FD3DAD" w:rsidRPr="008A1999">
        <w:t>.</w:t>
      </w:r>
      <w:r w:rsidR="005D0AAB" w:rsidRPr="008A1999">
        <w:t xml:space="preserve"> Whereas, on the </w:t>
      </w:r>
      <w:r w:rsidR="00656A6E" w:rsidRPr="008A1999">
        <w:t>other</w:t>
      </w:r>
      <w:r w:rsidR="005D0AAB" w:rsidRPr="008A1999">
        <w:t xml:space="preserve"> view, domestic courts are effectively bound</w:t>
      </w:r>
      <w:r w:rsidR="007A54B3" w:rsidRPr="008A1999">
        <w:t xml:space="preserve"> only</w:t>
      </w:r>
      <w:r w:rsidR="005D0AAB" w:rsidRPr="008A1999">
        <w:t xml:space="preserve"> where </w:t>
      </w:r>
      <w:r w:rsidR="007A54B3" w:rsidRPr="008A1999">
        <w:t>there is “no realistic prospect” that Strasbourg will change its view</w:t>
      </w:r>
      <w:r w:rsidR="00A11496" w:rsidRPr="008A1999">
        <w:t>.</w:t>
      </w:r>
      <w:r w:rsidR="00101A5C" w:rsidRPr="008A1999">
        <w:t xml:space="preserve"> </w:t>
      </w:r>
    </w:p>
    <w:p w14:paraId="7FB55824" w14:textId="7D912AD9" w:rsidR="00DE24AA" w:rsidRPr="008A1999" w:rsidRDefault="000A549F" w:rsidP="00DD6A6F">
      <w:pPr>
        <w:ind w:firstLine="720"/>
        <w:jc w:val="both"/>
      </w:pPr>
      <w:r w:rsidRPr="008A1999">
        <w:t>But</w:t>
      </w:r>
      <w:r w:rsidR="00485298" w:rsidRPr="008A1999">
        <w:t xml:space="preserve"> what is the view of the Strasbourg judges </w:t>
      </w:r>
      <w:r w:rsidR="00D73217" w:rsidRPr="008A1999">
        <w:t>themselves</w:t>
      </w:r>
      <w:r w:rsidR="00485298" w:rsidRPr="008A1999">
        <w:t>?</w:t>
      </w:r>
      <w:r w:rsidR="009B1F5F" w:rsidRPr="008A1999">
        <w:t xml:space="preserve"> There are at least two reasons for believing that th</w:t>
      </w:r>
      <w:r w:rsidR="00D37D9B" w:rsidRPr="008A1999">
        <w:t xml:space="preserve">e ECtHR’s own </w:t>
      </w:r>
      <w:r w:rsidR="00B16375" w:rsidRPr="008A1999">
        <w:t xml:space="preserve">approach </w:t>
      </w:r>
      <w:r w:rsidR="00D37D9B" w:rsidRPr="008A1999">
        <w:t xml:space="preserve">is once again, counter-intuitively, </w:t>
      </w:r>
      <w:r w:rsidR="00B16375" w:rsidRPr="008A1999">
        <w:t xml:space="preserve">more </w:t>
      </w:r>
      <w:r w:rsidR="006A2160">
        <w:t>consistent</w:t>
      </w:r>
      <w:r w:rsidR="00B16375" w:rsidRPr="008A1999">
        <w:t xml:space="preserve"> with the </w:t>
      </w:r>
      <w:r w:rsidR="00CF708C" w:rsidRPr="008A1999">
        <w:t xml:space="preserve">view that the domestic courts should feel entitled </w:t>
      </w:r>
      <w:r w:rsidR="00CD0A01">
        <w:t xml:space="preserve">sometimes </w:t>
      </w:r>
      <w:r w:rsidR="00CF708C" w:rsidRPr="008A1999">
        <w:t xml:space="preserve">to </w:t>
      </w:r>
      <w:r w:rsidR="00F40832">
        <w:t>give Convention rights less protection than</w:t>
      </w:r>
      <w:r w:rsidR="00CF708C" w:rsidRPr="008A1999">
        <w:t xml:space="preserve"> </w:t>
      </w:r>
      <w:r w:rsidR="00F40832">
        <w:t xml:space="preserve">does </w:t>
      </w:r>
      <w:r w:rsidR="003817E1" w:rsidRPr="008A1999">
        <w:t xml:space="preserve">Strasbourg unless there is genuinely no realistic prospect of the ECtHR </w:t>
      </w:r>
      <w:r w:rsidR="00D73217" w:rsidRPr="008A1999">
        <w:t>changing its mind.</w:t>
      </w:r>
    </w:p>
    <w:p w14:paraId="5A8B2FAD" w14:textId="5C4CAC3B" w:rsidR="001C352C" w:rsidRPr="008A1999" w:rsidRDefault="00455934" w:rsidP="00DD6A6F">
      <w:pPr>
        <w:ind w:firstLine="720"/>
        <w:jc w:val="both"/>
      </w:pPr>
      <w:r w:rsidRPr="008A1999">
        <w:t>The first reason for thin</w:t>
      </w:r>
      <w:r w:rsidR="00363085" w:rsidRPr="008A1999">
        <w:t xml:space="preserve">king that this less risk-averse view accords with the </w:t>
      </w:r>
      <w:r w:rsidR="002B7D32" w:rsidRPr="008A1999">
        <w:t>ECtHR’s approach is that</w:t>
      </w:r>
      <w:r w:rsidR="00C34D3C" w:rsidRPr="008A1999">
        <w:t xml:space="preserve"> even </w:t>
      </w:r>
      <w:r w:rsidR="002B7D32" w:rsidRPr="008A1999">
        <w:t>when</w:t>
      </w:r>
      <w:r w:rsidR="00C34D3C" w:rsidRPr="008A1999">
        <w:t xml:space="preserve"> Strasbourg’s jurisprudence </w:t>
      </w:r>
      <w:r w:rsidR="008B6F94" w:rsidRPr="008A1999">
        <w:t>appears</w:t>
      </w:r>
      <w:r w:rsidR="00C34D3C" w:rsidRPr="008A1999">
        <w:t xml:space="preserve"> settled dialogue with the </w:t>
      </w:r>
      <w:r w:rsidR="008B6F94" w:rsidRPr="008A1999">
        <w:t>domestic courts might nonetheless be productive.</w:t>
      </w:r>
      <w:r w:rsidR="00A31910" w:rsidRPr="008A1999">
        <w:t xml:space="preserve"> </w:t>
      </w:r>
      <w:r w:rsidR="00DD3EC7" w:rsidRPr="008A1999">
        <w:t xml:space="preserve">The ECtHR has repeated many times its willingness to depart from previous case law where there is “good reason” </w:t>
      </w:r>
      <w:r w:rsidR="00AE6E6C">
        <w:t>to</w:t>
      </w:r>
      <w:r w:rsidR="00DD3EC7" w:rsidRPr="008A1999">
        <w:t xml:space="preserve"> do so.</w:t>
      </w:r>
      <w:r w:rsidR="00DD3EC7" w:rsidRPr="008A1999">
        <w:rPr>
          <w:rStyle w:val="FootnoteReference"/>
        </w:rPr>
        <w:footnoteReference w:id="118"/>
      </w:r>
      <w:r w:rsidR="00174E5B" w:rsidRPr="008A1999">
        <w:t xml:space="preserve"> Clearly, one </w:t>
      </w:r>
      <w:r w:rsidR="00A25A20">
        <w:t>“</w:t>
      </w:r>
      <w:r w:rsidR="00174E5B" w:rsidRPr="008A1999">
        <w:t>good reason</w:t>
      </w:r>
      <w:r w:rsidR="00A25A20">
        <w:t>”</w:t>
      </w:r>
      <w:r w:rsidR="00174E5B" w:rsidRPr="008A1999">
        <w:t xml:space="preserve"> </w:t>
      </w:r>
      <w:r w:rsidR="00022505">
        <w:t>c</w:t>
      </w:r>
      <w:r w:rsidR="00174E5B" w:rsidRPr="008A1999">
        <w:t xml:space="preserve">ould be that a domestic court has taken a different view. Although “applicants have been the prime beneficiaries of the Court overruling its previous case law”, there have been </w:t>
      </w:r>
      <w:r w:rsidR="00354BC5" w:rsidRPr="008A1999">
        <w:t>several</w:t>
      </w:r>
      <w:r w:rsidR="00174E5B" w:rsidRPr="008A1999">
        <w:t xml:space="preserve"> instances of the Court overruling its previous case law which have benefitted states rather than applicants.</w:t>
      </w:r>
      <w:r w:rsidR="00174E5B" w:rsidRPr="008A1999">
        <w:rPr>
          <w:rStyle w:val="FootnoteReference"/>
        </w:rPr>
        <w:footnoteReference w:id="119"/>
      </w:r>
      <w:r w:rsidR="004F66DE" w:rsidRPr="008A1999">
        <w:t xml:space="preserve"> </w:t>
      </w:r>
      <w:r w:rsidR="006C3CE2" w:rsidRPr="008A1999">
        <w:t>And</w:t>
      </w:r>
      <w:r w:rsidR="00347DFE" w:rsidRPr="008A1999">
        <w:t xml:space="preserve"> the ECtHR</w:t>
      </w:r>
      <w:r w:rsidR="006C3CE2" w:rsidRPr="008A1999">
        <w:t xml:space="preserve"> has shown itself willing </w:t>
      </w:r>
      <w:r w:rsidR="001618EB">
        <w:t>sometimes</w:t>
      </w:r>
      <w:r w:rsidR="006C3CE2" w:rsidRPr="008A1999">
        <w:t xml:space="preserve"> to </w:t>
      </w:r>
      <w:r w:rsidR="00E90CD3" w:rsidRPr="008A1999">
        <w:t>turn back on its relatively settled case law under pressure from the domestic courts.</w:t>
      </w:r>
      <w:r w:rsidR="00E90CD3" w:rsidRPr="008A1999">
        <w:rPr>
          <w:rStyle w:val="FootnoteReference"/>
        </w:rPr>
        <w:footnoteReference w:id="120"/>
      </w:r>
      <w:r w:rsidR="00D75CEF" w:rsidRPr="008A1999">
        <w:t xml:space="preserve"> </w:t>
      </w:r>
      <w:r w:rsidR="005E7360" w:rsidRPr="008A1999">
        <w:t xml:space="preserve">Indeed, </w:t>
      </w:r>
      <w:r w:rsidR="009F2620" w:rsidRPr="008A1999">
        <w:t>if</w:t>
      </w:r>
      <w:r w:rsidR="006A307B" w:rsidRPr="008A1999">
        <w:t xml:space="preserve"> the Court </w:t>
      </w:r>
      <w:r w:rsidR="009F2620" w:rsidRPr="008A1999">
        <w:t>seemed</w:t>
      </w:r>
      <w:r w:rsidR="006A307B" w:rsidRPr="008A1999">
        <w:t xml:space="preserve"> willing to overrule its own precedents </w:t>
      </w:r>
      <w:r w:rsidR="005C1725" w:rsidRPr="008A1999">
        <w:t xml:space="preserve">in response </w:t>
      </w:r>
      <w:r w:rsidR="006A307B" w:rsidRPr="008A1999">
        <w:t xml:space="preserve">to dialogue with national courts even during its earlier </w:t>
      </w:r>
      <w:r w:rsidR="00A25A20">
        <w:t>“</w:t>
      </w:r>
      <w:r w:rsidR="006A307B" w:rsidRPr="008A1999">
        <w:t>substantive embedding phase</w:t>
      </w:r>
      <w:r w:rsidR="00A25A20">
        <w:t>”</w:t>
      </w:r>
      <w:r w:rsidR="006A307B" w:rsidRPr="008A1999">
        <w:t xml:space="preserve">, </w:t>
      </w:r>
      <w:r w:rsidR="009C290A" w:rsidRPr="008A1999">
        <w:t xml:space="preserve">now that the Court has moved into its </w:t>
      </w:r>
      <w:r w:rsidR="00A25A20">
        <w:t>“</w:t>
      </w:r>
      <w:r w:rsidR="009C290A" w:rsidRPr="008A1999">
        <w:t>procedural embedding phase</w:t>
      </w:r>
      <w:r w:rsidR="00A25A20">
        <w:t>”</w:t>
      </w:r>
      <w:r w:rsidR="005C1725" w:rsidRPr="008A1999">
        <w:t xml:space="preserve"> that willingness can only have increased</w:t>
      </w:r>
      <w:r w:rsidR="00D75E4D" w:rsidRPr="008A1999">
        <w:t>.</w:t>
      </w:r>
      <w:r w:rsidR="00D75E4D" w:rsidRPr="008A1999">
        <w:rPr>
          <w:rStyle w:val="FootnoteReference"/>
        </w:rPr>
        <w:footnoteReference w:id="121"/>
      </w:r>
      <w:r w:rsidR="00F54FD9" w:rsidRPr="008A1999">
        <w:t xml:space="preserve"> </w:t>
      </w:r>
      <w:r w:rsidR="0012748A" w:rsidRPr="008A1999">
        <w:t xml:space="preserve">Moreover, </w:t>
      </w:r>
      <w:r w:rsidR="00D902BC" w:rsidRPr="008A1999">
        <w:t xml:space="preserve">even in </w:t>
      </w:r>
      <w:r w:rsidR="004608A7" w:rsidRPr="008A1999">
        <w:t xml:space="preserve">a </w:t>
      </w:r>
      <w:r w:rsidR="00D902BC" w:rsidRPr="008A1999">
        <w:t>case where the ECtHR does stick to its guns</w:t>
      </w:r>
      <w:r w:rsidR="00916AD1" w:rsidRPr="008A1999">
        <w:t xml:space="preserve"> in the face of </w:t>
      </w:r>
      <w:r w:rsidR="00E55F0C" w:rsidRPr="008A1999">
        <w:t xml:space="preserve">a reasoned </w:t>
      </w:r>
      <w:r w:rsidR="00916AD1" w:rsidRPr="008A1999">
        <w:t xml:space="preserve">dissent from a domestic court, </w:t>
      </w:r>
      <w:r w:rsidR="004608A7" w:rsidRPr="008A1999">
        <w:t>such dissent might nonetheless be productive</w:t>
      </w:r>
      <w:r w:rsidR="00D06C12" w:rsidRPr="008A1999">
        <w:t xml:space="preserve"> in that </w:t>
      </w:r>
      <w:r w:rsidR="00022437" w:rsidRPr="008A1999">
        <w:t xml:space="preserve">it may </w:t>
      </w:r>
      <w:r w:rsidR="00D16435" w:rsidRPr="008A1999">
        <w:t>provide</w:t>
      </w:r>
      <w:r w:rsidR="00022437" w:rsidRPr="008A1999">
        <w:t xml:space="preserve"> the ECtHR </w:t>
      </w:r>
      <w:r w:rsidR="00D16435" w:rsidRPr="008A1999">
        <w:t xml:space="preserve">with </w:t>
      </w:r>
      <w:r w:rsidR="00022437" w:rsidRPr="008A1999">
        <w:t>opportunit</w:t>
      </w:r>
      <w:r w:rsidR="001C352C" w:rsidRPr="008A1999">
        <w:t xml:space="preserve">ies to </w:t>
      </w:r>
      <w:r w:rsidR="009F10E3" w:rsidRPr="008A1999">
        <w:t>improve the quality and persuasiveness of its reasoning by responding directly to arguments made by the domestic courts</w:t>
      </w:r>
      <w:r w:rsidR="00A64567" w:rsidRPr="008A1999">
        <w:t>.</w:t>
      </w:r>
      <w:r w:rsidR="00A62E08" w:rsidRPr="008A1999">
        <w:rPr>
          <w:rStyle w:val="FootnoteReference"/>
        </w:rPr>
        <w:footnoteReference w:id="122"/>
      </w:r>
    </w:p>
    <w:p w14:paraId="65ABC28A" w14:textId="3948B4DC" w:rsidR="00973EFA" w:rsidRPr="008A1999" w:rsidRDefault="00E731F9" w:rsidP="00DD6A6F">
      <w:pPr>
        <w:ind w:firstLine="720"/>
        <w:jc w:val="both"/>
      </w:pPr>
      <w:r w:rsidRPr="008A1999">
        <w:t xml:space="preserve">The </w:t>
      </w:r>
      <w:r w:rsidR="0064736A" w:rsidRPr="008A1999">
        <w:t xml:space="preserve">second </w:t>
      </w:r>
      <w:r w:rsidRPr="008A1999">
        <w:t xml:space="preserve">reason for thinking that </w:t>
      </w:r>
      <w:r w:rsidR="0064736A" w:rsidRPr="008A1999">
        <w:t>the ECtHR</w:t>
      </w:r>
      <w:r w:rsidR="007B7021" w:rsidRPr="008A1999">
        <w:t xml:space="preserve"> is itself inclined to </w:t>
      </w:r>
      <w:r w:rsidR="001618EB">
        <w:t>favour</w:t>
      </w:r>
      <w:r w:rsidR="007B7021" w:rsidRPr="008A1999">
        <w:t xml:space="preserve"> </w:t>
      </w:r>
      <w:r w:rsidR="001618EB" w:rsidRPr="008A1999">
        <w:t>the</w:t>
      </w:r>
      <w:r w:rsidR="001618EB">
        <w:t xml:space="preserve"> </w:t>
      </w:r>
      <w:r w:rsidR="001618EB" w:rsidRPr="008A1999">
        <w:rPr>
          <w:i/>
          <w:iCs/>
        </w:rPr>
        <w:t>Chester</w:t>
      </w:r>
      <w:r w:rsidR="001618EB">
        <w:rPr>
          <w:i/>
          <w:iCs/>
        </w:rPr>
        <w:t>/</w:t>
      </w:r>
      <w:r w:rsidR="001618EB" w:rsidRPr="008A1999">
        <w:rPr>
          <w:i/>
          <w:iCs/>
        </w:rPr>
        <w:t>AF (No 3)</w:t>
      </w:r>
      <w:r w:rsidR="001618EB">
        <w:rPr>
          <w:i/>
          <w:iCs/>
        </w:rPr>
        <w:t xml:space="preserve"> </w:t>
      </w:r>
      <w:r w:rsidR="0093742A" w:rsidRPr="008A1999">
        <w:t>approach</w:t>
      </w:r>
      <w:r w:rsidR="001618EB">
        <w:t xml:space="preserve">, </w:t>
      </w:r>
      <w:r w:rsidR="002C7C28" w:rsidRPr="008A1999">
        <w:t>is tha</w:t>
      </w:r>
      <w:r w:rsidR="00E342AD" w:rsidRPr="008A1999">
        <w:t>t</w:t>
      </w:r>
      <w:r w:rsidR="002C7C28" w:rsidRPr="008A1999">
        <w:t xml:space="preserve"> nothing about Strasbourg’s jurisprudence </w:t>
      </w:r>
      <w:r w:rsidR="00501CBB">
        <w:t>implies</w:t>
      </w:r>
      <w:r w:rsidR="00E342AD" w:rsidRPr="008A1999">
        <w:t xml:space="preserve"> that such an approach </w:t>
      </w:r>
      <w:r w:rsidR="0093742A" w:rsidRPr="008A1999">
        <w:t>would diminish the good reputation of the domestic courts with the ECtHR</w:t>
      </w:r>
      <w:r w:rsidR="00FB4456" w:rsidRPr="008A1999">
        <w:t xml:space="preserve"> or</w:t>
      </w:r>
      <w:r w:rsidR="0093742A" w:rsidRPr="008A1999">
        <w:t xml:space="preserve"> damage the mutual respect which exists between the</w:t>
      </w:r>
      <w:r w:rsidR="00A55F9B">
        <w:t>se</w:t>
      </w:r>
      <w:r w:rsidR="0093742A" w:rsidRPr="008A1999">
        <w:t xml:space="preserve"> </w:t>
      </w:r>
      <w:r w:rsidR="00FB4456" w:rsidRPr="008A1999">
        <w:t>courts</w:t>
      </w:r>
      <w:r w:rsidR="0093742A" w:rsidRPr="008A1999">
        <w:t>.</w:t>
      </w:r>
      <w:r w:rsidR="00097BEA" w:rsidRPr="008A1999">
        <w:t xml:space="preserve"> </w:t>
      </w:r>
      <w:r w:rsidR="00166472" w:rsidRPr="008A1999">
        <w:t xml:space="preserve">It would be one thing for </w:t>
      </w:r>
      <w:r w:rsidR="005E7774" w:rsidRPr="008A1999">
        <w:t xml:space="preserve">a </w:t>
      </w:r>
      <w:r w:rsidR="00166472" w:rsidRPr="008A1999">
        <w:t xml:space="preserve">domestic court to fail to engage </w:t>
      </w:r>
      <w:r w:rsidR="00CC7A1F" w:rsidRPr="008A1999">
        <w:t xml:space="preserve">seriously </w:t>
      </w:r>
      <w:r w:rsidR="00166472" w:rsidRPr="008A1999">
        <w:t xml:space="preserve">with the ECtHR’s jurisprudence, or </w:t>
      </w:r>
      <w:r w:rsidR="007F55D1" w:rsidRPr="008A1999">
        <w:t xml:space="preserve">to deal with that jurisprudence in bad faith: clearly, such an approach would risk alienating the ECtHR </w:t>
      </w:r>
      <w:r w:rsidR="006245DC" w:rsidRPr="008A1999">
        <w:t xml:space="preserve">and damaging the strong working relationship </w:t>
      </w:r>
      <w:r w:rsidR="00DB7211" w:rsidRPr="008A1999">
        <w:t>that</w:t>
      </w:r>
      <w:r w:rsidR="00A0007A" w:rsidRPr="008A1999">
        <w:t xml:space="preserve"> </w:t>
      </w:r>
      <w:r w:rsidR="006245DC" w:rsidRPr="008A1999">
        <w:t xml:space="preserve">has formed </w:t>
      </w:r>
      <w:r w:rsidR="00B64533" w:rsidRPr="008A1999">
        <w:t>between the</w:t>
      </w:r>
      <w:r w:rsidR="00065D15">
        <w:t xml:space="preserve">se </w:t>
      </w:r>
      <w:r w:rsidR="006245DC" w:rsidRPr="008A1999">
        <w:t xml:space="preserve">courts. </w:t>
      </w:r>
      <w:r w:rsidR="005E7774" w:rsidRPr="008A1999">
        <w:t xml:space="preserve">But it is quite </w:t>
      </w:r>
      <w:r w:rsidR="005E7774" w:rsidRPr="008A1999">
        <w:lastRenderedPageBreak/>
        <w:t>another thing for a domestic court to</w:t>
      </w:r>
      <w:r w:rsidR="0032562E" w:rsidRPr="008A1999">
        <w:t xml:space="preserve"> engage seriously with the ECtHR’s jurisprudence and apply the Convention principles in good fait</w:t>
      </w:r>
      <w:r w:rsidR="0024186B" w:rsidRPr="008A1999">
        <w:t>h</w:t>
      </w:r>
      <w:r w:rsidR="0032562E" w:rsidRPr="008A1999">
        <w:t xml:space="preserve">, </w:t>
      </w:r>
      <w:r w:rsidR="00E71FFD" w:rsidRPr="008A1999">
        <w:t>whilst</w:t>
      </w:r>
      <w:r w:rsidR="0032562E" w:rsidRPr="008A1999">
        <w:t xml:space="preserve"> </w:t>
      </w:r>
      <w:r w:rsidR="00097BEA" w:rsidRPr="008A1999">
        <w:t>ultimately</w:t>
      </w:r>
      <w:r w:rsidR="00E71FFD" w:rsidRPr="008A1999">
        <w:t xml:space="preserve"> coming</w:t>
      </w:r>
      <w:r w:rsidR="0032562E" w:rsidRPr="008A1999">
        <w:t xml:space="preserve"> to a different view from the ECtHR</w:t>
      </w:r>
      <w:r w:rsidR="00097BEA" w:rsidRPr="008A1999">
        <w:t>.</w:t>
      </w:r>
    </w:p>
    <w:p w14:paraId="68DE1B4D" w14:textId="582C769D" w:rsidR="00BB3F96" w:rsidRPr="008A1999" w:rsidRDefault="00973EFA" w:rsidP="00DD6A6F">
      <w:pPr>
        <w:ind w:firstLine="720"/>
        <w:jc w:val="both"/>
      </w:pPr>
      <w:r w:rsidRPr="008A1999">
        <w:t xml:space="preserve">If we examine the reasons why the domestic courts have such a good relationship with the ECtHR, it is evident that this has little to do with any kind of </w:t>
      </w:r>
      <w:r w:rsidR="00C40F2B">
        <w:t>“</w:t>
      </w:r>
      <w:r w:rsidRPr="008A1999">
        <w:t>slavish adherence</w:t>
      </w:r>
      <w:r w:rsidR="00C40F2B">
        <w:t>”</w:t>
      </w:r>
      <w:r w:rsidRPr="008A1999">
        <w:t xml:space="preserve"> to the Strasbourg jurisprudence, and much more to do with the quality of the domestic courts</w:t>
      </w:r>
      <w:r w:rsidR="00106B3A" w:rsidRPr="008A1999">
        <w:t>’</w:t>
      </w:r>
      <w:r w:rsidRPr="008A1999">
        <w:t xml:space="preserve"> reasoning about human rights. </w:t>
      </w:r>
      <w:proofErr w:type="spellStart"/>
      <w:r w:rsidR="00BD0F8D" w:rsidRPr="008A1999">
        <w:t>Bratza</w:t>
      </w:r>
      <w:proofErr w:type="spellEnd"/>
      <w:r w:rsidR="00E95DA1" w:rsidRPr="008A1999">
        <w:t>,</w:t>
      </w:r>
      <w:r w:rsidR="00BD0F8D" w:rsidRPr="008A1999">
        <w:t xml:space="preserve"> for example,</w:t>
      </w:r>
      <w:r w:rsidR="00E95DA1" w:rsidRPr="008A1999">
        <w:t xml:space="preserve"> argues </w:t>
      </w:r>
      <w:r w:rsidR="00435E3F" w:rsidRPr="008A1999">
        <w:t xml:space="preserve">the Strasbourg Court has been </w:t>
      </w:r>
      <w:r w:rsidR="00396333" w:rsidRPr="008A1999">
        <w:t>“</w:t>
      </w:r>
      <w:r w:rsidR="00435E3F" w:rsidRPr="008A1999">
        <w:t>particularly respectful of decisions emanating from courts in the United Kingdom … because of the universally accepted high quality of the analysis of the Convention issues in those judgments”.</w:t>
      </w:r>
      <w:r w:rsidR="00435E3F" w:rsidRPr="008A1999">
        <w:rPr>
          <w:rStyle w:val="FootnoteReference"/>
        </w:rPr>
        <w:footnoteReference w:id="123"/>
      </w:r>
      <w:r w:rsidR="009721C7" w:rsidRPr="008A1999">
        <w:t xml:space="preserve"> </w:t>
      </w:r>
      <w:r w:rsidR="009B422C" w:rsidRPr="008A1999">
        <w:t>Comments made by a number of different Strasbourg judges</w:t>
      </w:r>
      <w:r w:rsidR="008D45BB" w:rsidRPr="008A1999">
        <w:t xml:space="preserve"> </w:t>
      </w:r>
      <w:r w:rsidR="009B422C" w:rsidRPr="008A1999">
        <w:t>reveal the same attitude.</w:t>
      </w:r>
      <w:r w:rsidR="009B422C" w:rsidRPr="008A1999">
        <w:rPr>
          <w:rStyle w:val="FootnoteReference"/>
        </w:rPr>
        <w:footnoteReference w:id="124"/>
      </w:r>
      <w:r w:rsidR="009B422C" w:rsidRPr="008A1999">
        <w:t xml:space="preserve"> As one judge put it, there are have been relatively few adverse judgments against the UK in recent years </w:t>
      </w:r>
      <w:r w:rsidR="00683F01" w:rsidRPr="008A1999">
        <w:t>because “</w:t>
      </w:r>
      <w:r w:rsidR="007636DA" w:rsidRPr="008A1999">
        <w:t>the UK domestic judgments are so extremely well-reasoned, the quality is so high compared to other countries, that it is hard for Strasbourg to overrule”</w:t>
      </w:r>
      <w:r w:rsidR="00284102" w:rsidRPr="008A1999">
        <w:t>;</w:t>
      </w:r>
      <w:r w:rsidR="000111BF" w:rsidRPr="008A1999">
        <w:t xml:space="preserve"> </w:t>
      </w:r>
      <w:r w:rsidR="00CC6B28" w:rsidRPr="008A1999">
        <w:t xml:space="preserve">and </w:t>
      </w:r>
      <w:r w:rsidR="00284102" w:rsidRPr="008A1999">
        <w:t>an</w:t>
      </w:r>
      <w:r w:rsidR="000111BF" w:rsidRPr="008A1999">
        <w:t>other judge commented that British judges engage “</w:t>
      </w:r>
      <w:r w:rsidR="00820D70" w:rsidRPr="008A1999">
        <w:t>much more extensively</w:t>
      </w:r>
      <w:r w:rsidR="000111BF" w:rsidRPr="008A1999">
        <w:t>” with Convention principles than judges in other countries and were “better versed in the application of the case law”</w:t>
      </w:r>
      <w:r w:rsidR="00284102" w:rsidRPr="008A1999">
        <w:t>.</w:t>
      </w:r>
      <w:r w:rsidR="00284102" w:rsidRPr="008A1999">
        <w:rPr>
          <w:rStyle w:val="FootnoteReference"/>
        </w:rPr>
        <w:footnoteReference w:id="125"/>
      </w:r>
      <w:r w:rsidR="00BB3F96" w:rsidRPr="008A1999">
        <w:t xml:space="preserve"> Similarly, </w:t>
      </w:r>
      <w:r w:rsidR="00764DED">
        <w:t>J</w:t>
      </w:r>
      <w:r w:rsidR="00BB3F96" w:rsidRPr="008A1999">
        <w:t xml:space="preserve">udges Spano and </w:t>
      </w:r>
      <w:proofErr w:type="spellStart"/>
      <w:r w:rsidR="00BB3F96" w:rsidRPr="008A1999">
        <w:t>Eicke</w:t>
      </w:r>
      <w:proofErr w:type="spellEnd"/>
      <w:r w:rsidR="006D5343" w:rsidRPr="008A1999">
        <w:t xml:space="preserve"> </w:t>
      </w:r>
      <w:r w:rsidR="00BB3F96" w:rsidRPr="008A1999">
        <w:t>comment that though domestic courts have sometimes adopted different views from Strasbourg, they would “not necessarily categorise these as “problematic” cases”.</w:t>
      </w:r>
      <w:r w:rsidR="00BB3F96" w:rsidRPr="008A1999">
        <w:rPr>
          <w:rStyle w:val="FootnoteReference"/>
        </w:rPr>
        <w:footnoteReference w:id="126"/>
      </w:r>
    </w:p>
    <w:p w14:paraId="0C7C1476" w14:textId="1B6E5A86" w:rsidR="00CD2261" w:rsidRPr="008A1999" w:rsidRDefault="00CD2261" w:rsidP="00DD6A6F">
      <w:pPr>
        <w:ind w:firstLine="720"/>
        <w:jc w:val="both"/>
      </w:pPr>
      <w:r w:rsidRPr="008A1999">
        <w:t>Two distinctions are important here. On the one hand, we must distinguish between approaches that permit domestic courts routinely to diverge from core, settled elements of the ECtHR’s jurisprudence</w:t>
      </w:r>
      <w:r w:rsidR="00A2538D" w:rsidRPr="008A1999">
        <w:t xml:space="preserve">, </w:t>
      </w:r>
      <w:r w:rsidRPr="008A1999">
        <w:t xml:space="preserve">and approaches which permit divergence only where there remains a realistic possibility for dialogue with the ECtHR. Though the former would clearly be likely to weaken the UK’s standing, the latter would not. On the other hand, we must distinguish between divergence which results from executive or legislative acts, and divergence which is the result of interpretation by the domestic courts. In the former situation, if the ECtHR ultimately confirms its previous case law then the applicant may still have some difficulty in obtaining their desired result: they may have to wait for the executive or legislature to come up with a new Convention-compliant approach and their position depends on uncertain political factors. Whereas in the latter situation, if the ECtHR ultimately confirms its previous case law, then the applicant can be certain that the domestic courts will now immediately abide by Strasbourg’s ruling, given that no realistic possibility of dialogue remains. </w:t>
      </w:r>
    </w:p>
    <w:p w14:paraId="66CCC463" w14:textId="3AFC4971" w:rsidR="00EB344C" w:rsidRPr="008A1999" w:rsidRDefault="00446DED" w:rsidP="00DD6A6F">
      <w:pPr>
        <w:ind w:firstLine="720"/>
        <w:jc w:val="both"/>
      </w:pPr>
      <w:r w:rsidRPr="008A1999">
        <w:t>Provided that these caveats are obser</w:t>
      </w:r>
      <w:r w:rsidR="00D85882" w:rsidRPr="008A1999">
        <w:t xml:space="preserve">ved, there is no reason to suppose that </w:t>
      </w:r>
      <w:r w:rsidR="00D85882" w:rsidRPr="008A1999">
        <w:rPr>
          <w:i/>
          <w:iCs/>
        </w:rPr>
        <w:t>bona fi</w:t>
      </w:r>
      <w:r w:rsidR="008C50C6" w:rsidRPr="008A1999">
        <w:rPr>
          <w:i/>
          <w:iCs/>
        </w:rPr>
        <w:t xml:space="preserve">de </w:t>
      </w:r>
      <w:r w:rsidR="008C50C6" w:rsidRPr="008A1999">
        <w:t xml:space="preserve">jurisprudential divergence in the cause of promoting judicial dialogue will </w:t>
      </w:r>
      <w:r w:rsidR="00EB344C" w:rsidRPr="008A1999">
        <w:t>“</w:t>
      </w:r>
      <w:r w:rsidR="00F9598C" w:rsidRPr="008A1999">
        <w:t>weaken the UK’s position with regard to international politics” or “land the UK in hot water with the Council of Europe” as some commentators have suggested it might.</w:t>
      </w:r>
      <w:r w:rsidR="00F9598C" w:rsidRPr="008A1999">
        <w:rPr>
          <w:rStyle w:val="FootnoteReference"/>
        </w:rPr>
        <w:footnoteReference w:id="127"/>
      </w:r>
      <w:r w:rsidR="00844E04" w:rsidRPr="008A1999">
        <w:t xml:space="preserve"> On the contrary, </w:t>
      </w:r>
      <w:r w:rsidR="00082DE5" w:rsidRPr="008A1999">
        <w:t xml:space="preserve">so </w:t>
      </w:r>
      <w:r w:rsidR="00507BDD" w:rsidRPr="008A1999">
        <w:t>long</w:t>
      </w:r>
      <w:r w:rsidR="00082DE5" w:rsidRPr="008A1999">
        <w:t xml:space="preserve"> as any domestic </w:t>
      </w:r>
      <w:r w:rsidR="00631FA2" w:rsidRPr="008A1999">
        <w:t>divergence is based on thorough and good faith engagement with the Strasbourg jurisprudence</w:t>
      </w:r>
      <w:r w:rsidR="00082DE5" w:rsidRPr="008A1999">
        <w:t>, it seems highly unlikely that any bad blood will arise between Strasbourg and the domestic courts</w:t>
      </w:r>
      <w:r w:rsidR="00631FA2" w:rsidRPr="008A1999">
        <w:t xml:space="preserve">. </w:t>
      </w:r>
      <w:r w:rsidR="00BF09A1" w:rsidRPr="008A1999">
        <w:t>It does not seem, then, that</w:t>
      </w:r>
      <w:r w:rsidR="00133E7F" w:rsidRPr="008A1999">
        <w:t xml:space="preserve"> domestic divergence </w:t>
      </w:r>
      <w:r w:rsidR="000844CB" w:rsidRPr="008A1999">
        <w:t>will</w:t>
      </w:r>
      <w:r w:rsidR="00133E7F" w:rsidRPr="008A1999">
        <w:t xml:space="preserve"> </w:t>
      </w:r>
      <w:r w:rsidR="00282694" w:rsidRPr="008A1999">
        <w:t>“undermi</w:t>
      </w:r>
      <w:r w:rsidR="000844CB" w:rsidRPr="008A1999">
        <w:t>ne</w:t>
      </w:r>
      <w:r w:rsidR="00121B92" w:rsidRPr="008A1999">
        <w:t xml:space="preserve"> </w:t>
      </w:r>
      <w:r w:rsidR="00282694" w:rsidRPr="008A1999">
        <w:t>the effectiveness of the ECHR</w:t>
      </w:r>
      <w:r w:rsidR="00631FA2" w:rsidRPr="008A1999">
        <w:t xml:space="preserve"> </w:t>
      </w:r>
      <w:r w:rsidR="00121B92" w:rsidRPr="008A1999">
        <w:t>system</w:t>
      </w:r>
      <w:r w:rsidR="000844CB" w:rsidRPr="008A1999">
        <w:t xml:space="preserve"> </w:t>
      </w:r>
      <w:r w:rsidR="00121B92" w:rsidRPr="008A1999">
        <w:t xml:space="preserve">and </w:t>
      </w:r>
      <w:r w:rsidR="000844CB" w:rsidRPr="008A1999">
        <w:t>make</w:t>
      </w:r>
      <w:r w:rsidR="00121B92" w:rsidRPr="008A1999">
        <w:t xml:space="preserve"> a mockery of [the] State’s obligations”</w:t>
      </w:r>
      <w:r w:rsidR="007648B9" w:rsidRPr="008A1999">
        <w:t>,</w:t>
      </w:r>
      <w:r w:rsidR="00121B92" w:rsidRPr="008A1999">
        <w:t xml:space="preserve"> as some commentators have suggested</w:t>
      </w:r>
      <w:r w:rsidR="008B486B" w:rsidRPr="008A1999">
        <w:t>.</w:t>
      </w:r>
      <w:r w:rsidR="00FE3911" w:rsidRPr="008A1999">
        <w:rPr>
          <w:rStyle w:val="FootnoteReference"/>
        </w:rPr>
        <w:footnoteReference w:id="128"/>
      </w:r>
      <w:r w:rsidR="008B486B" w:rsidRPr="008A1999">
        <w:t xml:space="preserve"> Rather,</w:t>
      </w:r>
      <w:r w:rsidR="00121B92" w:rsidRPr="008A1999">
        <w:t xml:space="preserve"> </w:t>
      </w:r>
      <w:r w:rsidR="0019077A" w:rsidRPr="008A1999">
        <w:t>the ECtHR</w:t>
      </w:r>
      <w:r w:rsidR="00121B92" w:rsidRPr="008A1999">
        <w:t xml:space="preserve"> </w:t>
      </w:r>
      <w:r w:rsidR="00133E7F" w:rsidRPr="008A1999">
        <w:t xml:space="preserve">seems likely to be receptive to such disagreement and </w:t>
      </w:r>
      <w:r w:rsidR="008C0329" w:rsidRPr="008A1999">
        <w:t xml:space="preserve">to </w:t>
      </w:r>
      <w:r w:rsidR="00133E7F" w:rsidRPr="008A1999">
        <w:t xml:space="preserve">take it seriously, even where it </w:t>
      </w:r>
      <w:r w:rsidR="00B156AE" w:rsidRPr="008A1999">
        <w:t xml:space="preserve">ultimately </w:t>
      </w:r>
      <w:r w:rsidR="001B2282">
        <w:t>confirms</w:t>
      </w:r>
      <w:r w:rsidR="00133E7F" w:rsidRPr="008A1999">
        <w:t xml:space="preserve"> its previous case law.</w:t>
      </w:r>
    </w:p>
    <w:p w14:paraId="776675E0" w14:textId="77777777" w:rsidR="005474FA" w:rsidRPr="008A1999" w:rsidRDefault="005474FA" w:rsidP="00DE24AA">
      <w:pPr>
        <w:jc w:val="both"/>
      </w:pPr>
    </w:p>
    <w:p w14:paraId="36EEC408" w14:textId="2102D7B1" w:rsidR="00653359" w:rsidRPr="008A1999" w:rsidRDefault="00653359" w:rsidP="00AC4C58">
      <w:pPr>
        <w:pStyle w:val="ListParagraph"/>
        <w:numPr>
          <w:ilvl w:val="0"/>
          <w:numId w:val="2"/>
        </w:numPr>
        <w:jc w:val="both"/>
        <w:rPr>
          <w:b/>
          <w:bCs/>
        </w:rPr>
      </w:pPr>
      <w:r w:rsidRPr="008A1999">
        <w:rPr>
          <w:b/>
          <w:bCs/>
        </w:rPr>
        <w:t>Conclusion</w:t>
      </w:r>
    </w:p>
    <w:p w14:paraId="3E17CF53" w14:textId="2C1FAF1D" w:rsidR="00781D85" w:rsidRPr="008A1999" w:rsidRDefault="00781D85" w:rsidP="00781D85">
      <w:pPr>
        <w:jc w:val="both"/>
      </w:pPr>
      <w:r w:rsidRPr="008A1999">
        <w:lastRenderedPageBreak/>
        <w:t xml:space="preserve">The conclusion that emerges from this review of the ECtHR’s </w:t>
      </w:r>
      <w:r w:rsidR="00B81A33" w:rsidRPr="008A1999">
        <w:t>approach to</w:t>
      </w:r>
      <w:r w:rsidRPr="008A1999">
        <w:t xml:space="preserve"> principles such as subsidiarity, the margin of appreciation, European consensus, and judicial dialogue, is that any </w:t>
      </w:r>
      <w:r w:rsidR="00CB567A" w:rsidRPr="008A1999">
        <w:t xml:space="preserve">UK </w:t>
      </w:r>
      <w:r w:rsidRPr="008A1999">
        <w:t xml:space="preserve">demand for “slavish adherence” </w:t>
      </w:r>
      <w:r w:rsidR="00B81A33" w:rsidRPr="008A1999">
        <w:t>by</w:t>
      </w:r>
      <w:r w:rsidRPr="008A1999">
        <w:t xml:space="preserve"> the domestic courts to the judgments of the ECtHR is by no means replicated in Strasbourg itself. All four of the justifications for a strong version of the mirror principle most commonly advanced in the UK are </w:t>
      </w:r>
      <w:r w:rsidR="00C600C1" w:rsidRPr="008A1999">
        <w:t xml:space="preserve">in fact </w:t>
      </w:r>
      <w:r w:rsidRPr="008A1999">
        <w:t xml:space="preserve">at odds with the </w:t>
      </w:r>
      <w:r w:rsidR="00AE44CF" w:rsidRPr="008A1999">
        <w:t xml:space="preserve">prevailing </w:t>
      </w:r>
      <w:r w:rsidRPr="008A1999">
        <w:t xml:space="preserve">views of </w:t>
      </w:r>
      <w:r w:rsidR="00CD5512" w:rsidRPr="008A1999">
        <w:t xml:space="preserve">the </w:t>
      </w:r>
      <w:r w:rsidRPr="008A1999">
        <w:t xml:space="preserve">ECtHR about the proper relationship between </w:t>
      </w:r>
      <w:r w:rsidR="00DE21F2" w:rsidRPr="008A1999">
        <w:t>itself</w:t>
      </w:r>
      <w:r w:rsidRPr="008A1999">
        <w:t xml:space="preserve"> and the national courts.</w:t>
      </w:r>
    </w:p>
    <w:p w14:paraId="212FFB78" w14:textId="39593FA4" w:rsidR="00D40F3B" w:rsidRPr="008A1999" w:rsidRDefault="00D40F3B" w:rsidP="00DD6A6F">
      <w:pPr>
        <w:ind w:firstLine="720"/>
        <w:jc w:val="both"/>
      </w:pPr>
      <w:r w:rsidRPr="008A1999">
        <w:rPr>
          <w:color w:val="000000" w:themeColor="text1"/>
        </w:rPr>
        <w:t xml:space="preserve">It must be conceded, of course, that not every ECtHR judge has been enthusiastic about the Court’s procedural turn. In his dissenting judgment in </w:t>
      </w:r>
      <w:r w:rsidRPr="008A1999">
        <w:rPr>
          <w:i/>
          <w:iCs/>
          <w:color w:val="000000" w:themeColor="text1"/>
        </w:rPr>
        <w:t>Hutchinson</w:t>
      </w:r>
      <w:r w:rsidRPr="008A1999">
        <w:rPr>
          <w:color w:val="000000" w:themeColor="text1"/>
        </w:rPr>
        <w:t xml:space="preserve">, for example, Judge Pinto de Albuquerque was highly critical of the majority’s decision to backtrack on the Court’s previous decision in </w:t>
      </w:r>
      <w:proofErr w:type="spellStart"/>
      <w:r w:rsidRPr="008A1999">
        <w:rPr>
          <w:i/>
          <w:iCs/>
          <w:color w:val="000000" w:themeColor="text1"/>
        </w:rPr>
        <w:t>Vinter</w:t>
      </w:r>
      <w:proofErr w:type="spellEnd"/>
      <w:r w:rsidRPr="008A1999">
        <w:rPr>
          <w:i/>
          <w:iCs/>
          <w:color w:val="000000" w:themeColor="text1"/>
        </w:rPr>
        <w:t xml:space="preserve"> </w:t>
      </w:r>
      <w:r w:rsidRPr="008A1999">
        <w:rPr>
          <w:color w:val="000000" w:themeColor="text1"/>
        </w:rPr>
        <w:t>in response to dialogue with the Court of Appeal.</w:t>
      </w:r>
      <w:r w:rsidRPr="008A1999">
        <w:rPr>
          <w:rStyle w:val="FootnoteReference"/>
          <w:color w:val="000000" w:themeColor="text1"/>
        </w:rPr>
        <w:footnoteReference w:id="129"/>
      </w:r>
      <w:r w:rsidRPr="008A1999">
        <w:rPr>
          <w:color w:val="000000" w:themeColor="text1"/>
        </w:rPr>
        <w:t xml:space="preserve"> In a swingeing critique of the Court’s procedural turn, he said that Court was facing “an existential crisis” and that the Court changing its views in response to dialogue with domestic courts allowed domestic authorities to engage in “self-interested manipulation”.</w:t>
      </w:r>
      <w:r w:rsidRPr="008A1999">
        <w:rPr>
          <w:rStyle w:val="FootnoteReference"/>
          <w:color w:val="000000" w:themeColor="text1"/>
        </w:rPr>
        <w:footnoteReference w:id="130"/>
      </w:r>
      <w:r w:rsidRPr="008A1999">
        <w:rPr>
          <w:color w:val="000000" w:themeColor="text1"/>
        </w:rPr>
        <w:t xml:space="preserve"> He said that the majority’s decision represented </w:t>
      </w:r>
      <w:r w:rsidRPr="008A1999">
        <w:t>“a peak in a growing trend towards downgrading the role of the Court before certain domestic jurisdictions, with the serious risk that the Convention is applied with double standards”,  and he wholeheartedly endorsed Lord Rodger’s statement: “</w:t>
      </w:r>
      <w:r w:rsidR="008C4A7F" w:rsidRPr="008A1999">
        <w:t>Strasbourg has spoken, the case is closed</w:t>
      </w:r>
      <w:r w:rsidRPr="008A1999">
        <w:t>”.</w:t>
      </w:r>
      <w:r w:rsidRPr="008A1999">
        <w:rPr>
          <w:rStyle w:val="FootnoteReference"/>
        </w:rPr>
        <w:footnoteReference w:id="131"/>
      </w:r>
      <w:r w:rsidRPr="008A1999">
        <w:t xml:space="preserve"> Many of the same themes </w:t>
      </w:r>
      <w:r w:rsidR="00735F36" w:rsidRPr="008A1999">
        <w:t>are also developed</w:t>
      </w:r>
      <w:r w:rsidRPr="008A1999">
        <w:t xml:space="preserve"> in his recent dissenting judgment in </w:t>
      </w:r>
      <w:r w:rsidRPr="008A1999">
        <w:rPr>
          <w:i/>
          <w:iCs/>
        </w:rPr>
        <w:t>G.I.E.M.</w:t>
      </w:r>
      <w:r w:rsidRPr="008A1999">
        <w:t>, which he called “a pledge for the principle of universality of human rights”</w:t>
      </w:r>
      <w:r w:rsidR="00735F36" w:rsidRPr="008A1999">
        <w:t xml:space="preserve"> </w:t>
      </w:r>
      <w:r w:rsidRPr="008A1999">
        <w:t>and in which he again approved Lord Rodger’s maxim.</w:t>
      </w:r>
      <w:r w:rsidRPr="008A1999">
        <w:rPr>
          <w:rStyle w:val="FootnoteReference"/>
        </w:rPr>
        <w:footnoteReference w:id="132"/>
      </w:r>
    </w:p>
    <w:p w14:paraId="264DA4AD" w14:textId="66C7FC36" w:rsidR="00781D85" w:rsidRPr="00527E06" w:rsidRDefault="00490A58" w:rsidP="00DD6A6F">
      <w:pPr>
        <w:ind w:firstLine="720"/>
        <w:jc w:val="both"/>
      </w:pPr>
      <w:r>
        <w:t>D</w:t>
      </w:r>
      <w:r w:rsidR="00A05989" w:rsidRPr="008A1999">
        <w:t>espite these dissenting judicial voices, Strasbourg’s</w:t>
      </w:r>
      <w:r w:rsidR="000E7136" w:rsidRPr="008A1999">
        <w:t xml:space="preserve"> overall</w:t>
      </w:r>
      <w:r w:rsidR="00A05989" w:rsidRPr="008A1999">
        <w:t xml:space="preserve"> direction of travel is, I think, </w:t>
      </w:r>
      <w:r w:rsidR="001F7E10" w:rsidRPr="008A1999">
        <w:t xml:space="preserve">relatively </w:t>
      </w:r>
      <w:r w:rsidR="00A05989" w:rsidRPr="008A1999">
        <w:t>clear</w:t>
      </w:r>
      <w:r w:rsidR="00670415" w:rsidRPr="008A1999">
        <w:t>. T</w:t>
      </w:r>
      <w:r w:rsidR="00781D85" w:rsidRPr="008A1999">
        <w:t xml:space="preserve">hrough the development of the doctrines of subsidiarity and of the margin of appreciation (accentuated in recent years), the ECtHR has sought to encourage </w:t>
      </w:r>
      <w:r w:rsidR="0042425C" w:rsidRPr="008A1999">
        <w:t xml:space="preserve">national courts to </w:t>
      </w:r>
      <w:r w:rsidR="004A24B2" w:rsidRPr="008A1999">
        <w:t xml:space="preserve">contribute to the ongoing dialogue about the correct meaning of the Convention at the international level, and to develop their own </w:t>
      </w:r>
      <w:r w:rsidR="00781D85" w:rsidRPr="008A1999">
        <w:t>parallel human rights jurisprudence</w:t>
      </w:r>
      <w:r w:rsidR="004A24B2" w:rsidRPr="008A1999">
        <w:t xml:space="preserve"> at the national level</w:t>
      </w:r>
      <w:r w:rsidR="00781D85" w:rsidRPr="008A1999">
        <w:t>.</w:t>
      </w:r>
      <w:r w:rsidR="00E83A50" w:rsidRPr="008A1999">
        <w:t xml:space="preserve"> </w:t>
      </w:r>
      <w:r w:rsidR="004A24B2" w:rsidRPr="008A1999">
        <w:t xml:space="preserve">The </w:t>
      </w:r>
      <w:r w:rsidR="00781D85" w:rsidRPr="008A1999">
        <w:t xml:space="preserve">ECtHR has </w:t>
      </w:r>
      <w:r w:rsidR="004A24B2" w:rsidRPr="008A1999">
        <w:t xml:space="preserve">not insisted that the Convention must have a uniform meaning across all member states, and has instead </w:t>
      </w:r>
      <w:r w:rsidR="00781D85" w:rsidRPr="008A1999">
        <w:t xml:space="preserve">adopted a more flexible approach </w:t>
      </w:r>
      <w:r w:rsidR="0020545D">
        <w:t>whereby</w:t>
      </w:r>
      <w:r w:rsidR="00781D85" w:rsidRPr="008A1999">
        <w:t xml:space="preserve"> national courts are encouraged to develop distinct and nationally appropriate applications of the Convention rights.</w:t>
      </w:r>
      <w:r w:rsidR="00E83A50" w:rsidRPr="008A1999">
        <w:t xml:space="preserve"> </w:t>
      </w:r>
      <w:r w:rsidR="00781D85" w:rsidRPr="008A1999">
        <w:t xml:space="preserve">Finally, </w:t>
      </w:r>
      <w:r w:rsidR="00781D85" w:rsidRPr="008A1999">
        <w:rPr>
          <w:color w:val="000000" w:themeColor="text1"/>
        </w:rPr>
        <w:t>ECtHR judges have shown themselves willing to countenance continuing dialogue with the domestic courts</w:t>
      </w:r>
      <w:r w:rsidR="000B7E81" w:rsidRPr="008A1999">
        <w:rPr>
          <w:color w:val="000000" w:themeColor="text1"/>
        </w:rPr>
        <w:t xml:space="preserve"> even where </w:t>
      </w:r>
      <w:r w:rsidR="0072128D" w:rsidRPr="008A1999">
        <w:rPr>
          <w:color w:val="000000" w:themeColor="text1"/>
        </w:rPr>
        <w:t>they ultimately disagree about the substance.</w:t>
      </w:r>
    </w:p>
    <w:p w14:paraId="59F41268" w14:textId="1C0F3845" w:rsidR="007A3824" w:rsidRPr="008A1999" w:rsidRDefault="00781D85" w:rsidP="00DD6A6F">
      <w:pPr>
        <w:ind w:firstLine="720"/>
        <w:jc w:val="both"/>
      </w:pPr>
      <w:r w:rsidRPr="008A1999">
        <w:t xml:space="preserve">In short, whereas </w:t>
      </w:r>
      <w:r w:rsidR="00790B74" w:rsidRPr="008A1999">
        <w:t>Lord Bingham’s</w:t>
      </w:r>
      <w:r w:rsidRPr="008A1999">
        <w:t xml:space="preserve"> original version of the </w:t>
      </w:r>
      <w:r w:rsidR="00706FCC">
        <w:t>“</w:t>
      </w:r>
      <w:r w:rsidRPr="008A1999">
        <w:t>mirror principle</w:t>
      </w:r>
      <w:r w:rsidR="00706FCC">
        <w:t>”</w:t>
      </w:r>
      <w:r w:rsidRPr="008A1999">
        <w:t xml:space="preserve"> proposed a rigid linkage in both directions</w:t>
      </w:r>
      <w:r w:rsidR="00A30BD8" w:rsidRPr="008A1999">
        <w:t xml:space="preserve"> </w:t>
      </w:r>
      <w:r w:rsidRPr="008A1999">
        <w:t xml:space="preserve">and the modern version of the mirror principle maintains the rigidity of the link at least when it comes to </w:t>
      </w:r>
      <w:r w:rsidR="00BD6303" w:rsidRPr="008A1999">
        <w:t>domestic courts</w:t>
      </w:r>
      <w:r w:rsidRPr="008A1999">
        <w:t xml:space="preserve"> going any further than Strasbourg, the doctrines and views expounded by the judges of the ECtH</w:t>
      </w:r>
      <w:r w:rsidR="00A30BD8" w:rsidRPr="008A1999">
        <w:t>R</w:t>
      </w:r>
      <w:r w:rsidR="00706FCC">
        <w:t>—</w:t>
      </w:r>
      <w:r w:rsidR="00C161ED" w:rsidRPr="008A1999">
        <w:t>by contrast</w:t>
      </w:r>
      <w:r w:rsidR="00706FCC">
        <w:t>—</w:t>
      </w:r>
      <w:r w:rsidRPr="008A1999">
        <w:t xml:space="preserve">imply that the linkage ought to be </w:t>
      </w:r>
      <w:r w:rsidR="00BD6303" w:rsidRPr="008A1999">
        <w:t xml:space="preserve">relatively </w:t>
      </w:r>
      <w:r w:rsidRPr="008A1999">
        <w:t>flexible in both directions.</w:t>
      </w:r>
      <w:r w:rsidR="000D1772" w:rsidRPr="008A1999">
        <w:t xml:space="preserve"> </w:t>
      </w:r>
    </w:p>
    <w:sectPr w:rsidR="007A3824" w:rsidRPr="008A1999" w:rsidSect="000A7AFE">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ABC28" w14:textId="77777777" w:rsidR="00C55D0F" w:rsidRDefault="00C55D0F" w:rsidP="00DF1636">
      <w:r>
        <w:separator/>
      </w:r>
    </w:p>
  </w:endnote>
  <w:endnote w:type="continuationSeparator" w:id="0">
    <w:p w14:paraId="05832E8C" w14:textId="77777777" w:rsidR="00C55D0F" w:rsidRDefault="00C55D0F" w:rsidP="00DF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3918878"/>
      <w:docPartObj>
        <w:docPartGallery w:val="Page Numbers (Bottom of Page)"/>
        <w:docPartUnique/>
      </w:docPartObj>
    </w:sdtPr>
    <w:sdtContent>
      <w:p w14:paraId="4A3F5B06" w14:textId="70404712" w:rsidR="00A430F6" w:rsidRDefault="00A430F6" w:rsidP="005426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EF810" w14:textId="77777777" w:rsidR="00A430F6" w:rsidRDefault="00A430F6" w:rsidP="00A430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142450"/>
      <w:docPartObj>
        <w:docPartGallery w:val="Page Numbers (Bottom of Page)"/>
        <w:docPartUnique/>
      </w:docPartObj>
    </w:sdtPr>
    <w:sdtContent>
      <w:p w14:paraId="288857B7" w14:textId="5F47CEEE" w:rsidR="00A430F6" w:rsidRDefault="00A430F6" w:rsidP="005426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0DB93F" w14:textId="77777777" w:rsidR="00A430F6" w:rsidRDefault="00A430F6" w:rsidP="00A430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F256" w14:textId="77777777" w:rsidR="00C55D0F" w:rsidRDefault="00C55D0F" w:rsidP="00DF1636">
      <w:r>
        <w:separator/>
      </w:r>
    </w:p>
  </w:footnote>
  <w:footnote w:type="continuationSeparator" w:id="0">
    <w:p w14:paraId="0C86D634" w14:textId="77777777" w:rsidR="00C55D0F" w:rsidRDefault="00C55D0F" w:rsidP="00DF1636">
      <w:r>
        <w:continuationSeparator/>
      </w:r>
    </w:p>
  </w:footnote>
  <w:footnote w:id="1">
    <w:p w14:paraId="055F23E2" w14:textId="2108C7D2" w:rsidR="00655AA4" w:rsidRPr="00120830" w:rsidRDefault="00655AA4"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Pr="00120830">
        <w:rPr>
          <w:rFonts w:cs="Times New Roman"/>
          <w:i/>
          <w:iCs/>
        </w:rPr>
        <w:t>R. (Ullah) v Special Adjudicator</w:t>
      </w:r>
      <w:r w:rsidRPr="00120830">
        <w:rPr>
          <w:rFonts w:cs="Times New Roman"/>
        </w:rPr>
        <w:t xml:space="preserve"> [2004] UKHL 26; [2004] 2 A.C. 323, at [20]</w:t>
      </w:r>
      <w:r w:rsidR="00D202B2" w:rsidRPr="00120830">
        <w:rPr>
          <w:rFonts w:cs="Times New Roman"/>
        </w:rPr>
        <w:t>; for the term</w:t>
      </w:r>
      <w:r w:rsidR="006821A8">
        <w:rPr>
          <w:rFonts w:cs="Times New Roman"/>
        </w:rPr>
        <w:t>’s origin</w:t>
      </w:r>
      <w:r w:rsidR="00D202B2" w:rsidRPr="00120830">
        <w:rPr>
          <w:rFonts w:cs="Times New Roman"/>
        </w:rPr>
        <w:t xml:space="preserve"> see Jonathan Lewis, “The European Ceiling on Rights” </w:t>
      </w:r>
      <w:r w:rsidR="00BD6BC8">
        <w:rPr>
          <w:rFonts w:cs="Times New Roman"/>
        </w:rPr>
        <w:t>[</w:t>
      </w:r>
      <w:r w:rsidR="00D202B2" w:rsidRPr="00120830">
        <w:rPr>
          <w:rFonts w:cs="Times New Roman"/>
        </w:rPr>
        <w:t>2007</w:t>
      </w:r>
      <w:r w:rsidR="00BD6BC8">
        <w:rPr>
          <w:rFonts w:cs="Times New Roman"/>
        </w:rPr>
        <w:t>]</w:t>
      </w:r>
      <w:r w:rsidR="00D202B2" w:rsidRPr="00120830">
        <w:rPr>
          <w:rFonts w:cs="Times New Roman"/>
        </w:rPr>
        <w:t xml:space="preserve"> P.L. 720</w:t>
      </w:r>
      <w:r w:rsidR="00BD6BC8">
        <w:rPr>
          <w:rFonts w:cs="Times New Roman"/>
        </w:rPr>
        <w:t>.</w:t>
      </w:r>
    </w:p>
  </w:footnote>
  <w:footnote w:id="2">
    <w:p w14:paraId="5656AE0C" w14:textId="61990ECE" w:rsidR="00980714" w:rsidRPr="00120830" w:rsidRDefault="00980714" w:rsidP="00BD6BC8">
      <w:pPr>
        <w:pStyle w:val="FootnoteText"/>
        <w:jc w:val="both"/>
      </w:pPr>
      <w:r w:rsidRPr="00120830">
        <w:rPr>
          <w:rStyle w:val="FootnoteReference"/>
        </w:rPr>
        <w:footnoteRef/>
      </w:r>
      <w:r w:rsidRPr="00120830">
        <w:t xml:space="preserve"> </w:t>
      </w:r>
      <w:r w:rsidR="00F91066" w:rsidRPr="00120830">
        <w:rPr>
          <w:rFonts w:cs="Times New Roman"/>
        </w:rPr>
        <w:t xml:space="preserve">Lewis Graham, “The Modern Mirror Principle” </w:t>
      </w:r>
      <w:r w:rsidR="00BD6BC8">
        <w:rPr>
          <w:rFonts w:cs="Times New Roman"/>
        </w:rPr>
        <w:t>[</w:t>
      </w:r>
      <w:r w:rsidR="00F91066" w:rsidRPr="00120830">
        <w:rPr>
          <w:rFonts w:cs="Times New Roman"/>
        </w:rPr>
        <w:t>2021</w:t>
      </w:r>
      <w:r w:rsidR="00BD6BC8">
        <w:rPr>
          <w:rFonts w:cs="Times New Roman"/>
        </w:rPr>
        <w:t>]</w:t>
      </w:r>
      <w:r w:rsidR="00F91066" w:rsidRPr="00120830">
        <w:rPr>
          <w:rFonts w:cs="Times New Roman"/>
        </w:rPr>
        <w:t xml:space="preserve"> P.L. 523-541, 524</w:t>
      </w:r>
      <w:r w:rsidR="00BD6BC8">
        <w:rPr>
          <w:rFonts w:cs="Times New Roman"/>
        </w:rPr>
        <w:t>.</w:t>
      </w:r>
    </w:p>
  </w:footnote>
  <w:footnote w:id="3">
    <w:p w14:paraId="288E8C33" w14:textId="4EB0BED0" w:rsidR="00F91066" w:rsidRPr="00120830" w:rsidRDefault="00F91066" w:rsidP="00BD6BC8">
      <w:pPr>
        <w:pStyle w:val="FootnoteText"/>
        <w:jc w:val="both"/>
      </w:pPr>
      <w:r w:rsidRPr="00120830">
        <w:rPr>
          <w:rStyle w:val="FootnoteReference"/>
        </w:rPr>
        <w:footnoteRef/>
      </w:r>
      <w:r w:rsidRPr="00120830">
        <w:t xml:space="preserve"> </w:t>
      </w:r>
      <w:r w:rsidRPr="00120830">
        <w:rPr>
          <w:rFonts w:cs="Times New Roman"/>
        </w:rPr>
        <w:t xml:space="preserve">See especially </w:t>
      </w:r>
      <w:r w:rsidRPr="00120830">
        <w:rPr>
          <w:rFonts w:cs="Times New Roman"/>
          <w:i/>
          <w:iCs/>
        </w:rPr>
        <w:t xml:space="preserve">R. (Hallam) v Secretary of State for Justice </w:t>
      </w:r>
      <w:r w:rsidRPr="00120830">
        <w:rPr>
          <w:rFonts w:cs="Times New Roman"/>
        </w:rPr>
        <w:t>[2019] UKSC 2</w:t>
      </w:r>
      <w:r w:rsidR="00BD6BC8">
        <w:rPr>
          <w:rFonts w:cs="Times New Roman"/>
        </w:rPr>
        <w:t>;</w:t>
      </w:r>
      <w:r w:rsidRPr="00120830">
        <w:rPr>
          <w:rFonts w:cs="Times New Roman"/>
        </w:rPr>
        <w:t xml:space="preserve"> [2020] A.C. 279; </w:t>
      </w:r>
      <w:r w:rsidRPr="00120830">
        <w:rPr>
          <w:rFonts w:cs="Times New Roman"/>
          <w:i/>
          <w:iCs/>
        </w:rPr>
        <w:t>R. (</w:t>
      </w:r>
      <w:proofErr w:type="spellStart"/>
      <w:r w:rsidRPr="00120830">
        <w:rPr>
          <w:rFonts w:cs="Times New Roman"/>
          <w:i/>
          <w:iCs/>
        </w:rPr>
        <w:t>Kaiyam</w:t>
      </w:r>
      <w:proofErr w:type="spellEnd"/>
      <w:r w:rsidRPr="00120830">
        <w:rPr>
          <w:rFonts w:cs="Times New Roman"/>
          <w:i/>
          <w:iCs/>
        </w:rPr>
        <w:t>) v Secretary of State for Justice</w:t>
      </w:r>
      <w:r w:rsidRPr="00120830">
        <w:rPr>
          <w:rFonts w:cs="Times New Roman"/>
        </w:rPr>
        <w:t xml:space="preserve"> [2014] UKSC 66; [2015] A.C. 1344; and </w:t>
      </w:r>
      <w:r w:rsidRPr="00120830">
        <w:rPr>
          <w:rFonts w:cs="Times New Roman"/>
          <w:i/>
          <w:iCs/>
        </w:rPr>
        <w:t>R. (Hicks) v Commissioner of Police of the Metropolis</w:t>
      </w:r>
      <w:r w:rsidRPr="00120830">
        <w:rPr>
          <w:rFonts w:cs="Times New Roman"/>
        </w:rPr>
        <w:t xml:space="preserve"> [2017] UKSC 9; [2017] A.C. 256</w:t>
      </w:r>
      <w:r w:rsidR="00BD6BC8">
        <w:rPr>
          <w:rFonts w:cs="Times New Roman"/>
        </w:rPr>
        <w:t>.</w:t>
      </w:r>
    </w:p>
  </w:footnote>
  <w:footnote w:id="4">
    <w:p w14:paraId="2D0CC69F" w14:textId="5421BC86" w:rsidR="00D2093A" w:rsidRPr="00120830" w:rsidRDefault="00D2093A" w:rsidP="00BD6BC8">
      <w:pPr>
        <w:pStyle w:val="FootnoteText"/>
        <w:jc w:val="both"/>
      </w:pPr>
      <w:r w:rsidRPr="00120830">
        <w:rPr>
          <w:rStyle w:val="FootnoteReference"/>
        </w:rPr>
        <w:footnoteRef/>
      </w:r>
      <w:r w:rsidRPr="00120830">
        <w:t xml:space="preserve"> </w:t>
      </w:r>
      <w:r w:rsidRPr="00120830">
        <w:rPr>
          <w:rFonts w:cs="Times New Roman"/>
          <w:i/>
          <w:iCs/>
        </w:rPr>
        <w:t xml:space="preserve">R. (AB) v Secretary of State for Justice </w:t>
      </w:r>
      <w:r w:rsidRPr="00120830">
        <w:rPr>
          <w:rFonts w:cs="Times New Roman"/>
        </w:rPr>
        <w:t>[2021] UKSC 28; [2021] 3 W</w:t>
      </w:r>
      <w:r w:rsidR="00BD6BC8">
        <w:rPr>
          <w:rFonts w:cs="Times New Roman"/>
        </w:rPr>
        <w:t>.</w:t>
      </w:r>
      <w:r w:rsidRPr="00120830">
        <w:rPr>
          <w:rFonts w:cs="Times New Roman"/>
        </w:rPr>
        <w:t>L</w:t>
      </w:r>
      <w:r w:rsidR="00BD6BC8">
        <w:rPr>
          <w:rFonts w:cs="Times New Roman"/>
        </w:rPr>
        <w:t>.</w:t>
      </w:r>
      <w:r w:rsidRPr="00120830">
        <w:rPr>
          <w:rFonts w:cs="Times New Roman"/>
        </w:rPr>
        <w:t>R</w:t>
      </w:r>
      <w:r w:rsidR="00BD6BC8">
        <w:rPr>
          <w:rFonts w:cs="Times New Roman"/>
        </w:rPr>
        <w:t>.</w:t>
      </w:r>
      <w:r w:rsidRPr="00120830">
        <w:rPr>
          <w:rFonts w:cs="Times New Roman"/>
        </w:rPr>
        <w:t xml:space="preserve"> 494</w:t>
      </w:r>
      <w:r w:rsidR="00BD6BC8">
        <w:rPr>
          <w:rFonts w:cs="Times New Roman"/>
        </w:rPr>
        <w:t>.</w:t>
      </w:r>
    </w:p>
  </w:footnote>
  <w:footnote w:id="5">
    <w:p w14:paraId="1A0EC247" w14:textId="68147C08" w:rsidR="00D2093A" w:rsidRPr="00120830" w:rsidRDefault="00D2093A" w:rsidP="00BD6BC8">
      <w:pPr>
        <w:pStyle w:val="FootnoteText"/>
        <w:jc w:val="both"/>
      </w:pPr>
      <w:r w:rsidRPr="00120830">
        <w:rPr>
          <w:rStyle w:val="FootnoteReference"/>
        </w:rPr>
        <w:footnoteRef/>
      </w:r>
      <w:r w:rsidRPr="00120830">
        <w:t xml:space="preserve"> </w:t>
      </w:r>
      <w:r w:rsidRPr="00120830">
        <w:rPr>
          <w:rFonts w:cs="Times New Roman"/>
          <w:i/>
          <w:iCs/>
        </w:rPr>
        <w:t>Elan-Cane v Secretary of State for the Home Department</w:t>
      </w:r>
      <w:r w:rsidRPr="00120830">
        <w:rPr>
          <w:rFonts w:cs="Times New Roman"/>
        </w:rPr>
        <w:t xml:space="preserve"> [2021] UKSC 56; [2022] 2 W</w:t>
      </w:r>
      <w:r w:rsidR="00BD6BC8">
        <w:rPr>
          <w:rFonts w:cs="Times New Roman"/>
        </w:rPr>
        <w:t>.</w:t>
      </w:r>
      <w:r w:rsidRPr="00120830">
        <w:rPr>
          <w:rFonts w:cs="Times New Roman"/>
        </w:rPr>
        <w:t>L</w:t>
      </w:r>
      <w:r w:rsidR="00BD6BC8">
        <w:rPr>
          <w:rFonts w:cs="Times New Roman"/>
        </w:rPr>
        <w:t>.</w:t>
      </w:r>
      <w:r w:rsidRPr="00120830">
        <w:rPr>
          <w:rFonts w:cs="Times New Roman"/>
        </w:rPr>
        <w:t>R</w:t>
      </w:r>
      <w:r w:rsidR="00BD6BC8">
        <w:rPr>
          <w:rFonts w:cs="Times New Roman"/>
        </w:rPr>
        <w:t>.</w:t>
      </w:r>
      <w:r w:rsidRPr="00120830">
        <w:rPr>
          <w:rFonts w:cs="Times New Roman"/>
        </w:rPr>
        <w:t xml:space="preserve"> 133</w:t>
      </w:r>
      <w:r w:rsidR="00BD6BC8">
        <w:rPr>
          <w:rFonts w:cs="Times New Roman"/>
        </w:rPr>
        <w:t>.</w:t>
      </w:r>
    </w:p>
  </w:footnote>
  <w:footnote w:id="6">
    <w:p w14:paraId="0CA0E7CB" w14:textId="74E71E23" w:rsidR="00517602" w:rsidRPr="009D2E1E" w:rsidRDefault="00517602" w:rsidP="00BD6BC8">
      <w:pPr>
        <w:pStyle w:val="FootnoteText"/>
        <w:jc w:val="both"/>
        <w:rPr>
          <w:rFonts w:cs="Times New Roman"/>
        </w:rPr>
      </w:pPr>
      <w:r>
        <w:rPr>
          <w:rStyle w:val="FootnoteReference"/>
        </w:rPr>
        <w:footnoteRef/>
      </w:r>
      <w:r w:rsidRPr="00517602">
        <w:t xml:space="preserve"> </w:t>
      </w:r>
      <w:r w:rsidR="00846FDE">
        <w:rPr>
          <w:rFonts w:cs="Times New Roman"/>
        </w:rPr>
        <w:t xml:space="preserve">For analysis of how these cases </w:t>
      </w:r>
      <w:r w:rsidR="003E3380">
        <w:rPr>
          <w:rFonts w:cs="Times New Roman"/>
        </w:rPr>
        <w:t xml:space="preserve">represent a </w:t>
      </w:r>
      <w:r w:rsidR="00846FDE">
        <w:rPr>
          <w:rFonts w:cs="Times New Roman"/>
        </w:rPr>
        <w:t xml:space="preserve">move towards a stricter mirror principle, see </w:t>
      </w:r>
      <w:r w:rsidR="00846FDE">
        <w:t>Jeremy Letwin, “</w:t>
      </w:r>
      <w:r w:rsidR="00846FDE" w:rsidRPr="005B58FC">
        <w:t>The Bill of Rights Bill and the Modern Mirror Principle</w:t>
      </w:r>
      <w:r w:rsidR="00846FDE">
        <w:t>” (</w:t>
      </w:r>
      <w:r w:rsidR="00846FDE" w:rsidRPr="005B58FC">
        <w:t>U.K. Const. L. Blog</w:t>
      </w:r>
      <w:r w:rsidR="00846FDE">
        <w:t xml:space="preserve">, </w:t>
      </w:r>
      <w:r w:rsidR="00846FDE" w:rsidRPr="005B58FC">
        <w:t>March 2023)</w:t>
      </w:r>
      <w:r w:rsidR="00846FDE">
        <w:t xml:space="preserve"> </w:t>
      </w:r>
      <w:r w:rsidR="00846FDE" w:rsidRPr="00565355">
        <w:rPr>
          <w:i/>
          <w:iCs/>
        </w:rPr>
        <w:t>https://ukconstitutionallaw.org/2023/03/14/jeremy-letwin-the-bill-of-rights-bill-and-the-modern-mirror-principle/</w:t>
      </w:r>
    </w:p>
  </w:footnote>
  <w:footnote w:id="7">
    <w:p w14:paraId="42EC9F49" w14:textId="71DAC61D" w:rsidR="003C3155" w:rsidRPr="00120830" w:rsidRDefault="003C3155" w:rsidP="00BD6BC8">
      <w:pPr>
        <w:pStyle w:val="FootnoteText"/>
        <w:jc w:val="both"/>
        <w:rPr>
          <w:i/>
          <w:iCs/>
        </w:rPr>
      </w:pPr>
      <w:r w:rsidRPr="00120830">
        <w:rPr>
          <w:rStyle w:val="FootnoteReference"/>
        </w:rPr>
        <w:footnoteRef/>
      </w:r>
      <w:r w:rsidRPr="00120830">
        <w:t xml:space="preserve"> </w:t>
      </w:r>
      <w:r w:rsidR="006821A8">
        <w:t>E.g.</w:t>
      </w:r>
      <w:r w:rsidR="00130B55" w:rsidRPr="00120830">
        <w:t xml:space="preserve"> </w:t>
      </w:r>
      <w:r w:rsidR="005A58DD" w:rsidRPr="00120830">
        <w:rPr>
          <w:rFonts w:cs="Times New Roman"/>
        </w:rPr>
        <w:t>Brenda Hale, “</w:t>
      </w:r>
      <w:proofErr w:type="spellStart"/>
      <w:r w:rsidR="005A58DD" w:rsidRPr="00120830">
        <w:rPr>
          <w:rFonts w:cs="Times New Roman"/>
        </w:rPr>
        <w:t>Argentoratum</w:t>
      </w:r>
      <w:proofErr w:type="spellEnd"/>
      <w:r w:rsidR="005A58DD" w:rsidRPr="00120830">
        <w:rPr>
          <w:rFonts w:cs="Times New Roman"/>
        </w:rPr>
        <w:t xml:space="preserve"> </w:t>
      </w:r>
      <w:proofErr w:type="spellStart"/>
      <w:r w:rsidR="005A58DD" w:rsidRPr="00120830">
        <w:rPr>
          <w:rFonts w:cs="Times New Roman"/>
        </w:rPr>
        <w:t>Locutum</w:t>
      </w:r>
      <w:proofErr w:type="spellEnd"/>
      <w:r w:rsidR="005A58DD" w:rsidRPr="00120830">
        <w:rPr>
          <w:rFonts w:cs="Times New Roman"/>
        </w:rPr>
        <w:t xml:space="preserve">: Is Strasbourg or the Supreme Court Supreme?” (2012) 12(1) H.R.L.R. 65; </w:t>
      </w:r>
      <w:r w:rsidR="00CE5989" w:rsidRPr="00120830">
        <w:rPr>
          <w:rFonts w:cs="Times New Roman"/>
        </w:rPr>
        <w:t>Brian</w:t>
      </w:r>
      <w:r w:rsidR="005A58DD" w:rsidRPr="00120830">
        <w:rPr>
          <w:rFonts w:cs="Times New Roman"/>
        </w:rPr>
        <w:t xml:space="preserve"> Kerr, “The UK Supreme Court—the modest </w:t>
      </w:r>
      <w:proofErr w:type="spellStart"/>
      <w:r w:rsidR="005A58DD" w:rsidRPr="00120830">
        <w:rPr>
          <w:rFonts w:cs="Times New Roman"/>
        </w:rPr>
        <w:t>underworker</w:t>
      </w:r>
      <w:proofErr w:type="spellEnd"/>
      <w:r w:rsidR="005A58DD" w:rsidRPr="00120830">
        <w:rPr>
          <w:rFonts w:cs="Times New Roman"/>
        </w:rPr>
        <w:t xml:space="preserve"> of Strasbourg?”, Clifford Chance Lecture, 25 January 2012; </w:t>
      </w:r>
      <w:r w:rsidR="00CE5989" w:rsidRPr="00120830">
        <w:rPr>
          <w:rFonts w:cs="Times New Roman"/>
        </w:rPr>
        <w:t>David</w:t>
      </w:r>
      <w:r w:rsidR="002B2F9F" w:rsidRPr="00120830">
        <w:rPr>
          <w:rFonts w:cs="Times New Roman"/>
        </w:rPr>
        <w:t xml:space="preserve"> Neuberger, “</w:t>
      </w:r>
      <w:r w:rsidR="002B2F9F" w:rsidRPr="00120830">
        <w:rPr>
          <w:rFonts w:cs="Times New Roman"/>
          <w:lang w:val="en-US"/>
        </w:rPr>
        <w:t>The role of judges in human rights jurisprudence: a comparison of the Australian and UK experience”, Conference at the Supreme Court of Victoria, 8 August 2014</w:t>
      </w:r>
      <w:r w:rsidR="00C35003" w:rsidRPr="00120830">
        <w:rPr>
          <w:rFonts w:cs="Times New Roman"/>
          <w:lang w:val="en-US"/>
        </w:rPr>
        <w:t xml:space="preserve">; and, </w:t>
      </w:r>
      <w:r w:rsidR="007F1C40" w:rsidRPr="00120830">
        <w:rPr>
          <w:rFonts w:cs="Times New Roman"/>
          <w:lang w:val="en-US"/>
        </w:rPr>
        <w:t>Robert</w:t>
      </w:r>
      <w:r w:rsidR="00C35003" w:rsidRPr="00120830">
        <w:rPr>
          <w:rFonts w:cs="Times New Roman"/>
          <w:lang w:val="en-US"/>
        </w:rPr>
        <w:t xml:space="preserve"> </w:t>
      </w:r>
      <w:proofErr w:type="spellStart"/>
      <w:r w:rsidR="00C35003" w:rsidRPr="00120830">
        <w:rPr>
          <w:rFonts w:cs="Times New Roman"/>
          <w:lang w:val="en-US"/>
        </w:rPr>
        <w:t>Carnwath</w:t>
      </w:r>
      <w:proofErr w:type="spellEnd"/>
      <w:r w:rsidR="00C35003" w:rsidRPr="00120830">
        <w:rPr>
          <w:rFonts w:cs="Times New Roman"/>
          <w:lang w:val="en-US"/>
        </w:rPr>
        <w:t>, “UK Courts and Strasbourg”, Rome, 20 September 2013</w:t>
      </w:r>
      <w:r w:rsidR="00BD6BC8">
        <w:rPr>
          <w:rFonts w:cs="Times New Roman"/>
          <w:lang w:val="en-US"/>
        </w:rPr>
        <w:t>.</w:t>
      </w:r>
    </w:p>
  </w:footnote>
  <w:footnote w:id="8">
    <w:p w14:paraId="3DC6CFBB" w14:textId="10E3D814" w:rsidR="008E0599" w:rsidRPr="00120830" w:rsidRDefault="008E0599" w:rsidP="00BD6BC8">
      <w:pPr>
        <w:pStyle w:val="FootnoteText"/>
        <w:jc w:val="both"/>
        <w:rPr>
          <w:rFonts w:cs="Times New Roman"/>
        </w:rPr>
      </w:pPr>
      <w:r w:rsidRPr="00120830">
        <w:rPr>
          <w:rStyle w:val="FootnoteReference"/>
        </w:rPr>
        <w:footnoteRef/>
      </w:r>
      <w:r w:rsidRPr="00120830">
        <w:t xml:space="preserve"> </w:t>
      </w:r>
      <w:r w:rsidR="00CB2936" w:rsidRPr="00120830">
        <w:t>Very recent contributions include, for example</w:t>
      </w:r>
      <w:r w:rsidR="00486C3B" w:rsidRPr="00120830">
        <w:t xml:space="preserve">: </w:t>
      </w:r>
      <w:r w:rsidR="00486C3B" w:rsidRPr="00120830">
        <w:rPr>
          <w:rFonts w:cs="Times New Roman"/>
        </w:rPr>
        <w:t>Graham, “The Modern Mirror Principle”;</w:t>
      </w:r>
      <w:r w:rsidR="00B8160F" w:rsidRPr="00120830">
        <w:rPr>
          <w:rFonts w:cs="Times New Roman"/>
        </w:rPr>
        <w:t xml:space="preserve"> </w:t>
      </w:r>
      <w:proofErr w:type="spellStart"/>
      <w:r w:rsidR="00B8160F" w:rsidRPr="00120830">
        <w:rPr>
          <w:rFonts w:cs="Times New Roman"/>
        </w:rPr>
        <w:t>Kacper</w:t>
      </w:r>
      <w:proofErr w:type="spellEnd"/>
      <w:r w:rsidR="00B8160F" w:rsidRPr="00120830">
        <w:rPr>
          <w:rFonts w:cs="Times New Roman"/>
        </w:rPr>
        <w:t xml:space="preserve"> Majewski,</w:t>
      </w:r>
      <w:r w:rsidR="009B6732" w:rsidRPr="00120830">
        <w:rPr>
          <w:rFonts w:cs="Times New Roman"/>
        </w:rPr>
        <w:t xml:space="preserve"> </w:t>
      </w:r>
      <w:r w:rsidR="00B8160F" w:rsidRPr="00120830">
        <w:rPr>
          <w:rFonts w:cs="Times New Roman"/>
        </w:rPr>
        <w:t xml:space="preserve">“Mirroring the Margin” </w:t>
      </w:r>
      <w:r w:rsidR="00BD6BC8">
        <w:rPr>
          <w:rFonts w:cs="Times New Roman"/>
        </w:rPr>
        <w:t>[</w:t>
      </w:r>
      <w:r w:rsidR="00B8160F" w:rsidRPr="00120830">
        <w:rPr>
          <w:rFonts w:cs="Times New Roman"/>
        </w:rPr>
        <w:t>2022</w:t>
      </w:r>
      <w:r w:rsidR="00BD6BC8">
        <w:rPr>
          <w:rFonts w:cs="Times New Roman"/>
        </w:rPr>
        <w:t>]</w:t>
      </w:r>
      <w:r w:rsidR="00B8160F" w:rsidRPr="00120830">
        <w:rPr>
          <w:rFonts w:cs="Times New Roman"/>
        </w:rPr>
        <w:t xml:space="preserve"> P.L. 553; and </w:t>
      </w:r>
      <w:r w:rsidR="00CB2936" w:rsidRPr="00120830">
        <w:rPr>
          <w:rFonts w:cs="Times New Roman"/>
        </w:rPr>
        <w:t xml:space="preserve">Adam Ramshaw, “A </w:t>
      </w:r>
      <w:r w:rsidR="00B8160F" w:rsidRPr="00120830">
        <w:rPr>
          <w:rFonts w:cs="Times New Roman"/>
        </w:rPr>
        <w:t>C</w:t>
      </w:r>
      <w:r w:rsidR="00CB2936" w:rsidRPr="00120830">
        <w:rPr>
          <w:rFonts w:cs="Times New Roman"/>
        </w:rPr>
        <w:t xml:space="preserve">rack in the </w:t>
      </w:r>
      <w:r w:rsidR="00B8160F" w:rsidRPr="00120830">
        <w:rPr>
          <w:rFonts w:cs="Times New Roman"/>
        </w:rPr>
        <w:t>M</w:t>
      </w:r>
      <w:r w:rsidR="00CB2936" w:rsidRPr="00120830">
        <w:rPr>
          <w:rFonts w:cs="Times New Roman"/>
        </w:rPr>
        <w:t xml:space="preserve">irror: </w:t>
      </w:r>
      <w:r w:rsidR="00B8160F" w:rsidRPr="00120830">
        <w:rPr>
          <w:rFonts w:cs="Times New Roman"/>
        </w:rPr>
        <w:t>R</w:t>
      </w:r>
      <w:r w:rsidR="00CB2936" w:rsidRPr="00120830">
        <w:rPr>
          <w:rFonts w:cs="Times New Roman"/>
        </w:rPr>
        <w:t xml:space="preserve">eclaiming the </w:t>
      </w:r>
      <w:r w:rsidR="00B8160F" w:rsidRPr="00120830">
        <w:rPr>
          <w:rFonts w:cs="Times New Roman"/>
        </w:rPr>
        <w:t>H</w:t>
      </w:r>
      <w:r w:rsidR="00CB2936" w:rsidRPr="00120830">
        <w:rPr>
          <w:rFonts w:cs="Times New Roman"/>
        </w:rPr>
        <w:t xml:space="preserve">uman </w:t>
      </w:r>
      <w:r w:rsidR="00B8160F" w:rsidRPr="00120830">
        <w:rPr>
          <w:rFonts w:cs="Times New Roman"/>
        </w:rPr>
        <w:t>R</w:t>
      </w:r>
      <w:r w:rsidR="00CB2936" w:rsidRPr="00120830">
        <w:rPr>
          <w:rFonts w:cs="Times New Roman"/>
        </w:rPr>
        <w:t xml:space="preserve">ights </w:t>
      </w:r>
      <w:r w:rsidR="00B8160F" w:rsidRPr="00120830">
        <w:rPr>
          <w:rFonts w:cs="Times New Roman"/>
        </w:rPr>
        <w:t>N</w:t>
      </w:r>
      <w:r w:rsidR="00CB2936" w:rsidRPr="00120830">
        <w:rPr>
          <w:rFonts w:cs="Times New Roman"/>
        </w:rPr>
        <w:t xml:space="preserve">arrative from Strasbourg in </w:t>
      </w:r>
      <w:r w:rsidR="00B8160F" w:rsidRPr="00120830">
        <w:rPr>
          <w:rFonts w:cs="Times New Roman"/>
        </w:rPr>
        <w:t>A</w:t>
      </w:r>
      <w:r w:rsidR="00CB2936" w:rsidRPr="00120830">
        <w:rPr>
          <w:rFonts w:cs="Times New Roman"/>
        </w:rPr>
        <w:t xml:space="preserve">genda </w:t>
      </w:r>
      <w:r w:rsidR="00B8160F" w:rsidRPr="00120830">
        <w:rPr>
          <w:rFonts w:cs="Times New Roman"/>
        </w:rPr>
        <w:t>S</w:t>
      </w:r>
      <w:r w:rsidR="00CB2936" w:rsidRPr="00120830">
        <w:rPr>
          <w:rFonts w:cs="Times New Roman"/>
        </w:rPr>
        <w:t xml:space="preserve">etting </w:t>
      </w:r>
      <w:r w:rsidR="00B8160F" w:rsidRPr="00120830">
        <w:rPr>
          <w:rFonts w:cs="Times New Roman"/>
        </w:rPr>
        <w:t>T</w:t>
      </w:r>
      <w:r w:rsidR="00CB2936" w:rsidRPr="00120830">
        <w:rPr>
          <w:rFonts w:cs="Times New Roman"/>
        </w:rPr>
        <w:t xml:space="preserve">heory and </w:t>
      </w:r>
      <w:r w:rsidR="00B8160F" w:rsidRPr="00120830">
        <w:rPr>
          <w:rFonts w:cs="Times New Roman"/>
        </w:rPr>
        <w:t>L</w:t>
      </w:r>
      <w:r w:rsidR="00CB2936" w:rsidRPr="00120830">
        <w:rPr>
          <w:rFonts w:cs="Times New Roman"/>
        </w:rPr>
        <w:t xml:space="preserve">egal </w:t>
      </w:r>
      <w:r w:rsidR="00B8160F" w:rsidRPr="00120830">
        <w:rPr>
          <w:rFonts w:cs="Times New Roman"/>
        </w:rPr>
        <w:t>N</w:t>
      </w:r>
      <w:r w:rsidR="00CB2936" w:rsidRPr="00120830">
        <w:rPr>
          <w:rFonts w:cs="Times New Roman"/>
        </w:rPr>
        <w:t xml:space="preserve">arrative” </w:t>
      </w:r>
      <w:r w:rsidR="00BD6BC8">
        <w:rPr>
          <w:rFonts w:cs="Times New Roman"/>
        </w:rPr>
        <w:t>[</w:t>
      </w:r>
      <w:r w:rsidR="00CB2936" w:rsidRPr="00120830">
        <w:rPr>
          <w:rFonts w:cs="Times New Roman"/>
        </w:rPr>
        <w:t>202</w:t>
      </w:r>
      <w:r w:rsidR="00BD6BC8">
        <w:rPr>
          <w:rFonts w:cs="Times New Roman"/>
        </w:rPr>
        <w:t>2]</w:t>
      </w:r>
      <w:r w:rsidR="00CB2936" w:rsidRPr="00120830">
        <w:rPr>
          <w:rFonts w:cs="Times New Roman"/>
        </w:rPr>
        <w:t xml:space="preserve"> E.H.R.L.R. 144</w:t>
      </w:r>
      <w:r w:rsidR="00BD6BC8">
        <w:rPr>
          <w:rFonts w:cs="Times New Roman"/>
        </w:rPr>
        <w:t>.</w:t>
      </w:r>
    </w:p>
  </w:footnote>
  <w:footnote w:id="9">
    <w:p w14:paraId="5F66BC15" w14:textId="17B32575" w:rsidR="009B6732" w:rsidRPr="00120830" w:rsidRDefault="009B6732" w:rsidP="00BD6BC8">
      <w:pPr>
        <w:pStyle w:val="FootnoteText"/>
        <w:jc w:val="both"/>
      </w:pPr>
      <w:r w:rsidRPr="00120830">
        <w:rPr>
          <w:rStyle w:val="FootnoteReference"/>
        </w:rPr>
        <w:footnoteRef/>
      </w:r>
      <w:r w:rsidRPr="00120830">
        <w:t xml:space="preserve"> </w:t>
      </w:r>
      <w:r w:rsidR="0092449F" w:rsidRPr="00120830">
        <w:t>Helen Fenwick and Roger Masterman, “The Conservative Project to ‘Break the Link between British Courts and Strasbourg’: Rhetoric or Reality?” (2017) 80(6) M.L.R. 1111</w:t>
      </w:r>
      <w:r w:rsidR="00BD6BC8">
        <w:t>.</w:t>
      </w:r>
    </w:p>
  </w:footnote>
  <w:footnote w:id="10">
    <w:p w14:paraId="4A80784A" w14:textId="4B560086" w:rsidR="00AD27A1" w:rsidRPr="00120830" w:rsidRDefault="00AD27A1" w:rsidP="00BD6BC8">
      <w:pPr>
        <w:pStyle w:val="FootnoteText"/>
        <w:jc w:val="both"/>
        <w:rPr>
          <w:rFonts w:cs="Times New Roman"/>
        </w:rPr>
      </w:pPr>
      <w:r w:rsidRPr="00120830">
        <w:rPr>
          <w:rStyle w:val="FootnoteReference"/>
        </w:rPr>
        <w:footnoteRef/>
      </w:r>
      <w:r w:rsidRPr="00120830">
        <w:t xml:space="preserve"> Clause 3(3)(a) provides that domestic courts “may not adopt an interpretation of the right that expands the protection conferred by the right unless the court has no reasonable doubt that the European Court of Human Rights would adopt that interpretation if the case were before it”. Clause 3(3)(b) provides that domestic courts “may adopt an interpretation of the right that diverges from Strasbourg jurisprudence”.</w:t>
      </w:r>
      <w:r w:rsidR="003C1D9A" w:rsidRPr="00120830">
        <w:t xml:space="preserve"> For commentary, see, for example, </w:t>
      </w:r>
      <w:r w:rsidR="005B58FC">
        <w:t>Letwin, “</w:t>
      </w:r>
      <w:r w:rsidR="005B58FC" w:rsidRPr="005B58FC">
        <w:t>The Bill of Rights Bill and the Modern Mirror Principle</w:t>
      </w:r>
      <w:r w:rsidR="005B58FC">
        <w:t xml:space="preserve">”; </w:t>
      </w:r>
      <w:r w:rsidR="003C1D9A" w:rsidRPr="00120830">
        <w:rPr>
          <w:rFonts w:cs="Times New Roman"/>
        </w:rPr>
        <w:t xml:space="preserve">Roger Masterman, “The Convention Rights in the Human Rights Act and under a Bill of Rights: Domestic, European or Both?” (U.K. Const. L. Blog, November 2022) </w:t>
      </w:r>
      <w:r w:rsidR="003C1D9A" w:rsidRPr="00120830">
        <w:rPr>
          <w:rFonts w:cs="Times New Roman"/>
          <w:i/>
          <w:iCs/>
        </w:rPr>
        <w:t>https://ukconstitutionallaw.org/2022/11/23/roger-masterman-the-convention-rights-in-the-human-rights-act-and-under-a-bill-of-rights-domestic-european-or-both/</w:t>
      </w:r>
    </w:p>
  </w:footnote>
  <w:footnote w:id="11">
    <w:p w14:paraId="18CF152B" w14:textId="5556C922" w:rsidR="00944D49" w:rsidRPr="00120830" w:rsidRDefault="00944D49"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4E4ABF" w:rsidRPr="00120830">
        <w:rPr>
          <w:rFonts w:cs="Times New Roman"/>
        </w:rPr>
        <w:t xml:space="preserve">With the </w:t>
      </w:r>
      <w:r w:rsidR="00C812B6" w:rsidRPr="00120830">
        <w:rPr>
          <w:rFonts w:cs="Times New Roman"/>
        </w:rPr>
        <w:t xml:space="preserve">notable </w:t>
      </w:r>
      <w:r w:rsidR="004E4ABF" w:rsidRPr="00120830">
        <w:rPr>
          <w:rFonts w:cs="Times New Roman"/>
        </w:rPr>
        <w:t>exception</w:t>
      </w:r>
      <w:r w:rsidR="00C812B6" w:rsidRPr="00120830">
        <w:rPr>
          <w:rFonts w:cs="Times New Roman"/>
        </w:rPr>
        <w:t>s</w:t>
      </w:r>
      <w:r w:rsidR="004E4ABF" w:rsidRPr="00120830">
        <w:rPr>
          <w:rFonts w:cs="Times New Roman"/>
        </w:rPr>
        <w:t xml:space="preserve"> of</w:t>
      </w:r>
      <w:r w:rsidR="007E2AC7" w:rsidRPr="00120830">
        <w:rPr>
          <w:rFonts w:cs="Times New Roman"/>
        </w:rPr>
        <w:t xml:space="preserve">: </w:t>
      </w:r>
      <w:r w:rsidR="00F96A32" w:rsidRPr="00120830">
        <w:rPr>
          <w:rFonts w:cs="Times New Roman"/>
        </w:rPr>
        <w:t xml:space="preserve">Roger </w:t>
      </w:r>
      <w:r w:rsidR="004E4ABF" w:rsidRPr="00120830">
        <w:rPr>
          <w:rFonts w:cs="Times New Roman"/>
        </w:rPr>
        <w:t xml:space="preserve">Masterman, </w:t>
      </w:r>
      <w:r w:rsidR="00F96A32" w:rsidRPr="00120830">
        <w:rPr>
          <w:rFonts w:cs="Times New Roman"/>
        </w:rPr>
        <w:t xml:space="preserve">“Federal dynamics of the UK/Strasbourg relationship” in </w:t>
      </w:r>
      <w:proofErr w:type="spellStart"/>
      <w:r w:rsidR="00F96A32" w:rsidRPr="00120830">
        <w:rPr>
          <w:rFonts w:cs="Times New Roman"/>
        </w:rPr>
        <w:t>Schütze</w:t>
      </w:r>
      <w:proofErr w:type="spellEnd"/>
      <w:r w:rsidR="00F96A32" w:rsidRPr="00120830">
        <w:rPr>
          <w:rFonts w:cs="Times New Roman"/>
        </w:rPr>
        <w:t xml:space="preserve"> and Tierney (eds) </w:t>
      </w:r>
      <w:r w:rsidR="00F96A32" w:rsidRPr="00120830">
        <w:rPr>
          <w:rFonts w:cs="Times New Roman"/>
          <w:i/>
          <w:iCs/>
        </w:rPr>
        <w:t>The United Kingdom and the Federal Idea</w:t>
      </w:r>
      <w:r w:rsidR="00F96A32" w:rsidRPr="00120830">
        <w:rPr>
          <w:rFonts w:cs="Times New Roman"/>
        </w:rPr>
        <w:t xml:space="preserve"> (</w:t>
      </w:r>
      <w:r w:rsidR="00C812B6" w:rsidRPr="00120830">
        <w:rPr>
          <w:rFonts w:cs="Times New Roman"/>
        </w:rPr>
        <w:t xml:space="preserve">Bloomsbury, 2018); </w:t>
      </w:r>
      <w:r w:rsidR="00F96A32" w:rsidRPr="00120830">
        <w:rPr>
          <w:rFonts w:cs="Times New Roman"/>
        </w:rPr>
        <w:t xml:space="preserve">and </w:t>
      </w:r>
      <w:r w:rsidR="00935421" w:rsidRPr="00120830">
        <w:rPr>
          <w:rFonts w:cs="Times New Roman"/>
        </w:rPr>
        <w:t xml:space="preserve">Alice Donald, “Earning Deference from Strasbourg: Has the UK Got the Message?” (U.K. Const. L. Blog, December 2022) </w:t>
      </w:r>
      <w:r w:rsidR="00935421" w:rsidRPr="00120830">
        <w:rPr>
          <w:rFonts w:cs="Times New Roman"/>
          <w:i/>
          <w:iCs/>
        </w:rPr>
        <w:t>https://ukconstitutionallaw.org/2022/12/06/alice-donald-earning-deference-from-strasbourg-has-the-uk-got-the-message/</w:t>
      </w:r>
    </w:p>
  </w:footnote>
  <w:footnote w:id="12">
    <w:p w14:paraId="5AFFA5AC" w14:textId="2B837944" w:rsidR="00116876" w:rsidRPr="00120830" w:rsidRDefault="00116876"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EC29CF" w:rsidRPr="00120830">
        <w:rPr>
          <w:rFonts w:cs="Times New Roman"/>
        </w:rPr>
        <w:t xml:space="preserve">See Summary of the meeting between members of the Independent Human Rights Act Review and a delegation of Judges from the European Court of Human Rights, 20 May 2021, available at </w:t>
      </w:r>
      <w:r w:rsidR="00EC29CF" w:rsidRPr="00120830">
        <w:rPr>
          <w:rFonts w:cs="Times New Roman"/>
          <w:i/>
          <w:iCs/>
        </w:rPr>
        <w:t>https://lawandreligionuk.com/wp-content/uploads/2021/08/ECtHR-Meeting-Minutes.pdf</w:t>
      </w:r>
    </w:p>
  </w:footnote>
  <w:footnote w:id="13">
    <w:p w14:paraId="54A42096" w14:textId="6FF0926E" w:rsidR="008D4AED" w:rsidRPr="00120830" w:rsidRDefault="008D4AED" w:rsidP="00BD6BC8">
      <w:pPr>
        <w:pStyle w:val="FootnoteText"/>
        <w:jc w:val="both"/>
        <w:rPr>
          <w:rFonts w:cs="Times New Roman"/>
          <w:i/>
          <w:iCs/>
        </w:rPr>
      </w:pPr>
      <w:r w:rsidRPr="00120830">
        <w:rPr>
          <w:rStyle w:val="FootnoteReference"/>
          <w:rFonts w:cs="Times New Roman"/>
        </w:rPr>
        <w:footnoteRef/>
      </w:r>
      <w:r w:rsidRPr="00120830">
        <w:rPr>
          <w:rFonts w:cs="Times New Roman"/>
        </w:rPr>
        <w:t xml:space="preserve"> </w:t>
      </w:r>
      <w:r w:rsidR="00885AFC" w:rsidRPr="00120830">
        <w:rPr>
          <w:rFonts w:cs="Times New Roman"/>
        </w:rPr>
        <w:t xml:space="preserve">On the </w:t>
      </w:r>
      <w:r w:rsidR="00DE3AFB">
        <w:rPr>
          <w:rFonts w:cs="Times New Roman"/>
        </w:rPr>
        <w:t>“</w:t>
      </w:r>
      <w:r w:rsidR="00885AFC" w:rsidRPr="00120830">
        <w:rPr>
          <w:rFonts w:cs="Times New Roman"/>
        </w:rPr>
        <w:t>procedural turn</w:t>
      </w:r>
      <w:r w:rsidR="00DE3AFB">
        <w:rPr>
          <w:rFonts w:cs="Times New Roman"/>
        </w:rPr>
        <w:t>”</w:t>
      </w:r>
      <w:r w:rsidR="00885AFC" w:rsidRPr="00120830">
        <w:rPr>
          <w:rFonts w:cs="Times New Roman"/>
        </w:rPr>
        <w:t xml:space="preserve"> see Robert Spano, “The Future of the European Court of Human Rights—Subsidiarity, Process-Based Review and the Rule of Law” </w:t>
      </w:r>
      <w:r w:rsidR="00424166" w:rsidRPr="00120830">
        <w:rPr>
          <w:rFonts w:cs="Times New Roman"/>
        </w:rPr>
        <w:t>(</w:t>
      </w:r>
      <w:r w:rsidR="00885AFC" w:rsidRPr="00120830">
        <w:rPr>
          <w:rFonts w:cs="Times New Roman"/>
        </w:rPr>
        <w:t>2018</w:t>
      </w:r>
      <w:r w:rsidR="00424166" w:rsidRPr="00120830">
        <w:rPr>
          <w:rFonts w:cs="Times New Roman"/>
        </w:rPr>
        <w:t>)</w:t>
      </w:r>
      <w:r w:rsidR="00885AFC" w:rsidRPr="00120830">
        <w:rPr>
          <w:rFonts w:cs="Times New Roman"/>
        </w:rPr>
        <w:t xml:space="preserve"> 18 H.R.L.R. 473</w:t>
      </w:r>
      <w:r w:rsidR="00DE3AFB">
        <w:rPr>
          <w:rFonts w:cs="Times New Roman"/>
        </w:rPr>
        <w:t>.</w:t>
      </w:r>
    </w:p>
  </w:footnote>
  <w:footnote w:id="14">
    <w:p w14:paraId="0CF9BF1D" w14:textId="7A5488F3" w:rsidR="00801D6E" w:rsidRPr="00120830" w:rsidRDefault="00801D6E"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4B5E88" w:rsidRPr="00120830">
        <w:rPr>
          <w:rFonts w:cs="Times New Roman"/>
        </w:rPr>
        <w:t xml:space="preserve">As </w:t>
      </w:r>
      <w:r w:rsidR="00854FB7" w:rsidRPr="00120830">
        <w:rPr>
          <w:rFonts w:cs="Times New Roman"/>
        </w:rPr>
        <w:t xml:space="preserve">Sedley L.J. put it: see Stephen Sedley, “How to Comply </w:t>
      </w:r>
      <w:r w:rsidR="00A67F53">
        <w:rPr>
          <w:rFonts w:cs="Times New Roman"/>
        </w:rPr>
        <w:t>w</w:t>
      </w:r>
      <w:r w:rsidR="00854FB7" w:rsidRPr="00120830">
        <w:rPr>
          <w:rFonts w:cs="Times New Roman"/>
        </w:rPr>
        <w:t xml:space="preserve">ith Strasbourg” </w:t>
      </w:r>
      <w:r w:rsidR="00424166" w:rsidRPr="00120830">
        <w:rPr>
          <w:rFonts w:cs="Times New Roman"/>
        </w:rPr>
        <w:t>(</w:t>
      </w:r>
      <w:r w:rsidR="00854FB7" w:rsidRPr="00120830">
        <w:rPr>
          <w:rFonts w:cs="Times New Roman"/>
        </w:rPr>
        <w:t>2013</w:t>
      </w:r>
      <w:r w:rsidR="00424166" w:rsidRPr="00120830">
        <w:rPr>
          <w:rFonts w:cs="Times New Roman"/>
        </w:rPr>
        <w:t>)</w:t>
      </w:r>
      <w:r w:rsidR="00854FB7" w:rsidRPr="00120830">
        <w:rPr>
          <w:rFonts w:cs="Times New Roman"/>
        </w:rPr>
        <w:t xml:space="preserve"> 35(2) L.R.B.</w:t>
      </w:r>
    </w:p>
  </w:footnote>
  <w:footnote w:id="15">
    <w:p w14:paraId="10234DEF" w14:textId="0E0852D3" w:rsidR="003D5BB3" w:rsidRPr="00120830" w:rsidRDefault="003D5BB3"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CA55DD" w:rsidRPr="00120830">
        <w:rPr>
          <w:rFonts w:cs="Times New Roman"/>
        </w:rPr>
        <w:t xml:space="preserve">Nicholas </w:t>
      </w:r>
      <w:proofErr w:type="spellStart"/>
      <w:r w:rsidR="00CA55DD" w:rsidRPr="00120830">
        <w:rPr>
          <w:rFonts w:cs="Times New Roman"/>
        </w:rPr>
        <w:t>Bratza</w:t>
      </w:r>
      <w:proofErr w:type="spellEnd"/>
      <w:r w:rsidR="00CA55DD" w:rsidRPr="00120830">
        <w:rPr>
          <w:rFonts w:cs="Times New Roman"/>
        </w:rPr>
        <w:t xml:space="preserve">, “The relationship between the UK courts and Strasbourg” </w:t>
      </w:r>
      <w:r w:rsidR="006F6E62">
        <w:rPr>
          <w:rFonts w:cs="Times New Roman"/>
        </w:rPr>
        <w:t>[</w:t>
      </w:r>
      <w:r w:rsidR="00CA55DD" w:rsidRPr="00120830">
        <w:rPr>
          <w:rFonts w:cs="Times New Roman"/>
        </w:rPr>
        <w:t>2011</w:t>
      </w:r>
      <w:r w:rsidR="006F6E62">
        <w:rPr>
          <w:rFonts w:cs="Times New Roman"/>
        </w:rPr>
        <w:t>]</w:t>
      </w:r>
      <w:r w:rsidR="00CA55DD" w:rsidRPr="00120830">
        <w:rPr>
          <w:rFonts w:cs="Times New Roman"/>
        </w:rPr>
        <w:t xml:space="preserve"> E.H.R.L.R. 505,</w:t>
      </w:r>
      <w:r w:rsidRPr="00120830">
        <w:rPr>
          <w:rFonts w:cs="Times New Roman"/>
        </w:rPr>
        <w:t xml:space="preserve"> </w:t>
      </w:r>
      <w:r w:rsidR="00075C52" w:rsidRPr="00120830">
        <w:rPr>
          <w:rFonts w:cs="Times New Roman"/>
        </w:rPr>
        <w:t>512</w:t>
      </w:r>
      <w:r w:rsidR="00043448" w:rsidRPr="00120830">
        <w:rPr>
          <w:rFonts w:cs="Times New Roman"/>
        </w:rPr>
        <w:t xml:space="preserve">; referring to Lord Rodger’s comment in </w:t>
      </w:r>
      <w:r w:rsidR="00043448" w:rsidRPr="00120830">
        <w:rPr>
          <w:rFonts w:cs="Times New Roman"/>
          <w:i/>
          <w:iCs/>
        </w:rPr>
        <w:t>AF</w:t>
      </w:r>
      <w:r w:rsidR="00CA55DD" w:rsidRPr="00120830">
        <w:rPr>
          <w:rFonts w:cs="Times New Roman"/>
          <w:i/>
          <w:iCs/>
        </w:rPr>
        <w:t xml:space="preserve"> (No 3)</w:t>
      </w:r>
      <w:r w:rsidR="00043448" w:rsidRPr="00120830">
        <w:rPr>
          <w:rFonts w:cs="Times New Roman"/>
          <w:i/>
          <w:iCs/>
        </w:rPr>
        <w:t xml:space="preserve"> v Secretary of State for the Home Department</w:t>
      </w:r>
      <w:r w:rsidR="00043448" w:rsidRPr="00120830">
        <w:rPr>
          <w:rFonts w:cs="Times New Roman"/>
        </w:rPr>
        <w:t xml:space="preserve"> [2009] UKHL 28</w:t>
      </w:r>
      <w:r w:rsidR="00CA55DD" w:rsidRPr="00120830">
        <w:rPr>
          <w:rFonts w:cs="Times New Roman"/>
        </w:rPr>
        <w:t>; [2010] 2 A.C. 269,</w:t>
      </w:r>
      <w:r w:rsidR="00043448" w:rsidRPr="00120830">
        <w:rPr>
          <w:rFonts w:cs="Times New Roman"/>
        </w:rPr>
        <w:t xml:space="preserve"> at [98]</w:t>
      </w:r>
      <w:r w:rsidR="00DE3AFB">
        <w:rPr>
          <w:rFonts w:cs="Times New Roman"/>
        </w:rPr>
        <w:t>.</w:t>
      </w:r>
    </w:p>
  </w:footnote>
  <w:footnote w:id="16">
    <w:p w14:paraId="78284B20" w14:textId="710BF86B" w:rsidR="00E579CE" w:rsidRPr="00527E06" w:rsidRDefault="00E579CE" w:rsidP="00BD6BC8">
      <w:pPr>
        <w:pStyle w:val="FootnoteText"/>
        <w:jc w:val="both"/>
        <w:rPr>
          <w:i/>
          <w:iCs/>
        </w:rPr>
      </w:pPr>
      <w:r>
        <w:rPr>
          <w:rStyle w:val="FootnoteReference"/>
        </w:rPr>
        <w:footnoteRef/>
      </w:r>
      <w:r>
        <w:t xml:space="preserve"> Kanstantsin Dzehtsiarou, </w:t>
      </w:r>
      <w:r w:rsidRPr="00527E06">
        <w:rPr>
          <w:i/>
          <w:iCs/>
        </w:rPr>
        <w:t>Can the European Court of Human Rights Shape European Public Order?</w:t>
      </w:r>
      <w:r w:rsidRPr="00E579CE">
        <w:t xml:space="preserve"> </w:t>
      </w:r>
      <w:r>
        <w:t>(</w:t>
      </w:r>
      <w:r w:rsidRPr="00E579CE">
        <w:t>C</w:t>
      </w:r>
      <w:r>
        <w:t xml:space="preserve">ambridge </w:t>
      </w:r>
      <w:r w:rsidRPr="00E579CE">
        <w:t>U</w:t>
      </w:r>
      <w:r>
        <w:t xml:space="preserve">niversity </w:t>
      </w:r>
      <w:r w:rsidRPr="00E579CE">
        <w:t>P</w:t>
      </w:r>
      <w:r>
        <w:t>ress</w:t>
      </w:r>
      <w:r w:rsidRPr="00E579CE">
        <w:t>, 2021</w:t>
      </w:r>
      <w:r>
        <w:t>), p.112</w:t>
      </w:r>
      <w:r w:rsidR="004E01AE">
        <w:t xml:space="preserve">, </w:t>
      </w:r>
      <w:r w:rsidR="00B93E11">
        <w:t>also</w:t>
      </w:r>
      <w:r w:rsidR="004E01AE">
        <w:t xml:space="preserve"> see</w:t>
      </w:r>
      <w:r w:rsidR="003C3D91">
        <w:t xml:space="preserve"> p.177</w:t>
      </w:r>
      <w:r w:rsidR="00F52C2C">
        <w:t>.</w:t>
      </w:r>
    </w:p>
  </w:footnote>
  <w:footnote w:id="17">
    <w:p w14:paraId="15BE0436" w14:textId="73461D79" w:rsidR="00115FB2" w:rsidRPr="00115FB2" w:rsidRDefault="00115FB2" w:rsidP="00BD6BC8">
      <w:pPr>
        <w:pStyle w:val="FootnoteText"/>
        <w:jc w:val="both"/>
      </w:pPr>
      <w:r>
        <w:rPr>
          <w:rStyle w:val="FootnoteReference"/>
        </w:rPr>
        <w:footnoteRef/>
      </w:r>
      <w:r>
        <w:t xml:space="preserve"> Dzehtsiarou, </w:t>
      </w:r>
      <w:r w:rsidRPr="00565355">
        <w:rPr>
          <w:i/>
          <w:iCs/>
        </w:rPr>
        <w:t>Can the European Court of Human Rights Shape European Public Order?</w:t>
      </w:r>
      <w:r>
        <w:t>, p.124</w:t>
      </w:r>
      <w:r w:rsidR="00F52C2C">
        <w:t>.</w:t>
      </w:r>
    </w:p>
  </w:footnote>
  <w:footnote w:id="18">
    <w:p w14:paraId="610B9CC6" w14:textId="2DAE92BE" w:rsidR="00DC2442" w:rsidRPr="00120830" w:rsidRDefault="00DC2442"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FC5B95" w:rsidRPr="00120830">
        <w:rPr>
          <w:rFonts w:cs="Times New Roman"/>
          <w:i/>
          <w:iCs/>
        </w:rPr>
        <w:t>Ullah</w:t>
      </w:r>
      <w:r w:rsidR="00FC5B95" w:rsidRPr="00120830">
        <w:rPr>
          <w:rFonts w:cs="Times New Roman"/>
        </w:rPr>
        <w:t xml:space="preserve"> [2004] UKHL 26, at [20]</w:t>
      </w:r>
      <w:r w:rsidR="00F52C2C">
        <w:rPr>
          <w:rFonts w:cs="Times New Roman"/>
        </w:rPr>
        <w:t>.</w:t>
      </w:r>
    </w:p>
  </w:footnote>
  <w:footnote w:id="19">
    <w:p w14:paraId="41E7D830" w14:textId="1D404EEE" w:rsidR="008D1300" w:rsidRPr="00120830" w:rsidRDefault="008D1300"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B30D58" w:rsidRPr="00120830">
        <w:rPr>
          <w:rFonts w:cs="Times New Roman"/>
          <w:i/>
          <w:iCs/>
        </w:rPr>
        <w:t>R. (Chester) v Secretary of State for Justice</w:t>
      </w:r>
      <w:r w:rsidR="00B30D58" w:rsidRPr="00120830">
        <w:rPr>
          <w:rFonts w:cs="Times New Roman"/>
        </w:rPr>
        <w:t xml:space="preserve"> [2013] UKSC 63; [2014] A.C. 271</w:t>
      </w:r>
      <w:r w:rsidRPr="00120830">
        <w:rPr>
          <w:rFonts w:cs="Times New Roman"/>
        </w:rPr>
        <w:t xml:space="preserve">, at </w:t>
      </w:r>
      <w:r w:rsidR="00B30D58" w:rsidRPr="00120830">
        <w:rPr>
          <w:rFonts w:cs="Times New Roman"/>
        </w:rPr>
        <w:t>[</w:t>
      </w:r>
      <w:r w:rsidRPr="00120830">
        <w:rPr>
          <w:rFonts w:cs="Times New Roman"/>
        </w:rPr>
        <w:t>121</w:t>
      </w:r>
      <w:r w:rsidR="00B30D58" w:rsidRPr="00120830">
        <w:rPr>
          <w:rFonts w:cs="Times New Roman"/>
        </w:rPr>
        <w:t>]</w:t>
      </w:r>
      <w:r w:rsidR="00A04FAB" w:rsidRPr="00120830">
        <w:rPr>
          <w:rFonts w:cs="Times New Roman"/>
        </w:rPr>
        <w:t xml:space="preserve">; a similar notion appears in Lord Hope’s judgment in </w:t>
      </w:r>
      <w:r w:rsidR="00B30D58" w:rsidRPr="00120830">
        <w:rPr>
          <w:rFonts w:cs="Times New Roman"/>
          <w:i/>
          <w:iCs/>
        </w:rPr>
        <w:t xml:space="preserve">N v Secretary of State for the Home Department </w:t>
      </w:r>
      <w:r w:rsidR="00B30D58" w:rsidRPr="00120830">
        <w:rPr>
          <w:rFonts w:cs="Times New Roman"/>
        </w:rPr>
        <w:t>[2005] UKHL 31; [2005] 2 A.C. 296</w:t>
      </w:r>
      <w:r w:rsidR="00A04FAB" w:rsidRPr="00120830">
        <w:rPr>
          <w:rFonts w:cs="Times New Roman"/>
        </w:rPr>
        <w:t xml:space="preserve">, </w:t>
      </w:r>
      <w:r w:rsidR="00DF1B4A" w:rsidRPr="00120830">
        <w:rPr>
          <w:rFonts w:cs="Times New Roman"/>
        </w:rPr>
        <w:t>at [25]</w:t>
      </w:r>
      <w:r w:rsidR="00F52C2C">
        <w:rPr>
          <w:rFonts w:cs="Times New Roman"/>
        </w:rPr>
        <w:t>.</w:t>
      </w:r>
    </w:p>
  </w:footnote>
  <w:footnote w:id="20">
    <w:p w14:paraId="46B8CCE6" w14:textId="6F51CD48" w:rsidR="00DC1FAA" w:rsidRPr="00120830" w:rsidRDefault="00DC1FAA"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1A17E7" w:rsidRPr="00120830">
        <w:rPr>
          <w:rFonts w:cs="Times New Roman"/>
        </w:rPr>
        <w:t>Carmen Draghici</w:t>
      </w:r>
      <w:r w:rsidRPr="00120830">
        <w:rPr>
          <w:rFonts w:cs="Times New Roman"/>
        </w:rPr>
        <w:t>,</w:t>
      </w:r>
      <w:r w:rsidR="001A17E7" w:rsidRPr="00120830">
        <w:rPr>
          <w:rFonts w:cs="Times New Roman"/>
        </w:rPr>
        <w:t xml:space="preserve"> “The Human Rights Act in the shadow of the European Convention: are copyist</w:t>
      </w:r>
      <w:r w:rsidR="00F52C2C">
        <w:rPr>
          <w:rFonts w:cs="Times New Roman"/>
        </w:rPr>
        <w:t>’</w:t>
      </w:r>
      <w:r w:rsidR="001A17E7" w:rsidRPr="00120830">
        <w:rPr>
          <w:rFonts w:cs="Times New Roman"/>
        </w:rPr>
        <w:t xml:space="preserve">s errors allowed?” </w:t>
      </w:r>
      <w:r w:rsidR="00F52C2C">
        <w:rPr>
          <w:rFonts w:cs="Times New Roman"/>
        </w:rPr>
        <w:t>[</w:t>
      </w:r>
      <w:r w:rsidR="001A17E7" w:rsidRPr="00120830">
        <w:rPr>
          <w:rFonts w:cs="Times New Roman"/>
        </w:rPr>
        <w:t>2014</w:t>
      </w:r>
      <w:r w:rsidR="00F52C2C">
        <w:rPr>
          <w:rFonts w:cs="Times New Roman"/>
        </w:rPr>
        <w:t>]</w:t>
      </w:r>
      <w:r w:rsidRPr="00120830">
        <w:rPr>
          <w:rFonts w:cs="Times New Roman"/>
        </w:rPr>
        <w:t xml:space="preserve"> E</w:t>
      </w:r>
      <w:r w:rsidR="001A17E7" w:rsidRPr="00120830">
        <w:rPr>
          <w:rFonts w:cs="Times New Roman"/>
        </w:rPr>
        <w:t>.</w:t>
      </w:r>
      <w:r w:rsidRPr="00120830">
        <w:rPr>
          <w:rFonts w:cs="Times New Roman"/>
        </w:rPr>
        <w:t>H</w:t>
      </w:r>
      <w:r w:rsidR="001A17E7" w:rsidRPr="00120830">
        <w:rPr>
          <w:rFonts w:cs="Times New Roman"/>
        </w:rPr>
        <w:t>.</w:t>
      </w:r>
      <w:r w:rsidRPr="00120830">
        <w:rPr>
          <w:rFonts w:cs="Times New Roman"/>
        </w:rPr>
        <w:t>R</w:t>
      </w:r>
      <w:r w:rsidR="001A17E7" w:rsidRPr="00120830">
        <w:rPr>
          <w:rFonts w:cs="Times New Roman"/>
        </w:rPr>
        <w:t>.</w:t>
      </w:r>
      <w:r w:rsidRPr="00120830">
        <w:rPr>
          <w:rFonts w:cs="Times New Roman"/>
        </w:rPr>
        <w:t>L</w:t>
      </w:r>
      <w:r w:rsidR="001A17E7" w:rsidRPr="00120830">
        <w:rPr>
          <w:rFonts w:cs="Times New Roman"/>
        </w:rPr>
        <w:t>.</w:t>
      </w:r>
      <w:r w:rsidRPr="00120830">
        <w:rPr>
          <w:rFonts w:cs="Times New Roman"/>
        </w:rPr>
        <w:t>R</w:t>
      </w:r>
      <w:r w:rsidR="001A17E7" w:rsidRPr="00120830">
        <w:rPr>
          <w:rFonts w:cs="Times New Roman"/>
        </w:rPr>
        <w:t>.</w:t>
      </w:r>
      <w:r w:rsidR="005A1783" w:rsidRPr="00120830">
        <w:rPr>
          <w:rFonts w:cs="Times New Roman"/>
        </w:rPr>
        <w:t xml:space="preserve"> </w:t>
      </w:r>
      <w:r w:rsidR="001A17E7" w:rsidRPr="00120830">
        <w:rPr>
          <w:rFonts w:cs="Times New Roman"/>
        </w:rPr>
        <w:t>154,</w:t>
      </w:r>
      <w:r w:rsidR="00F52C2C">
        <w:rPr>
          <w:rFonts w:cs="Times New Roman"/>
        </w:rPr>
        <w:t xml:space="preserve"> </w:t>
      </w:r>
      <w:r w:rsidRPr="00120830">
        <w:rPr>
          <w:rFonts w:cs="Times New Roman"/>
        </w:rPr>
        <w:t>159</w:t>
      </w:r>
      <w:r w:rsidR="00BD4153" w:rsidRPr="00120830">
        <w:rPr>
          <w:rFonts w:cs="Times New Roman"/>
        </w:rPr>
        <w:t xml:space="preserve">; see also </w:t>
      </w:r>
      <w:r w:rsidR="000527A9" w:rsidRPr="00120830">
        <w:rPr>
          <w:rFonts w:cs="Times New Roman"/>
        </w:rPr>
        <w:t xml:space="preserve">Merris </w:t>
      </w:r>
      <w:r w:rsidR="00BD4153" w:rsidRPr="00120830">
        <w:rPr>
          <w:rFonts w:cs="Times New Roman"/>
        </w:rPr>
        <w:t>Amos</w:t>
      </w:r>
      <w:r w:rsidR="000527A9" w:rsidRPr="00120830">
        <w:rPr>
          <w:rFonts w:cs="Times New Roman"/>
        </w:rPr>
        <w:t xml:space="preserve">, “The Principle of Comity and the Relationship between British Courts and the European Court of Human Rights” </w:t>
      </w:r>
      <w:r w:rsidR="00424166" w:rsidRPr="00120830">
        <w:rPr>
          <w:rFonts w:cs="Times New Roman"/>
        </w:rPr>
        <w:t>(</w:t>
      </w:r>
      <w:r w:rsidR="000527A9" w:rsidRPr="00120830">
        <w:rPr>
          <w:rFonts w:cs="Times New Roman"/>
        </w:rPr>
        <w:t>2009</w:t>
      </w:r>
      <w:r w:rsidR="00424166" w:rsidRPr="00120830">
        <w:rPr>
          <w:rFonts w:cs="Times New Roman"/>
        </w:rPr>
        <w:t>)</w:t>
      </w:r>
      <w:r w:rsidR="000527A9" w:rsidRPr="00120830">
        <w:rPr>
          <w:rFonts w:cs="Times New Roman"/>
        </w:rPr>
        <w:t xml:space="preserve"> 28(1) </w:t>
      </w:r>
      <w:r w:rsidR="000527A9" w:rsidRPr="00F52C2C">
        <w:rPr>
          <w:rFonts w:cs="Times New Roman"/>
          <w:i/>
          <w:iCs/>
        </w:rPr>
        <w:t>Yearbook of European Law</w:t>
      </w:r>
      <w:r w:rsidR="000527A9" w:rsidRPr="00120830">
        <w:rPr>
          <w:rFonts w:cs="Times New Roman"/>
        </w:rPr>
        <w:t xml:space="preserve"> 50</w:t>
      </w:r>
      <w:r w:rsidR="00F52C2C">
        <w:rPr>
          <w:rFonts w:cs="Times New Roman"/>
        </w:rPr>
        <w:t>3</w:t>
      </w:r>
      <w:r w:rsidR="000527A9" w:rsidRPr="00120830">
        <w:rPr>
          <w:rFonts w:cs="Times New Roman"/>
        </w:rPr>
        <w:t xml:space="preserve">, </w:t>
      </w:r>
      <w:r w:rsidR="009E2754" w:rsidRPr="00120830">
        <w:rPr>
          <w:rFonts w:cs="Times New Roman"/>
        </w:rPr>
        <w:t>513-515</w:t>
      </w:r>
      <w:r w:rsidR="00F52C2C">
        <w:rPr>
          <w:rFonts w:cs="Times New Roman"/>
        </w:rPr>
        <w:t>.</w:t>
      </w:r>
    </w:p>
  </w:footnote>
  <w:footnote w:id="21">
    <w:p w14:paraId="17B55AE3" w14:textId="7D0CCE43" w:rsidR="003B7F25" w:rsidRPr="00120830" w:rsidRDefault="003B7F25"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On this point see Aileen Kavanagh, </w:t>
      </w:r>
      <w:r w:rsidRPr="00120830">
        <w:rPr>
          <w:rFonts w:cs="Times New Roman"/>
          <w:i/>
          <w:iCs/>
        </w:rPr>
        <w:t xml:space="preserve">Constitutional Review Under the Human Rights Act </w:t>
      </w:r>
      <w:r w:rsidRPr="00120830">
        <w:rPr>
          <w:rFonts w:cs="Times New Roman"/>
        </w:rPr>
        <w:t>(C</w:t>
      </w:r>
      <w:r w:rsidR="007D2E1B" w:rsidRPr="00120830">
        <w:rPr>
          <w:rFonts w:cs="Times New Roman"/>
        </w:rPr>
        <w:t xml:space="preserve">ambridge </w:t>
      </w:r>
      <w:r w:rsidRPr="00120830">
        <w:rPr>
          <w:rFonts w:cs="Times New Roman"/>
        </w:rPr>
        <w:t>U</w:t>
      </w:r>
      <w:r w:rsidR="007D2E1B" w:rsidRPr="00120830">
        <w:rPr>
          <w:rFonts w:cs="Times New Roman"/>
        </w:rPr>
        <w:t xml:space="preserve">niversity </w:t>
      </w:r>
      <w:r w:rsidRPr="00120830">
        <w:rPr>
          <w:rFonts w:cs="Times New Roman"/>
        </w:rPr>
        <w:t>P</w:t>
      </w:r>
      <w:r w:rsidR="007D2E1B" w:rsidRPr="00120830">
        <w:rPr>
          <w:rFonts w:cs="Times New Roman"/>
        </w:rPr>
        <w:t>ress</w:t>
      </w:r>
      <w:r w:rsidRPr="00120830">
        <w:rPr>
          <w:rFonts w:cs="Times New Roman"/>
        </w:rPr>
        <w:t>, 2009), p.148</w:t>
      </w:r>
      <w:r w:rsidR="00F52C2C">
        <w:rPr>
          <w:rFonts w:cs="Times New Roman"/>
        </w:rPr>
        <w:t>.</w:t>
      </w:r>
    </w:p>
  </w:footnote>
  <w:footnote w:id="22">
    <w:p w14:paraId="4B123F03" w14:textId="783A4FDA" w:rsidR="002C68A6" w:rsidRPr="00120830" w:rsidRDefault="002C68A6"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proofErr w:type="spellStart"/>
      <w:r w:rsidR="00894558" w:rsidRPr="00120830">
        <w:rPr>
          <w:rFonts w:cs="Times New Roman"/>
          <w:i/>
          <w:iCs/>
        </w:rPr>
        <w:t>Ndidi</w:t>
      </w:r>
      <w:proofErr w:type="spellEnd"/>
      <w:r w:rsidR="00894558" w:rsidRPr="00120830">
        <w:rPr>
          <w:rFonts w:cs="Times New Roman"/>
          <w:i/>
          <w:iCs/>
        </w:rPr>
        <w:t xml:space="preserve"> v </w:t>
      </w:r>
      <w:r w:rsidR="0092248C" w:rsidRPr="00120830">
        <w:rPr>
          <w:rFonts w:cs="Times New Roman"/>
          <w:i/>
          <w:iCs/>
        </w:rPr>
        <w:t xml:space="preserve">the </w:t>
      </w:r>
      <w:r w:rsidR="00894558" w:rsidRPr="00120830">
        <w:rPr>
          <w:rFonts w:cs="Times New Roman"/>
          <w:i/>
          <w:iCs/>
        </w:rPr>
        <w:t>United Kingdom</w:t>
      </w:r>
      <w:r w:rsidR="00894558" w:rsidRPr="00120830">
        <w:rPr>
          <w:rFonts w:cs="Times New Roman"/>
        </w:rPr>
        <w:t xml:space="preserve"> (41215/14), 14 September 2017</w:t>
      </w:r>
      <w:r w:rsidRPr="00120830">
        <w:rPr>
          <w:rFonts w:cs="Times New Roman"/>
        </w:rPr>
        <w:t xml:space="preserve">, </w:t>
      </w:r>
      <w:r w:rsidR="00894558" w:rsidRPr="00120830">
        <w:rPr>
          <w:rFonts w:cs="Times New Roman"/>
        </w:rPr>
        <w:t>at</w:t>
      </w:r>
      <w:r w:rsidRPr="00120830">
        <w:rPr>
          <w:rFonts w:cs="Times New Roman"/>
        </w:rPr>
        <w:t xml:space="preserve"> </w:t>
      </w:r>
      <w:r w:rsidR="00894558" w:rsidRPr="00120830">
        <w:rPr>
          <w:rFonts w:cs="Times New Roman"/>
        </w:rPr>
        <w:t>[</w:t>
      </w:r>
      <w:r w:rsidRPr="00120830">
        <w:rPr>
          <w:rFonts w:cs="Times New Roman"/>
        </w:rPr>
        <w:t>76</w:t>
      </w:r>
      <w:r w:rsidR="00891B53" w:rsidRPr="00120830">
        <w:rPr>
          <w:rFonts w:cs="Times New Roman"/>
        </w:rPr>
        <w:t>]</w:t>
      </w:r>
      <w:r w:rsidR="00554AC0">
        <w:rPr>
          <w:rFonts w:cs="Times New Roman"/>
        </w:rPr>
        <w:t>.</w:t>
      </w:r>
    </w:p>
  </w:footnote>
  <w:footnote w:id="23">
    <w:p w14:paraId="38B2ABD8" w14:textId="6EB5B962" w:rsidR="00867520" w:rsidRPr="00120830" w:rsidRDefault="00867520" w:rsidP="00BD6BC8">
      <w:pPr>
        <w:pStyle w:val="FootnoteText"/>
        <w:jc w:val="both"/>
      </w:pPr>
      <w:r w:rsidRPr="00120830">
        <w:rPr>
          <w:rStyle w:val="FootnoteReference"/>
        </w:rPr>
        <w:footnoteRef/>
      </w:r>
      <w:r w:rsidRPr="00120830">
        <w:t xml:space="preserve"> </w:t>
      </w:r>
      <w:r w:rsidRPr="00120830">
        <w:rPr>
          <w:i/>
          <w:iCs/>
        </w:rPr>
        <w:t>Von Hannover v Germany</w:t>
      </w:r>
      <w:r w:rsidRPr="00120830">
        <w:t xml:space="preserve"> </w:t>
      </w:r>
      <w:r w:rsidRPr="00120830">
        <w:rPr>
          <w:i/>
          <w:iCs/>
        </w:rPr>
        <w:t xml:space="preserve">(No. 2) </w:t>
      </w:r>
      <w:r w:rsidRPr="00120830">
        <w:t>[GC]</w:t>
      </w:r>
      <w:r w:rsidRPr="00120830">
        <w:rPr>
          <w:i/>
          <w:iCs/>
        </w:rPr>
        <w:t xml:space="preserve"> </w:t>
      </w:r>
      <w:r w:rsidRPr="00120830">
        <w:t>(40660/08), 7 February 2012</w:t>
      </w:r>
      <w:r w:rsidR="00F63DAE">
        <w:t>.</w:t>
      </w:r>
    </w:p>
  </w:footnote>
  <w:footnote w:id="24">
    <w:p w14:paraId="25FA6DC0" w14:textId="4C95D9A4" w:rsidR="00867520" w:rsidRPr="00120830" w:rsidRDefault="00867520" w:rsidP="00BD6BC8">
      <w:pPr>
        <w:pStyle w:val="FootnoteText"/>
        <w:jc w:val="both"/>
      </w:pPr>
      <w:r w:rsidRPr="00120830">
        <w:rPr>
          <w:rStyle w:val="FootnoteReference"/>
        </w:rPr>
        <w:footnoteRef/>
      </w:r>
      <w:r w:rsidRPr="00120830">
        <w:t xml:space="preserve"> </w:t>
      </w:r>
      <w:r w:rsidRPr="00120830">
        <w:rPr>
          <w:i/>
          <w:iCs/>
        </w:rPr>
        <w:t>Ibrahim v the United Kingdom</w:t>
      </w:r>
      <w:r w:rsidRPr="00120830">
        <w:t xml:space="preserve"> (50541/08, 50571/08, 50573/08, and 40351/09), 13 September 2016</w:t>
      </w:r>
      <w:r w:rsidR="00F63DAE">
        <w:t>.</w:t>
      </w:r>
    </w:p>
  </w:footnote>
  <w:footnote w:id="25">
    <w:p w14:paraId="378B1B23" w14:textId="2BCB37EE" w:rsidR="00867520" w:rsidRPr="00120830" w:rsidRDefault="00867520" w:rsidP="00BD6BC8">
      <w:pPr>
        <w:pStyle w:val="FootnoteText"/>
        <w:jc w:val="both"/>
      </w:pPr>
      <w:r w:rsidRPr="00120830">
        <w:rPr>
          <w:rStyle w:val="FootnoteReference"/>
        </w:rPr>
        <w:footnoteRef/>
      </w:r>
      <w:r w:rsidRPr="00120830">
        <w:t xml:space="preserve"> </w:t>
      </w:r>
      <w:proofErr w:type="spellStart"/>
      <w:r w:rsidRPr="00120830">
        <w:rPr>
          <w:i/>
          <w:iCs/>
        </w:rPr>
        <w:t>Bărbulescu</w:t>
      </w:r>
      <w:proofErr w:type="spellEnd"/>
      <w:r w:rsidRPr="00120830">
        <w:rPr>
          <w:i/>
          <w:iCs/>
        </w:rPr>
        <w:t xml:space="preserve"> v Romania</w:t>
      </w:r>
      <w:r w:rsidRPr="00120830">
        <w:t xml:space="preserve"> (61496/08)</w:t>
      </w:r>
      <w:r w:rsidR="00F874FE">
        <w:t>,</w:t>
      </w:r>
      <w:r w:rsidRPr="00120830">
        <w:t xml:space="preserve"> 5 September 2017</w:t>
      </w:r>
      <w:r w:rsidR="00F63DAE">
        <w:t>.</w:t>
      </w:r>
    </w:p>
  </w:footnote>
  <w:footnote w:id="26">
    <w:p w14:paraId="1E32FA43" w14:textId="2E2D66A6" w:rsidR="00867520" w:rsidRPr="00120830" w:rsidRDefault="00867520" w:rsidP="00BD6BC8">
      <w:pPr>
        <w:pStyle w:val="FootnoteText"/>
        <w:jc w:val="both"/>
      </w:pPr>
      <w:r w:rsidRPr="00120830">
        <w:rPr>
          <w:rStyle w:val="FootnoteReference"/>
        </w:rPr>
        <w:footnoteRef/>
      </w:r>
      <w:r w:rsidRPr="00120830">
        <w:t xml:space="preserve"> </w:t>
      </w:r>
      <w:proofErr w:type="spellStart"/>
      <w:r w:rsidRPr="00120830">
        <w:rPr>
          <w:rFonts w:cs="Times New Roman"/>
          <w:i/>
          <w:iCs/>
        </w:rPr>
        <w:t>Hamesevic</w:t>
      </w:r>
      <w:proofErr w:type="spellEnd"/>
      <w:r w:rsidRPr="00120830">
        <w:rPr>
          <w:rFonts w:cs="Times New Roman"/>
          <w:i/>
          <w:iCs/>
        </w:rPr>
        <w:t xml:space="preserve"> v Denmark</w:t>
      </w:r>
      <w:r w:rsidRPr="00120830">
        <w:rPr>
          <w:rFonts w:cs="Times New Roman"/>
        </w:rPr>
        <w:t xml:space="preserve"> (25748/15), 16 May 2017, at [43]</w:t>
      </w:r>
      <w:r w:rsidR="00F63DAE">
        <w:rPr>
          <w:rFonts w:cs="Times New Roman"/>
        </w:rPr>
        <w:t>.</w:t>
      </w:r>
    </w:p>
  </w:footnote>
  <w:footnote w:id="27">
    <w:p w14:paraId="76E19D39" w14:textId="1EC7C932" w:rsidR="00867520" w:rsidRPr="00120830" w:rsidRDefault="00867520" w:rsidP="00BD6BC8">
      <w:pPr>
        <w:pStyle w:val="FootnoteText"/>
        <w:jc w:val="both"/>
      </w:pPr>
      <w:r w:rsidRPr="00120830">
        <w:rPr>
          <w:rStyle w:val="FootnoteReference"/>
        </w:rPr>
        <w:footnoteRef/>
      </w:r>
      <w:r w:rsidRPr="00120830">
        <w:t xml:space="preserve"> </w:t>
      </w:r>
      <w:proofErr w:type="spellStart"/>
      <w:r w:rsidRPr="00120830">
        <w:rPr>
          <w:rFonts w:cs="Times New Roman"/>
          <w:i/>
          <w:iCs/>
        </w:rPr>
        <w:t>Alam</w:t>
      </w:r>
      <w:proofErr w:type="spellEnd"/>
      <w:r w:rsidRPr="00120830">
        <w:rPr>
          <w:rFonts w:cs="Times New Roman"/>
          <w:i/>
          <w:iCs/>
        </w:rPr>
        <w:t xml:space="preserve"> v Denmark</w:t>
      </w:r>
      <w:r w:rsidRPr="00120830">
        <w:rPr>
          <w:rFonts w:cs="Times New Roman"/>
        </w:rPr>
        <w:t xml:space="preserve"> (33809/15), 6 June 2017, at [35]</w:t>
      </w:r>
      <w:r w:rsidR="00F63DAE">
        <w:rPr>
          <w:rFonts w:cs="Times New Roman"/>
        </w:rPr>
        <w:t>.</w:t>
      </w:r>
    </w:p>
  </w:footnote>
  <w:footnote w:id="28">
    <w:p w14:paraId="136DAA72" w14:textId="717E434D" w:rsidR="00BF4657" w:rsidRPr="00120830" w:rsidRDefault="00BF4657"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DF0BFB" w:rsidRPr="00120830">
        <w:rPr>
          <w:rFonts w:cs="Times New Roman"/>
        </w:rPr>
        <w:t xml:space="preserve">Spano, “The Future of the </w:t>
      </w:r>
      <w:r w:rsidR="008A3877" w:rsidRPr="00120830">
        <w:rPr>
          <w:rFonts w:cs="Times New Roman"/>
        </w:rPr>
        <w:t>ECtHR</w:t>
      </w:r>
      <w:r w:rsidR="00DF0BFB" w:rsidRPr="00120830">
        <w:rPr>
          <w:rFonts w:cs="Times New Roman"/>
        </w:rPr>
        <w:t>”</w:t>
      </w:r>
      <w:r w:rsidRPr="00120830">
        <w:rPr>
          <w:rFonts w:cs="Times New Roman"/>
        </w:rPr>
        <w:t>, p.488</w:t>
      </w:r>
      <w:r w:rsidR="00F63DAE">
        <w:rPr>
          <w:rFonts w:cs="Times New Roman"/>
        </w:rPr>
        <w:t>.</w:t>
      </w:r>
    </w:p>
  </w:footnote>
  <w:footnote w:id="29">
    <w:p w14:paraId="1A536C22" w14:textId="13E8CD66" w:rsidR="00C2100E" w:rsidRDefault="00C2100E" w:rsidP="00BD6BC8">
      <w:pPr>
        <w:pStyle w:val="FootnoteText"/>
        <w:jc w:val="both"/>
      </w:pPr>
      <w:r>
        <w:rPr>
          <w:rStyle w:val="FootnoteReference"/>
        </w:rPr>
        <w:footnoteRef/>
      </w:r>
      <w:r>
        <w:t xml:space="preserve"> </w:t>
      </w:r>
      <w:r w:rsidR="007803B3" w:rsidRPr="00120830">
        <w:rPr>
          <w:i/>
          <w:iCs/>
        </w:rPr>
        <w:t>Von Hannover (No. 2)</w:t>
      </w:r>
      <w:r w:rsidR="007803B3">
        <w:rPr>
          <w:i/>
          <w:iCs/>
        </w:rPr>
        <w:t xml:space="preserve"> </w:t>
      </w:r>
      <w:r w:rsidR="007803B3" w:rsidRPr="00120830">
        <w:t>(40660/08)</w:t>
      </w:r>
      <w:r w:rsidR="007803B3">
        <w:t>, at [107]</w:t>
      </w:r>
      <w:r w:rsidR="00F63DAE">
        <w:t>.</w:t>
      </w:r>
    </w:p>
  </w:footnote>
  <w:footnote w:id="30">
    <w:p w14:paraId="78941388" w14:textId="359B763A" w:rsidR="00617121" w:rsidRPr="00120830" w:rsidRDefault="00617121"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proofErr w:type="spellStart"/>
      <w:r w:rsidR="00D278CC" w:rsidRPr="00120830">
        <w:rPr>
          <w:rFonts w:cs="Times New Roman"/>
        </w:rPr>
        <w:t>Janneke</w:t>
      </w:r>
      <w:proofErr w:type="spellEnd"/>
      <w:r w:rsidR="00D278CC" w:rsidRPr="00120830">
        <w:rPr>
          <w:rFonts w:cs="Times New Roman"/>
        </w:rPr>
        <w:t xml:space="preserve"> </w:t>
      </w:r>
      <w:proofErr w:type="spellStart"/>
      <w:r w:rsidRPr="00120830">
        <w:rPr>
          <w:rFonts w:cs="Times New Roman"/>
        </w:rPr>
        <w:t>Gerards</w:t>
      </w:r>
      <w:proofErr w:type="spellEnd"/>
      <w:r w:rsidRPr="00120830">
        <w:rPr>
          <w:rFonts w:cs="Times New Roman"/>
        </w:rPr>
        <w:t>,</w:t>
      </w:r>
      <w:r w:rsidR="00D278CC" w:rsidRPr="00120830">
        <w:rPr>
          <w:rFonts w:cs="Times New Roman"/>
        </w:rPr>
        <w:t xml:space="preserve"> “Margin of Appreciation and Incrementalism in the Case Law of the European Court of Human Rights” </w:t>
      </w:r>
      <w:r w:rsidR="00BA0A7A" w:rsidRPr="00120830">
        <w:rPr>
          <w:rFonts w:cs="Times New Roman"/>
        </w:rPr>
        <w:t>(</w:t>
      </w:r>
      <w:r w:rsidR="00D278CC" w:rsidRPr="00120830">
        <w:rPr>
          <w:rFonts w:cs="Times New Roman"/>
        </w:rPr>
        <w:t>2018</w:t>
      </w:r>
      <w:r w:rsidR="00BA0A7A" w:rsidRPr="00120830">
        <w:rPr>
          <w:rFonts w:cs="Times New Roman"/>
        </w:rPr>
        <w:t>)</w:t>
      </w:r>
      <w:r w:rsidR="00D278CC" w:rsidRPr="00120830">
        <w:rPr>
          <w:rFonts w:cs="Times New Roman"/>
        </w:rPr>
        <w:t xml:space="preserve"> 18 H.R.L.R. 495</w:t>
      </w:r>
      <w:r w:rsidR="00F63DAE">
        <w:rPr>
          <w:rFonts w:cs="Times New Roman"/>
        </w:rPr>
        <w:t xml:space="preserve">, </w:t>
      </w:r>
      <w:r w:rsidR="001F0EDE" w:rsidRPr="00120830">
        <w:rPr>
          <w:rFonts w:cs="Times New Roman"/>
        </w:rPr>
        <w:t>507</w:t>
      </w:r>
      <w:r w:rsidR="00F63DAE">
        <w:rPr>
          <w:rFonts w:cs="Times New Roman"/>
        </w:rPr>
        <w:t>.</w:t>
      </w:r>
    </w:p>
  </w:footnote>
  <w:footnote w:id="31">
    <w:p w14:paraId="77905E0A" w14:textId="07E6AFC6" w:rsidR="00854283" w:rsidRPr="00120830" w:rsidRDefault="00854283"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proofErr w:type="spellStart"/>
      <w:r w:rsidR="00AE48BF" w:rsidRPr="00120830">
        <w:rPr>
          <w:rFonts w:cs="Times New Roman"/>
        </w:rPr>
        <w:t>Gerards</w:t>
      </w:r>
      <w:proofErr w:type="spellEnd"/>
      <w:r w:rsidR="00AE48BF" w:rsidRPr="00120830">
        <w:rPr>
          <w:rFonts w:cs="Times New Roman"/>
        </w:rPr>
        <w:t>, “Margin of Appreciation and Incrementalism”</w:t>
      </w:r>
      <w:r w:rsidRPr="00120830">
        <w:rPr>
          <w:rFonts w:cs="Times New Roman"/>
        </w:rPr>
        <w:t>, 509</w:t>
      </w:r>
    </w:p>
  </w:footnote>
  <w:footnote w:id="32">
    <w:p w14:paraId="67027B42" w14:textId="29856026" w:rsidR="00D06E5E" w:rsidRPr="00120830" w:rsidRDefault="00D06E5E"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proofErr w:type="spellStart"/>
      <w:r w:rsidR="00AE48BF" w:rsidRPr="00120830">
        <w:rPr>
          <w:rFonts w:cs="Times New Roman"/>
        </w:rPr>
        <w:t>Gerards</w:t>
      </w:r>
      <w:proofErr w:type="spellEnd"/>
      <w:r w:rsidR="00AE48BF" w:rsidRPr="00120830">
        <w:rPr>
          <w:rFonts w:cs="Times New Roman"/>
        </w:rPr>
        <w:t>, “Margin of Appreciation and Incrementalism”</w:t>
      </w:r>
      <w:r w:rsidRPr="00120830">
        <w:rPr>
          <w:rFonts w:cs="Times New Roman"/>
        </w:rPr>
        <w:t>, 510-511</w:t>
      </w:r>
      <w:r w:rsidR="00F63DAE">
        <w:rPr>
          <w:rFonts w:cs="Times New Roman"/>
        </w:rPr>
        <w:t>.</w:t>
      </w:r>
    </w:p>
  </w:footnote>
  <w:footnote w:id="33">
    <w:p w14:paraId="562A6B6E" w14:textId="7CC66319" w:rsidR="00384260" w:rsidRPr="00120830" w:rsidRDefault="00384260" w:rsidP="00BD6BC8">
      <w:pPr>
        <w:pStyle w:val="FootnoteText"/>
        <w:jc w:val="both"/>
      </w:pPr>
      <w:r w:rsidRPr="00120830">
        <w:rPr>
          <w:rStyle w:val="FootnoteReference"/>
        </w:rPr>
        <w:footnoteRef/>
      </w:r>
      <w:r w:rsidRPr="00120830">
        <w:t xml:space="preserve"> </w:t>
      </w:r>
      <w:r w:rsidRPr="00120830">
        <w:rPr>
          <w:i/>
          <w:iCs/>
        </w:rPr>
        <w:t>A, B and C v Ireland</w:t>
      </w:r>
      <w:r w:rsidR="00A0716C" w:rsidRPr="00120830">
        <w:rPr>
          <w:i/>
          <w:iCs/>
        </w:rPr>
        <w:t xml:space="preserve"> </w:t>
      </w:r>
      <w:r w:rsidR="00A0716C" w:rsidRPr="00120830">
        <w:t>[GC] (25579/05), 16 December 2010</w:t>
      </w:r>
      <w:r w:rsidR="00F63DAE">
        <w:t>.</w:t>
      </w:r>
    </w:p>
  </w:footnote>
  <w:footnote w:id="34">
    <w:p w14:paraId="49874991" w14:textId="1B8559AB" w:rsidR="005634B1" w:rsidRPr="00120830" w:rsidRDefault="005634B1" w:rsidP="00BD6BC8">
      <w:pPr>
        <w:pStyle w:val="FootnoteText"/>
        <w:jc w:val="both"/>
      </w:pPr>
      <w:r w:rsidRPr="00120830">
        <w:rPr>
          <w:rStyle w:val="FootnoteReference"/>
        </w:rPr>
        <w:footnoteRef/>
      </w:r>
      <w:r w:rsidRPr="00120830">
        <w:t xml:space="preserve"> See</w:t>
      </w:r>
      <w:r w:rsidR="00963454" w:rsidRPr="00120830">
        <w:t>, for example,</w:t>
      </w:r>
      <w:r w:rsidRPr="00120830">
        <w:t xml:space="preserve"> </w:t>
      </w:r>
      <w:proofErr w:type="spellStart"/>
      <w:r w:rsidRPr="00120830">
        <w:rPr>
          <w:i/>
          <w:iCs/>
        </w:rPr>
        <w:t>Tysiąc</w:t>
      </w:r>
      <w:proofErr w:type="spellEnd"/>
      <w:r w:rsidRPr="00120830">
        <w:rPr>
          <w:i/>
          <w:iCs/>
        </w:rPr>
        <w:t xml:space="preserve"> v Poland </w:t>
      </w:r>
      <w:r w:rsidR="00410910" w:rsidRPr="00120830">
        <w:t>(5410/03), 20 March 2007</w:t>
      </w:r>
      <w:r w:rsidR="00C314BC" w:rsidRPr="00120830">
        <w:t xml:space="preserve">; </w:t>
      </w:r>
      <w:r w:rsidR="00963454" w:rsidRPr="00120830">
        <w:t>see also</w:t>
      </w:r>
      <w:r w:rsidR="001161CB" w:rsidRPr="00120830">
        <w:t>, for more examples,</w:t>
      </w:r>
      <w:r w:rsidR="00963454" w:rsidRPr="00120830">
        <w:t xml:space="preserve"> </w:t>
      </w:r>
      <w:proofErr w:type="spellStart"/>
      <w:r w:rsidR="00963454" w:rsidRPr="00120830">
        <w:t>Bríd</w:t>
      </w:r>
      <w:proofErr w:type="spellEnd"/>
      <w:r w:rsidR="00963454" w:rsidRPr="00120830">
        <w:t xml:space="preserve"> </w:t>
      </w:r>
      <w:proofErr w:type="spellStart"/>
      <w:r w:rsidR="00963454" w:rsidRPr="00120830">
        <w:t>Ní</w:t>
      </w:r>
      <w:proofErr w:type="spellEnd"/>
      <w:r w:rsidR="00963454" w:rsidRPr="00120830">
        <w:t xml:space="preserve"> </w:t>
      </w:r>
      <w:proofErr w:type="spellStart"/>
      <w:r w:rsidR="00963454" w:rsidRPr="00120830">
        <w:t>Ghráinne</w:t>
      </w:r>
      <w:proofErr w:type="spellEnd"/>
      <w:r w:rsidR="00963454" w:rsidRPr="00120830">
        <w:t xml:space="preserve"> and Aisling McMahon, </w:t>
      </w:r>
      <w:r w:rsidR="00F63DAE">
        <w:t>“</w:t>
      </w:r>
      <w:r w:rsidR="00963454" w:rsidRPr="00120830">
        <w:t>Access to Abortion in Cases of Fatal Foetal Abnormality: A New Direction for the European Court of Human Rights?</w:t>
      </w:r>
      <w:r w:rsidR="00F63DAE">
        <w:t>”</w:t>
      </w:r>
      <w:r w:rsidR="00963454" w:rsidRPr="00120830">
        <w:t xml:space="preserve"> (2019) 19(3) H.R.L.R. 561</w:t>
      </w:r>
      <w:r w:rsidR="00F63DAE">
        <w:t>.</w:t>
      </w:r>
    </w:p>
  </w:footnote>
  <w:footnote w:id="35">
    <w:p w14:paraId="53731A12" w14:textId="039BCAA7" w:rsidR="00E372DF" w:rsidRPr="00120830" w:rsidRDefault="00E372DF" w:rsidP="00BD6BC8">
      <w:pPr>
        <w:pStyle w:val="FootnoteText"/>
        <w:jc w:val="both"/>
        <w:rPr>
          <w:rFonts w:cs="Times New Roman"/>
          <w:i/>
          <w:iCs/>
        </w:rPr>
      </w:pPr>
      <w:r w:rsidRPr="00120830">
        <w:rPr>
          <w:rStyle w:val="FootnoteReference"/>
          <w:rFonts w:cs="Times New Roman"/>
        </w:rPr>
        <w:footnoteRef/>
      </w:r>
      <w:r w:rsidRPr="00120830">
        <w:rPr>
          <w:rFonts w:cs="Times New Roman"/>
        </w:rPr>
        <w:t xml:space="preserve"> Although the Supreme Court has sometimes adopted an incremental approach to the development of the common law, </w:t>
      </w:r>
      <w:r w:rsidR="00646A31" w:rsidRPr="00120830">
        <w:rPr>
          <w:rFonts w:cs="Times New Roman"/>
        </w:rPr>
        <w:t xml:space="preserve">this is very different form of </w:t>
      </w:r>
      <w:r w:rsidR="00F63DAE">
        <w:rPr>
          <w:rFonts w:cs="Times New Roman"/>
        </w:rPr>
        <w:t>“</w:t>
      </w:r>
      <w:r w:rsidR="00646A31" w:rsidRPr="00120830">
        <w:rPr>
          <w:rFonts w:cs="Times New Roman"/>
        </w:rPr>
        <w:t>incrementalism</w:t>
      </w:r>
      <w:r w:rsidR="00F63DAE">
        <w:rPr>
          <w:rFonts w:cs="Times New Roman"/>
        </w:rPr>
        <w:t>”</w:t>
      </w:r>
      <w:r w:rsidR="00F63DAE">
        <w:t>—</w:t>
      </w:r>
      <w:r w:rsidRPr="00120830">
        <w:rPr>
          <w:rFonts w:cs="Times New Roman"/>
        </w:rPr>
        <w:t>see</w:t>
      </w:r>
      <w:r w:rsidR="00646A31" w:rsidRPr="00120830">
        <w:rPr>
          <w:rFonts w:cs="Times New Roman"/>
        </w:rPr>
        <w:t xml:space="preserve">, for example, </w:t>
      </w:r>
      <w:r w:rsidRPr="00120830">
        <w:rPr>
          <w:rFonts w:cs="Times New Roman"/>
          <w:i/>
          <w:iCs/>
        </w:rPr>
        <w:t>Robinson</w:t>
      </w:r>
      <w:r w:rsidR="00646A31" w:rsidRPr="00120830">
        <w:rPr>
          <w:rFonts w:cs="Times New Roman"/>
          <w:i/>
          <w:iCs/>
        </w:rPr>
        <w:t xml:space="preserve"> v Chief Constable of West Yorkshire Police </w:t>
      </w:r>
      <w:r w:rsidR="00646A31" w:rsidRPr="00120830">
        <w:rPr>
          <w:rFonts w:cs="Times New Roman"/>
        </w:rPr>
        <w:t>[2018] UKSC 4</w:t>
      </w:r>
      <w:r w:rsidR="002A191B" w:rsidRPr="00120830">
        <w:rPr>
          <w:rFonts w:cs="Times New Roman"/>
        </w:rPr>
        <w:t>; [2018] A.C. 736</w:t>
      </w:r>
      <w:r w:rsidR="00F63DAE">
        <w:rPr>
          <w:rFonts w:cs="Times New Roman"/>
        </w:rPr>
        <w:t>.</w:t>
      </w:r>
    </w:p>
  </w:footnote>
  <w:footnote w:id="36">
    <w:p w14:paraId="3AEED181" w14:textId="09537B5F" w:rsidR="00EF6BB1" w:rsidRPr="00120830" w:rsidRDefault="00EF6BB1" w:rsidP="00BD6BC8">
      <w:pPr>
        <w:pStyle w:val="FootnoteText"/>
        <w:jc w:val="both"/>
        <w:rPr>
          <w:rFonts w:cs="Times New Roman"/>
          <w:color w:val="000000" w:themeColor="text1"/>
        </w:rPr>
      </w:pPr>
      <w:r w:rsidRPr="00120830">
        <w:rPr>
          <w:rStyle w:val="FootnoteReference"/>
          <w:rFonts w:cs="Times New Roman"/>
        </w:rPr>
        <w:footnoteRef/>
      </w:r>
      <w:r w:rsidRPr="00120830">
        <w:rPr>
          <w:rFonts w:cs="Times New Roman"/>
        </w:rPr>
        <w:t xml:space="preserve"> The same point is made by </w:t>
      </w:r>
      <w:r w:rsidR="002A191B" w:rsidRPr="00120830">
        <w:rPr>
          <w:rFonts w:cs="Times New Roman"/>
          <w:color w:val="000000" w:themeColor="text1"/>
        </w:rPr>
        <w:t xml:space="preserve">Roger </w:t>
      </w:r>
      <w:r w:rsidRPr="00120830">
        <w:rPr>
          <w:rFonts w:cs="Times New Roman"/>
          <w:color w:val="000000" w:themeColor="text1"/>
        </w:rPr>
        <w:t xml:space="preserve">Masterman, </w:t>
      </w:r>
      <w:r w:rsidR="002A191B" w:rsidRPr="00120830">
        <w:rPr>
          <w:rFonts w:cs="Times New Roman"/>
          <w:color w:val="000000" w:themeColor="text1"/>
        </w:rPr>
        <w:t xml:space="preserve">“Deconstructing the Mirror Principle” in Masterman and Leigh (eds) </w:t>
      </w:r>
      <w:r w:rsidR="002A191B" w:rsidRPr="00120830">
        <w:rPr>
          <w:rFonts w:cs="Times New Roman"/>
          <w:i/>
          <w:iCs/>
          <w:color w:val="000000" w:themeColor="text1"/>
        </w:rPr>
        <w:t>The United Kingdom's Statutory Bill of Rights: Constitutional and Comparative Perspectives</w:t>
      </w:r>
      <w:r w:rsidR="002A191B" w:rsidRPr="00120830">
        <w:rPr>
          <w:rFonts w:cs="Times New Roman"/>
          <w:color w:val="000000" w:themeColor="text1"/>
        </w:rPr>
        <w:t xml:space="preserve"> (Oxford University Press, 2013)</w:t>
      </w:r>
      <w:r w:rsidR="00775B96">
        <w:rPr>
          <w:rFonts w:cs="Times New Roman"/>
          <w:color w:val="000000" w:themeColor="text1"/>
        </w:rPr>
        <w:t xml:space="preserve">, </w:t>
      </w:r>
      <w:r w:rsidRPr="00120830">
        <w:rPr>
          <w:rFonts w:cs="Times New Roman"/>
          <w:color w:val="000000" w:themeColor="text1"/>
        </w:rPr>
        <w:t>p.</w:t>
      </w:r>
      <w:r w:rsidR="002E6631" w:rsidRPr="00120830">
        <w:rPr>
          <w:rFonts w:cs="Times New Roman"/>
          <w:color w:val="000000" w:themeColor="text1"/>
        </w:rPr>
        <w:t>123</w:t>
      </w:r>
      <w:r w:rsidR="00337BE3">
        <w:rPr>
          <w:rFonts w:cs="Times New Roman"/>
          <w:color w:val="000000" w:themeColor="text1"/>
        </w:rPr>
        <w:t>.</w:t>
      </w:r>
    </w:p>
  </w:footnote>
  <w:footnote w:id="37">
    <w:p w14:paraId="27269685" w14:textId="566B91EA" w:rsidR="002D6541" w:rsidRPr="00120830" w:rsidRDefault="002D6541"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Kanstantsin Dzehtsiarou, </w:t>
      </w:r>
      <w:r w:rsidRPr="00120830">
        <w:rPr>
          <w:rFonts w:cs="Times New Roman"/>
          <w:i/>
          <w:iCs/>
        </w:rPr>
        <w:t xml:space="preserve">European Consensus and the Legitimacy of the European Court of Human Rights </w:t>
      </w:r>
      <w:r w:rsidRPr="00120830">
        <w:rPr>
          <w:rFonts w:cs="Times New Roman"/>
        </w:rPr>
        <w:t>(Cambridge University Press, 2015)</w:t>
      </w:r>
      <w:r>
        <w:rPr>
          <w:rFonts w:cs="Times New Roman"/>
        </w:rPr>
        <w:t>, p.9</w:t>
      </w:r>
      <w:r w:rsidR="00775B96">
        <w:rPr>
          <w:rFonts w:cs="Times New Roman"/>
        </w:rPr>
        <w:t>.</w:t>
      </w:r>
    </w:p>
  </w:footnote>
  <w:footnote w:id="38">
    <w:p w14:paraId="2ACE1730" w14:textId="77C997EB" w:rsidR="000C1BBC" w:rsidRPr="00120830" w:rsidRDefault="000C1BBC"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See </w:t>
      </w:r>
      <w:r w:rsidR="00BD6E6A" w:rsidRPr="00120830">
        <w:rPr>
          <w:rFonts w:cs="Times New Roman"/>
        </w:rPr>
        <w:t xml:space="preserve">Meeting of </w:t>
      </w:r>
      <w:r w:rsidR="007165E3" w:rsidRPr="00120830">
        <w:rPr>
          <w:rFonts w:cs="Times New Roman"/>
        </w:rPr>
        <w:t>IHRAR</w:t>
      </w:r>
      <w:r w:rsidR="00431AC9" w:rsidRPr="00120830">
        <w:rPr>
          <w:rFonts w:cs="Times New Roman"/>
        </w:rPr>
        <w:t xml:space="preserve"> and </w:t>
      </w:r>
      <w:r w:rsidR="007165E3" w:rsidRPr="00120830">
        <w:rPr>
          <w:rFonts w:cs="Times New Roman"/>
        </w:rPr>
        <w:t>ECtHR judges</w:t>
      </w:r>
      <w:r w:rsidRPr="00120830">
        <w:rPr>
          <w:rFonts w:cs="Times New Roman"/>
        </w:rPr>
        <w:t xml:space="preserve">; and </w:t>
      </w:r>
      <w:proofErr w:type="spellStart"/>
      <w:r w:rsidR="00431AC9" w:rsidRPr="00120830">
        <w:rPr>
          <w:rFonts w:cs="Times New Roman"/>
        </w:rPr>
        <w:t>Janneke</w:t>
      </w:r>
      <w:proofErr w:type="spellEnd"/>
      <w:r w:rsidR="00431AC9" w:rsidRPr="00120830">
        <w:rPr>
          <w:rFonts w:cs="Times New Roman"/>
        </w:rPr>
        <w:t xml:space="preserve"> </w:t>
      </w:r>
      <w:proofErr w:type="spellStart"/>
      <w:r w:rsidRPr="00120830">
        <w:rPr>
          <w:rFonts w:cs="Times New Roman"/>
        </w:rPr>
        <w:t>Gerards</w:t>
      </w:r>
      <w:proofErr w:type="spellEnd"/>
      <w:r w:rsidRPr="00120830">
        <w:rPr>
          <w:rFonts w:cs="Times New Roman"/>
        </w:rPr>
        <w:t xml:space="preserve">, </w:t>
      </w:r>
      <w:r w:rsidR="002C4BB6" w:rsidRPr="00120830">
        <w:rPr>
          <w:rFonts w:cs="Times New Roman"/>
        </w:rPr>
        <w:t>“</w:t>
      </w:r>
      <w:r w:rsidRPr="00120830">
        <w:rPr>
          <w:rFonts w:cs="Times New Roman"/>
        </w:rPr>
        <w:t>The ECtHR and the National Courts</w:t>
      </w:r>
      <w:r w:rsidR="002C4BB6" w:rsidRPr="00120830">
        <w:rPr>
          <w:rFonts w:cs="Times New Roman"/>
        </w:rPr>
        <w:t>:</w:t>
      </w:r>
      <w:r w:rsidRPr="00120830">
        <w:rPr>
          <w:rFonts w:cs="Times New Roman"/>
        </w:rPr>
        <w:t xml:space="preserve"> Giving Shape to the Notion of ‘Shared Responsibility’</w:t>
      </w:r>
      <w:r w:rsidR="002C4BB6" w:rsidRPr="00120830">
        <w:rPr>
          <w:rFonts w:cs="Times New Roman"/>
        </w:rPr>
        <w:t xml:space="preserve">” in </w:t>
      </w:r>
      <w:proofErr w:type="spellStart"/>
      <w:r w:rsidR="002C4BB6" w:rsidRPr="00120830">
        <w:rPr>
          <w:rFonts w:cs="Times New Roman"/>
        </w:rPr>
        <w:t>Gerards</w:t>
      </w:r>
      <w:proofErr w:type="spellEnd"/>
      <w:r w:rsidR="002C4BB6" w:rsidRPr="00120830">
        <w:rPr>
          <w:rFonts w:cs="Times New Roman"/>
        </w:rPr>
        <w:t xml:space="preserve"> and </w:t>
      </w:r>
      <w:proofErr w:type="spellStart"/>
      <w:r w:rsidR="002C4BB6" w:rsidRPr="00120830">
        <w:rPr>
          <w:rFonts w:cs="Times New Roman"/>
        </w:rPr>
        <w:t>Fleuren</w:t>
      </w:r>
      <w:proofErr w:type="spellEnd"/>
      <w:r w:rsidR="002C4BB6" w:rsidRPr="00120830">
        <w:rPr>
          <w:rFonts w:cs="Times New Roman"/>
        </w:rPr>
        <w:t xml:space="preserve"> (eds) </w:t>
      </w:r>
      <w:r w:rsidR="002C4BB6" w:rsidRPr="00120830">
        <w:rPr>
          <w:rFonts w:cs="Times New Roman"/>
          <w:i/>
          <w:iCs/>
        </w:rPr>
        <w:t xml:space="preserve">Implementation of the European Convention on Human Rights and of the Judgments of the ECtHR in National Case Law </w:t>
      </w:r>
      <w:r w:rsidR="002C4BB6" w:rsidRPr="00120830">
        <w:rPr>
          <w:rFonts w:cs="Times New Roman"/>
        </w:rPr>
        <w:t>(</w:t>
      </w:r>
      <w:proofErr w:type="spellStart"/>
      <w:r w:rsidR="002C4BB6" w:rsidRPr="00120830">
        <w:rPr>
          <w:rFonts w:cs="Times New Roman"/>
        </w:rPr>
        <w:t>Intersentia</w:t>
      </w:r>
      <w:proofErr w:type="spellEnd"/>
      <w:r w:rsidR="002C4BB6" w:rsidRPr="00120830">
        <w:rPr>
          <w:rFonts w:cs="Times New Roman"/>
        </w:rPr>
        <w:t>, 2014)</w:t>
      </w:r>
      <w:r w:rsidR="00775B96">
        <w:rPr>
          <w:rFonts w:cs="Times New Roman"/>
        </w:rPr>
        <w:t>.</w:t>
      </w:r>
    </w:p>
  </w:footnote>
  <w:footnote w:id="39">
    <w:p w14:paraId="4B51F107" w14:textId="0BD61161" w:rsidR="00867520" w:rsidRPr="00120830" w:rsidRDefault="00867520" w:rsidP="00BD6BC8">
      <w:pPr>
        <w:pStyle w:val="FootnoteText"/>
        <w:jc w:val="both"/>
      </w:pPr>
      <w:r w:rsidRPr="00120830">
        <w:rPr>
          <w:rStyle w:val="FootnoteReference"/>
        </w:rPr>
        <w:footnoteRef/>
      </w:r>
      <w:r w:rsidRPr="00120830">
        <w:t xml:space="preserve"> </w:t>
      </w:r>
      <w:r w:rsidR="00B63448" w:rsidRPr="00120830">
        <w:rPr>
          <w:i/>
          <w:iCs/>
        </w:rPr>
        <w:t xml:space="preserve">Van </w:t>
      </w:r>
      <w:proofErr w:type="spellStart"/>
      <w:r w:rsidR="00B63448" w:rsidRPr="00120830">
        <w:rPr>
          <w:i/>
          <w:iCs/>
        </w:rPr>
        <w:t>Kück</w:t>
      </w:r>
      <w:proofErr w:type="spellEnd"/>
      <w:r w:rsidR="00B63448" w:rsidRPr="00120830">
        <w:rPr>
          <w:i/>
          <w:iCs/>
        </w:rPr>
        <w:t xml:space="preserve"> v Germany</w:t>
      </w:r>
      <w:r w:rsidR="00B63448" w:rsidRPr="00120830">
        <w:t xml:space="preserve"> (35968/97), 12 June 2003</w:t>
      </w:r>
      <w:r w:rsidR="00775B96">
        <w:t>.</w:t>
      </w:r>
    </w:p>
  </w:footnote>
  <w:footnote w:id="40">
    <w:p w14:paraId="30EFFAC9" w14:textId="2E656538" w:rsidR="00867520" w:rsidRPr="00120830" w:rsidRDefault="00867520" w:rsidP="00BD6BC8">
      <w:pPr>
        <w:pStyle w:val="FootnoteText"/>
        <w:jc w:val="both"/>
      </w:pPr>
      <w:r w:rsidRPr="00120830">
        <w:rPr>
          <w:rStyle w:val="FootnoteReference"/>
        </w:rPr>
        <w:footnoteRef/>
      </w:r>
      <w:r w:rsidRPr="00120830">
        <w:t xml:space="preserve"> </w:t>
      </w:r>
      <w:r w:rsidR="00B63448" w:rsidRPr="00120830">
        <w:rPr>
          <w:i/>
          <w:iCs/>
        </w:rPr>
        <w:t>E.B. v France</w:t>
      </w:r>
      <w:r w:rsidR="00B63448" w:rsidRPr="00120830">
        <w:t xml:space="preserve"> [GC] (43546/02)</w:t>
      </w:r>
      <w:r w:rsidR="00524D8A">
        <w:t>,</w:t>
      </w:r>
      <w:r w:rsidR="00B63448" w:rsidRPr="00120830">
        <w:t xml:space="preserve"> 22 January 2008</w:t>
      </w:r>
      <w:r w:rsidR="00775B96">
        <w:t>.</w:t>
      </w:r>
    </w:p>
  </w:footnote>
  <w:footnote w:id="41">
    <w:p w14:paraId="1A435E40" w14:textId="02E8EAEA" w:rsidR="00867520" w:rsidRPr="00120830" w:rsidRDefault="00867520" w:rsidP="00BD6BC8">
      <w:pPr>
        <w:pStyle w:val="FootnoteText"/>
        <w:jc w:val="both"/>
      </w:pPr>
      <w:r w:rsidRPr="00120830">
        <w:rPr>
          <w:rStyle w:val="FootnoteReference"/>
        </w:rPr>
        <w:footnoteRef/>
      </w:r>
      <w:r w:rsidRPr="00120830">
        <w:t xml:space="preserve"> </w:t>
      </w:r>
      <w:r w:rsidR="00B63448" w:rsidRPr="00120830">
        <w:rPr>
          <w:i/>
          <w:iCs/>
        </w:rPr>
        <w:t>Hirst v the United Kingdom</w:t>
      </w:r>
      <w:r w:rsidR="00B63448" w:rsidRPr="00120830">
        <w:t xml:space="preserve"> [GC] (74025/01)</w:t>
      </w:r>
      <w:r w:rsidR="00524D8A">
        <w:t>,</w:t>
      </w:r>
      <w:r w:rsidR="00B63448" w:rsidRPr="00120830">
        <w:t xml:space="preserve"> 6 October 2005</w:t>
      </w:r>
      <w:r w:rsidR="00775B96">
        <w:t>.</w:t>
      </w:r>
    </w:p>
  </w:footnote>
  <w:footnote w:id="42">
    <w:p w14:paraId="2C9134AB" w14:textId="21638484" w:rsidR="00F04AE9" w:rsidRPr="00120830" w:rsidRDefault="00F04AE9"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proofErr w:type="spellStart"/>
      <w:r w:rsidR="0019045E" w:rsidRPr="00120830">
        <w:rPr>
          <w:rFonts w:cs="Times New Roman"/>
        </w:rPr>
        <w:t>Eirik</w:t>
      </w:r>
      <w:proofErr w:type="spellEnd"/>
      <w:r w:rsidR="0019045E" w:rsidRPr="00120830">
        <w:rPr>
          <w:rFonts w:cs="Times New Roman"/>
        </w:rPr>
        <w:t xml:space="preserve"> </w:t>
      </w:r>
      <w:proofErr w:type="spellStart"/>
      <w:r w:rsidR="00E46020" w:rsidRPr="00120830">
        <w:rPr>
          <w:rFonts w:cs="Times New Roman"/>
        </w:rPr>
        <w:t>B</w:t>
      </w:r>
      <w:r w:rsidR="0019045E" w:rsidRPr="00120830">
        <w:rPr>
          <w:rFonts w:cs="Times New Roman"/>
        </w:rPr>
        <w:t>j</w:t>
      </w:r>
      <w:r w:rsidR="00E46020" w:rsidRPr="00120830">
        <w:rPr>
          <w:rFonts w:cs="Times New Roman"/>
        </w:rPr>
        <w:t>orge</w:t>
      </w:r>
      <w:proofErr w:type="spellEnd"/>
      <w:r w:rsidR="0019045E" w:rsidRPr="00120830">
        <w:rPr>
          <w:rFonts w:cs="Times New Roman"/>
        </w:rPr>
        <w:t xml:space="preserve">, “National supreme courts and the development of ECHR rights” </w:t>
      </w:r>
      <w:r w:rsidR="00424166" w:rsidRPr="00120830">
        <w:rPr>
          <w:rFonts w:cs="Times New Roman"/>
        </w:rPr>
        <w:t>(</w:t>
      </w:r>
      <w:r w:rsidR="00CB1381" w:rsidRPr="00120830">
        <w:rPr>
          <w:rFonts w:cs="Times New Roman"/>
        </w:rPr>
        <w:t>2011</w:t>
      </w:r>
      <w:r w:rsidR="00424166" w:rsidRPr="00120830">
        <w:rPr>
          <w:rFonts w:cs="Times New Roman"/>
        </w:rPr>
        <w:t>)</w:t>
      </w:r>
      <w:r w:rsidR="00CB1381" w:rsidRPr="00120830">
        <w:rPr>
          <w:rFonts w:cs="Times New Roman"/>
        </w:rPr>
        <w:t xml:space="preserve"> 9(1) I•CON 5</w:t>
      </w:r>
      <w:r w:rsidR="00E46020" w:rsidRPr="00120830">
        <w:rPr>
          <w:rFonts w:cs="Times New Roman"/>
        </w:rPr>
        <w:t xml:space="preserve">, </w:t>
      </w:r>
      <w:r w:rsidR="007D167F" w:rsidRPr="00120830">
        <w:rPr>
          <w:rFonts w:cs="Times New Roman"/>
        </w:rPr>
        <w:t>30</w:t>
      </w:r>
      <w:r w:rsidR="0085753E" w:rsidRPr="00120830">
        <w:rPr>
          <w:rFonts w:cs="Times New Roman"/>
        </w:rPr>
        <w:t xml:space="preserve">; see also </w:t>
      </w:r>
      <w:proofErr w:type="spellStart"/>
      <w:r w:rsidR="0085753E" w:rsidRPr="00120830">
        <w:rPr>
          <w:rFonts w:cs="Times New Roman"/>
        </w:rPr>
        <w:t>Bjorge</w:t>
      </w:r>
      <w:proofErr w:type="spellEnd"/>
      <w:r w:rsidR="0085753E" w:rsidRPr="00120830">
        <w:rPr>
          <w:rFonts w:cs="Times New Roman"/>
        </w:rPr>
        <w:t xml:space="preserve">, </w:t>
      </w:r>
      <w:r w:rsidR="0085753E" w:rsidRPr="00120830">
        <w:rPr>
          <w:rFonts w:cs="Times New Roman"/>
          <w:i/>
          <w:iCs/>
        </w:rPr>
        <w:t xml:space="preserve">Domestic Application of the ECHR: Courts as Faithful Trustees </w:t>
      </w:r>
      <w:r w:rsidR="0085753E" w:rsidRPr="00120830">
        <w:rPr>
          <w:rFonts w:cs="Times New Roman"/>
        </w:rPr>
        <w:t>(O</w:t>
      </w:r>
      <w:r w:rsidR="00D57018" w:rsidRPr="00120830">
        <w:rPr>
          <w:rFonts w:cs="Times New Roman"/>
        </w:rPr>
        <w:t xml:space="preserve">xford </w:t>
      </w:r>
      <w:r w:rsidR="0085753E" w:rsidRPr="00120830">
        <w:rPr>
          <w:rFonts w:cs="Times New Roman"/>
        </w:rPr>
        <w:t>U</w:t>
      </w:r>
      <w:r w:rsidR="00D57018" w:rsidRPr="00120830">
        <w:rPr>
          <w:rFonts w:cs="Times New Roman"/>
        </w:rPr>
        <w:t xml:space="preserve">niversity </w:t>
      </w:r>
      <w:r w:rsidR="0085753E" w:rsidRPr="00120830">
        <w:rPr>
          <w:rFonts w:cs="Times New Roman"/>
        </w:rPr>
        <w:t>P</w:t>
      </w:r>
      <w:r w:rsidR="00D57018" w:rsidRPr="00120830">
        <w:rPr>
          <w:rFonts w:cs="Times New Roman"/>
        </w:rPr>
        <w:t>ress</w:t>
      </w:r>
      <w:r w:rsidR="00F853EB">
        <w:rPr>
          <w:rFonts w:cs="Times New Roman"/>
        </w:rPr>
        <w:t>,</w:t>
      </w:r>
      <w:r w:rsidR="0085753E" w:rsidRPr="00120830">
        <w:rPr>
          <w:rFonts w:cs="Times New Roman"/>
        </w:rPr>
        <w:t xml:space="preserve"> 2015), which ends with the following conclusion: “The safeguarding of the Convention rights was always intended to lie in the first place with the domestic authorities</w:t>
      </w:r>
      <w:r w:rsidR="00675C8A" w:rsidRPr="00120830">
        <w:rPr>
          <w:rFonts w:cs="Times New Roman"/>
        </w:rPr>
        <w:t xml:space="preserve"> </w:t>
      </w:r>
      <w:r w:rsidR="0085753E" w:rsidRPr="00120830">
        <w:rPr>
          <w:rFonts w:cs="Times New Roman"/>
        </w:rPr>
        <w:t>… The domestic authorities are supposed to be the prime movers, willing to take a lead both in the development and the further realization of the Convention rights; only then can the role of the European Court properly be called subsidiary.”</w:t>
      </w:r>
    </w:p>
  </w:footnote>
  <w:footnote w:id="43">
    <w:p w14:paraId="76DFDB97" w14:textId="01DF8FBA" w:rsidR="00CE23BC" w:rsidRPr="00BF510B" w:rsidRDefault="00CE23BC" w:rsidP="00BD6BC8">
      <w:pPr>
        <w:pStyle w:val="FootnoteText"/>
        <w:jc w:val="both"/>
      </w:pPr>
      <w:r>
        <w:rPr>
          <w:rStyle w:val="FootnoteReference"/>
        </w:rPr>
        <w:footnoteRef/>
      </w:r>
      <w:r>
        <w:t xml:space="preserve"> </w:t>
      </w:r>
      <w:r w:rsidR="00EB2D61">
        <w:t>For</w:t>
      </w:r>
      <w:r w:rsidR="00C74803">
        <w:t xml:space="preserve"> the circumstances in which it can be rebutted, </w:t>
      </w:r>
      <w:r w:rsidR="00EB2D61">
        <w:t xml:space="preserve">see </w:t>
      </w:r>
      <w:r w:rsidRPr="00120830">
        <w:rPr>
          <w:rFonts w:cs="Times New Roman"/>
        </w:rPr>
        <w:t xml:space="preserve">Dzehtsiarou, </w:t>
      </w:r>
      <w:r w:rsidRPr="00120830">
        <w:rPr>
          <w:rFonts w:cs="Times New Roman"/>
          <w:i/>
          <w:iCs/>
        </w:rPr>
        <w:t>European Consensus</w:t>
      </w:r>
      <w:r>
        <w:rPr>
          <w:rFonts w:cs="Times New Roman"/>
          <w:i/>
          <w:iCs/>
        </w:rPr>
        <w:t xml:space="preserve"> </w:t>
      </w:r>
      <w:r w:rsidRPr="00120830">
        <w:rPr>
          <w:rFonts w:cs="Times New Roman"/>
          <w:i/>
          <w:iCs/>
        </w:rPr>
        <w:t>and the Legitimacy of the European Court of Human Rights</w:t>
      </w:r>
      <w:r>
        <w:rPr>
          <w:rFonts w:cs="Times New Roman"/>
        </w:rPr>
        <w:t>, pp.30-36</w:t>
      </w:r>
      <w:r w:rsidR="00BF510B">
        <w:rPr>
          <w:rFonts w:cs="Times New Roman"/>
        </w:rPr>
        <w:t xml:space="preserve">. On the </w:t>
      </w:r>
      <w:r w:rsidR="00865D11">
        <w:rPr>
          <w:rFonts w:cs="Times New Roman"/>
        </w:rPr>
        <w:t xml:space="preserve">doctrine’s </w:t>
      </w:r>
      <w:r w:rsidR="00BF510B">
        <w:rPr>
          <w:rFonts w:cs="Times New Roman"/>
        </w:rPr>
        <w:t xml:space="preserve">collective nature, see Jens </w:t>
      </w:r>
      <w:proofErr w:type="spellStart"/>
      <w:r w:rsidR="00BF510B">
        <w:rPr>
          <w:rFonts w:cs="Times New Roman"/>
        </w:rPr>
        <w:t>Theilen</w:t>
      </w:r>
      <w:proofErr w:type="spellEnd"/>
      <w:r w:rsidR="00BF510B">
        <w:rPr>
          <w:rFonts w:cs="Times New Roman"/>
        </w:rPr>
        <w:t xml:space="preserve">, </w:t>
      </w:r>
      <w:r w:rsidR="00BF510B" w:rsidRPr="00527E06">
        <w:rPr>
          <w:rFonts w:cs="Times New Roman"/>
          <w:i/>
          <w:iCs/>
        </w:rPr>
        <w:t>European Consensus between Strategy and Principle</w:t>
      </w:r>
      <w:r w:rsidR="00BF510B">
        <w:rPr>
          <w:rFonts w:cs="Times New Roman"/>
          <w:i/>
          <w:iCs/>
        </w:rPr>
        <w:t xml:space="preserve"> </w:t>
      </w:r>
      <w:r w:rsidR="00BF510B">
        <w:rPr>
          <w:rFonts w:cs="Times New Roman"/>
        </w:rPr>
        <w:t>(Nomos, 2021), pp.139-145</w:t>
      </w:r>
      <w:r w:rsidR="00F853EB">
        <w:rPr>
          <w:rFonts w:cs="Times New Roman"/>
        </w:rPr>
        <w:t>.</w:t>
      </w:r>
    </w:p>
  </w:footnote>
  <w:footnote w:id="44">
    <w:p w14:paraId="40995D91" w14:textId="789988E4" w:rsidR="003F28FA" w:rsidRPr="00120830" w:rsidRDefault="003F28FA" w:rsidP="00BD6BC8">
      <w:pPr>
        <w:pStyle w:val="FootnoteText"/>
        <w:jc w:val="both"/>
        <w:rPr>
          <w:rFonts w:cs="Times New Roman"/>
        </w:rPr>
      </w:pPr>
      <w:r w:rsidRPr="00120830">
        <w:rPr>
          <w:rStyle w:val="FootnoteReference"/>
          <w:rFonts w:cs="Times New Roman"/>
          <w:color w:val="000000" w:themeColor="text1"/>
        </w:rPr>
        <w:footnoteRef/>
      </w:r>
      <w:r w:rsidRPr="00120830">
        <w:rPr>
          <w:rFonts w:cs="Times New Roman"/>
          <w:color w:val="000000" w:themeColor="text1"/>
        </w:rPr>
        <w:t xml:space="preserve"> Interlaken Declaration, Action Plan at para 9(a)</w:t>
      </w:r>
      <w:r w:rsidR="00F853EB">
        <w:rPr>
          <w:rFonts w:cs="Times New Roman"/>
          <w:color w:val="000000" w:themeColor="text1"/>
        </w:rPr>
        <w:t>.</w:t>
      </w:r>
    </w:p>
  </w:footnote>
  <w:footnote w:id="45">
    <w:p w14:paraId="0D51D8F0" w14:textId="3525871F" w:rsidR="008B49F9" w:rsidRPr="00120830" w:rsidRDefault="008B49F9"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The most well-known examples are the following pairs of cases: </w:t>
      </w:r>
      <w:r w:rsidRPr="00120830">
        <w:rPr>
          <w:rFonts w:cs="Times New Roman"/>
          <w:i/>
          <w:iCs/>
        </w:rPr>
        <w:t xml:space="preserve">R v Spear </w:t>
      </w:r>
      <w:r w:rsidRPr="00120830">
        <w:rPr>
          <w:rFonts w:cs="Times New Roman"/>
        </w:rPr>
        <w:t>[2002] UKHL 31</w:t>
      </w:r>
      <w:r w:rsidR="005159ED" w:rsidRPr="00120830">
        <w:rPr>
          <w:rFonts w:cs="Times New Roman"/>
        </w:rPr>
        <w:t>; [2003] 1 A.C. 734</w:t>
      </w:r>
      <w:r w:rsidRPr="00120830">
        <w:rPr>
          <w:rFonts w:cs="Times New Roman"/>
        </w:rPr>
        <w:t xml:space="preserve"> and </w:t>
      </w:r>
      <w:r w:rsidRPr="00120830">
        <w:rPr>
          <w:rFonts w:cs="Times New Roman"/>
          <w:i/>
          <w:iCs/>
        </w:rPr>
        <w:t>Cooper v the United Kingdom</w:t>
      </w:r>
      <w:r w:rsidRPr="00120830">
        <w:rPr>
          <w:rFonts w:cs="Times New Roman"/>
        </w:rPr>
        <w:t xml:space="preserve"> </w:t>
      </w:r>
      <w:r w:rsidR="0092248C" w:rsidRPr="00120830">
        <w:rPr>
          <w:rFonts w:cs="Times New Roman"/>
        </w:rPr>
        <w:t>[GC] (</w:t>
      </w:r>
      <w:r w:rsidRPr="00120830">
        <w:rPr>
          <w:rFonts w:cs="Times New Roman"/>
        </w:rPr>
        <w:t>48843/99</w:t>
      </w:r>
      <w:r w:rsidR="0092248C" w:rsidRPr="00120830">
        <w:rPr>
          <w:rFonts w:cs="Times New Roman"/>
        </w:rPr>
        <w:t>), 16 December 2003</w:t>
      </w:r>
      <w:r w:rsidRPr="00120830">
        <w:rPr>
          <w:rFonts w:cs="Times New Roman"/>
        </w:rPr>
        <w:t xml:space="preserve">; </w:t>
      </w:r>
      <w:r w:rsidR="004317D7" w:rsidRPr="00120830">
        <w:rPr>
          <w:rFonts w:cs="Times New Roman"/>
          <w:i/>
        </w:rPr>
        <w:t xml:space="preserve">R v Horncastle </w:t>
      </w:r>
      <w:r w:rsidR="004317D7" w:rsidRPr="00120830">
        <w:rPr>
          <w:rFonts w:cs="Times New Roman"/>
        </w:rPr>
        <w:t>[2009] UKSC 14</w:t>
      </w:r>
      <w:r w:rsidR="0003679D" w:rsidRPr="00120830">
        <w:rPr>
          <w:rFonts w:cs="Times New Roman"/>
        </w:rPr>
        <w:t>; [2010] 2 A.C. 373</w:t>
      </w:r>
      <w:r w:rsidR="004317D7" w:rsidRPr="00120830">
        <w:rPr>
          <w:rFonts w:cs="Times New Roman"/>
        </w:rPr>
        <w:t xml:space="preserve"> and </w:t>
      </w:r>
      <w:r w:rsidR="004317D7" w:rsidRPr="00120830">
        <w:rPr>
          <w:rFonts w:cs="Times New Roman"/>
          <w:i/>
        </w:rPr>
        <w:t xml:space="preserve">Al-Khawaja and </w:t>
      </w:r>
      <w:proofErr w:type="spellStart"/>
      <w:r w:rsidR="004317D7" w:rsidRPr="00120830">
        <w:rPr>
          <w:rFonts w:cs="Times New Roman"/>
          <w:i/>
        </w:rPr>
        <w:t>Tahery</w:t>
      </w:r>
      <w:proofErr w:type="spellEnd"/>
      <w:r w:rsidR="004317D7" w:rsidRPr="00120830">
        <w:rPr>
          <w:rFonts w:cs="Times New Roman"/>
          <w:i/>
        </w:rPr>
        <w:t xml:space="preserve"> v the United Kingdom </w:t>
      </w:r>
      <w:r w:rsidR="0003679D" w:rsidRPr="00120830">
        <w:rPr>
          <w:rFonts w:cs="Times New Roman"/>
        </w:rPr>
        <w:t>[GC]</w:t>
      </w:r>
      <w:r w:rsidR="004317D7" w:rsidRPr="00120830">
        <w:rPr>
          <w:rFonts w:cs="Times New Roman"/>
        </w:rPr>
        <w:t xml:space="preserve"> </w:t>
      </w:r>
      <w:r w:rsidR="0003679D" w:rsidRPr="00120830">
        <w:rPr>
          <w:rFonts w:cs="Times New Roman"/>
        </w:rPr>
        <w:t>(</w:t>
      </w:r>
      <w:r w:rsidR="004317D7" w:rsidRPr="00120830">
        <w:rPr>
          <w:rFonts w:cs="Times New Roman"/>
        </w:rPr>
        <w:t>26766/05</w:t>
      </w:r>
      <w:r w:rsidR="006D3DDF" w:rsidRPr="00120830">
        <w:rPr>
          <w:rFonts w:cs="Times New Roman"/>
        </w:rPr>
        <w:t xml:space="preserve"> and </w:t>
      </w:r>
      <w:r w:rsidR="004317D7" w:rsidRPr="00120830">
        <w:rPr>
          <w:rFonts w:cs="Times New Roman"/>
        </w:rPr>
        <w:t>22228/06</w:t>
      </w:r>
      <w:r w:rsidR="006D3DDF" w:rsidRPr="00120830">
        <w:rPr>
          <w:rFonts w:cs="Times New Roman"/>
        </w:rPr>
        <w:t>), 15 December 2011</w:t>
      </w:r>
      <w:r w:rsidR="004317D7" w:rsidRPr="00120830">
        <w:rPr>
          <w:rFonts w:cs="Times New Roman"/>
        </w:rPr>
        <w:t xml:space="preserve">; </w:t>
      </w:r>
      <w:r w:rsidR="002A31B3" w:rsidRPr="00120830">
        <w:rPr>
          <w:rFonts w:cs="Times New Roman"/>
          <w:i/>
        </w:rPr>
        <w:t>R</w:t>
      </w:r>
      <w:r w:rsidR="0003679D" w:rsidRPr="00120830">
        <w:rPr>
          <w:rFonts w:cs="Times New Roman"/>
          <w:i/>
        </w:rPr>
        <w:t>.</w:t>
      </w:r>
      <w:r w:rsidR="002A31B3" w:rsidRPr="00120830">
        <w:rPr>
          <w:rFonts w:cs="Times New Roman"/>
          <w:i/>
        </w:rPr>
        <w:t xml:space="preserve"> (Animal Defenders International) v Culture Secretary</w:t>
      </w:r>
      <w:r w:rsidR="002A31B3" w:rsidRPr="00120830">
        <w:rPr>
          <w:rFonts w:cs="Times New Roman"/>
        </w:rPr>
        <w:t xml:space="preserve"> [2008] UKHL 15</w:t>
      </w:r>
      <w:r w:rsidR="00527926" w:rsidRPr="00120830">
        <w:rPr>
          <w:rFonts w:cs="Times New Roman"/>
        </w:rPr>
        <w:t>; [2008] 1 A.C. 1312</w:t>
      </w:r>
      <w:r w:rsidR="002A31B3" w:rsidRPr="00120830">
        <w:rPr>
          <w:rFonts w:cs="Times New Roman"/>
        </w:rPr>
        <w:t xml:space="preserve"> and </w:t>
      </w:r>
      <w:r w:rsidR="002A31B3" w:rsidRPr="00120830">
        <w:rPr>
          <w:rFonts w:cs="Times New Roman"/>
          <w:i/>
        </w:rPr>
        <w:t>Animal Defenders International v the United Kingdom</w:t>
      </w:r>
      <w:r w:rsidR="002A31B3" w:rsidRPr="00120830">
        <w:rPr>
          <w:rFonts w:cs="Times New Roman"/>
        </w:rPr>
        <w:t xml:space="preserve"> </w:t>
      </w:r>
      <w:r w:rsidR="00527926" w:rsidRPr="00120830">
        <w:rPr>
          <w:rFonts w:cs="Times New Roman"/>
        </w:rPr>
        <w:t>[GC] (</w:t>
      </w:r>
      <w:r w:rsidR="002A31B3" w:rsidRPr="00120830">
        <w:rPr>
          <w:rFonts w:cs="Times New Roman"/>
        </w:rPr>
        <w:t>48876/08</w:t>
      </w:r>
      <w:r w:rsidR="00527926" w:rsidRPr="00120830">
        <w:rPr>
          <w:rFonts w:cs="Times New Roman"/>
        </w:rPr>
        <w:t>), 22 April 2013</w:t>
      </w:r>
      <w:r w:rsidR="002A31B3" w:rsidRPr="00120830">
        <w:rPr>
          <w:rFonts w:cs="Times New Roman"/>
        </w:rPr>
        <w:t xml:space="preserve">; </w:t>
      </w:r>
      <w:r w:rsidR="004317D7" w:rsidRPr="00120830">
        <w:rPr>
          <w:rFonts w:cs="Times New Roman"/>
        </w:rPr>
        <w:t xml:space="preserve">and </w:t>
      </w:r>
      <w:r w:rsidR="004317D7" w:rsidRPr="00120830">
        <w:rPr>
          <w:rFonts w:cs="Times New Roman"/>
          <w:i/>
          <w:iCs/>
        </w:rPr>
        <w:t xml:space="preserve">R v McLoughlin </w:t>
      </w:r>
      <w:r w:rsidR="004317D7" w:rsidRPr="00120830">
        <w:rPr>
          <w:rFonts w:cs="Times New Roman"/>
        </w:rPr>
        <w:t>[2014] EWCA Crim 188</w:t>
      </w:r>
      <w:r w:rsidR="00527926" w:rsidRPr="00120830">
        <w:rPr>
          <w:rFonts w:cs="Times New Roman"/>
        </w:rPr>
        <w:t xml:space="preserve">; [2014] 1 W.L.R. 3964 </w:t>
      </w:r>
      <w:r w:rsidR="004317D7" w:rsidRPr="00120830">
        <w:rPr>
          <w:rFonts w:cs="Times New Roman"/>
        </w:rPr>
        <w:t xml:space="preserve">and </w:t>
      </w:r>
      <w:r w:rsidR="004317D7" w:rsidRPr="00120830">
        <w:rPr>
          <w:rFonts w:cs="Times New Roman"/>
          <w:i/>
          <w:iCs/>
        </w:rPr>
        <w:t>Hutchinson v the United Kingdom</w:t>
      </w:r>
      <w:r w:rsidR="004317D7" w:rsidRPr="00120830">
        <w:rPr>
          <w:rFonts w:cs="Times New Roman"/>
        </w:rPr>
        <w:t xml:space="preserve"> </w:t>
      </w:r>
      <w:r w:rsidR="00545F2D" w:rsidRPr="00120830">
        <w:rPr>
          <w:rFonts w:cs="Times New Roman"/>
        </w:rPr>
        <w:t>(</w:t>
      </w:r>
      <w:r w:rsidR="004317D7" w:rsidRPr="00120830">
        <w:rPr>
          <w:rFonts w:cs="Times New Roman"/>
        </w:rPr>
        <w:t>57592/08</w:t>
      </w:r>
      <w:r w:rsidR="00545F2D" w:rsidRPr="00120830">
        <w:rPr>
          <w:rFonts w:cs="Times New Roman"/>
        </w:rPr>
        <w:t>)</w:t>
      </w:r>
      <w:r w:rsidR="00F774B8" w:rsidRPr="00120830">
        <w:rPr>
          <w:rFonts w:cs="Times New Roman"/>
        </w:rPr>
        <w:t>, 3 February 2015</w:t>
      </w:r>
      <w:r w:rsidR="00F853EB">
        <w:rPr>
          <w:rFonts w:cs="Times New Roman"/>
        </w:rPr>
        <w:t>.</w:t>
      </w:r>
    </w:p>
  </w:footnote>
  <w:footnote w:id="46">
    <w:p w14:paraId="4FA1D526" w14:textId="15CFEE4D" w:rsidR="002B425F" w:rsidRPr="00120830" w:rsidRDefault="002B425F" w:rsidP="00BD6BC8">
      <w:pPr>
        <w:pStyle w:val="FootnoteText"/>
        <w:jc w:val="both"/>
        <w:rPr>
          <w:rFonts w:cs="Times New Roman"/>
          <w:i/>
          <w:iCs/>
        </w:rPr>
      </w:pPr>
      <w:r w:rsidRPr="00120830">
        <w:rPr>
          <w:rStyle w:val="FootnoteReference"/>
          <w:rFonts w:cs="Times New Roman"/>
        </w:rPr>
        <w:footnoteRef/>
      </w:r>
      <w:r w:rsidRPr="00120830">
        <w:rPr>
          <w:rFonts w:cs="Times New Roman"/>
        </w:rPr>
        <w:t xml:space="preserve"> </w:t>
      </w:r>
      <w:r w:rsidR="00C10A90" w:rsidRPr="00120830">
        <w:rPr>
          <w:rFonts w:cs="Times New Roman"/>
        </w:rPr>
        <w:t xml:space="preserve">Nicholas </w:t>
      </w:r>
      <w:proofErr w:type="spellStart"/>
      <w:r w:rsidRPr="00120830">
        <w:rPr>
          <w:rFonts w:cs="Times New Roman"/>
        </w:rPr>
        <w:t>Bratza</w:t>
      </w:r>
      <w:proofErr w:type="spellEnd"/>
      <w:r w:rsidR="00C10A90" w:rsidRPr="00120830">
        <w:rPr>
          <w:rFonts w:cs="Times New Roman"/>
        </w:rPr>
        <w:t>, “Response to call for evidence by the IHRAR”, at</w:t>
      </w:r>
      <w:r w:rsidRPr="00120830">
        <w:rPr>
          <w:rFonts w:cs="Times New Roman"/>
        </w:rPr>
        <w:t xml:space="preserve"> </w:t>
      </w:r>
      <w:r w:rsidR="00C10A90" w:rsidRPr="00120830">
        <w:rPr>
          <w:rFonts w:cs="Times New Roman"/>
        </w:rPr>
        <w:t>[</w:t>
      </w:r>
      <w:r w:rsidRPr="00120830">
        <w:rPr>
          <w:rFonts w:cs="Times New Roman"/>
        </w:rPr>
        <w:t>27</w:t>
      </w:r>
      <w:r w:rsidR="00C10A90" w:rsidRPr="00120830">
        <w:rPr>
          <w:rFonts w:cs="Times New Roman"/>
        </w:rPr>
        <w:t>]</w:t>
      </w:r>
      <w:r w:rsidR="00A6477C" w:rsidRPr="00A6477C">
        <w:t xml:space="preserve"> </w:t>
      </w:r>
      <w:r w:rsidR="00A6477C">
        <w:t>—</w:t>
      </w:r>
      <w:r w:rsidR="00502D54" w:rsidRPr="00120830">
        <w:rPr>
          <w:rFonts w:cs="Times New Roman"/>
        </w:rPr>
        <w:t xml:space="preserve">he </w:t>
      </w:r>
      <w:r w:rsidR="005E7585" w:rsidRPr="00120830">
        <w:rPr>
          <w:rFonts w:cs="Times New Roman"/>
        </w:rPr>
        <w:t>gives</w:t>
      </w:r>
      <w:r w:rsidR="00502D54" w:rsidRPr="00120830">
        <w:rPr>
          <w:rFonts w:cs="Times New Roman"/>
        </w:rPr>
        <w:t xml:space="preserve"> the examples of </w:t>
      </w:r>
      <w:r w:rsidR="00502D54" w:rsidRPr="00120830">
        <w:rPr>
          <w:rFonts w:cs="Times New Roman"/>
          <w:i/>
          <w:iCs/>
        </w:rPr>
        <w:t>Pretty</w:t>
      </w:r>
      <w:r w:rsidR="005509A3" w:rsidRPr="00120830">
        <w:rPr>
          <w:rFonts w:cs="Times New Roman"/>
          <w:i/>
          <w:iCs/>
        </w:rPr>
        <w:t xml:space="preserve"> v the United Kingdom </w:t>
      </w:r>
      <w:r w:rsidR="005509A3" w:rsidRPr="00120830">
        <w:rPr>
          <w:rFonts w:cs="Times New Roman"/>
        </w:rPr>
        <w:t>(2346/02)</w:t>
      </w:r>
      <w:r w:rsidR="00816420" w:rsidRPr="00120830">
        <w:rPr>
          <w:rFonts w:cs="Times New Roman"/>
        </w:rPr>
        <w:t xml:space="preserve">, </w:t>
      </w:r>
      <w:r w:rsidR="005509A3" w:rsidRPr="00120830">
        <w:rPr>
          <w:rFonts w:cs="Times New Roman"/>
        </w:rPr>
        <w:t xml:space="preserve">29 April 2002; </w:t>
      </w:r>
      <w:r w:rsidR="00502D54" w:rsidRPr="00120830">
        <w:rPr>
          <w:rFonts w:cs="Times New Roman"/>
          <w:i/>
          <w:iCs/>
        </w:rPr>
        <w:t>S</w:t>
      </w:r>
      <w:r w:rsidR="00816420" w:rsidRPr="00120830">
        <w:rPr>
          <w:rFonts w:cs="Times New Roman"/>
          <w:i/>
          <w:iCs/>
        </w:rPr>
        <w:t>t</w:t>
      </w:r>
      <w:r w:rsidR="00502D54" w:rsidRPr="00120830">
        <w:rPr>
          <w:rFonts w:cs="Times New Roman"/>
          <w:i/>
          <w:iCs/>
        </w:rPr>
        <w:t>afford</w:t>
      </w:r>
      <w:r w:rsidR="00816420" w:rsidRPr="00120830">
        <w:rPr>
          <w:rFonts w:cs="Times New Roman"/>
          <w:i/>
          <w:iCs/>
        </w:rPr>
        <w:t xml:space="preserve"> v the United Kingdom </w:t>
      </w:r>
      <w:r w:rsidR="00816420" w:rsidRPr="00120830">
        <w:rPr>
          <w:rFonts w:cs="Times New Roman"/>
        </w:rPr>
        <w:t>(46295/99)</w:t>
      </w:r>
      <w:r w:rsidR="00502D54" w:rsidRPr="00120830">
        <w:rPr>
          <w:rFonts w:cs="Times New Roman"/>
          <w:i/>
          <w:iCs/>
        </w:rPr>
        <w:t>,</w:t>
      </w:r>
      <w:r w:rsidR="00816420" w:rsidRPr="00120830">
        <w:rPr>
          <w:rFonts w:cs="Times New Roman"/>
          <w:i/>
          <w:iCs/>
        </w:rPr>
        <w:t xml:space="preserve"> </w:t>
      </w:r>
      <w:r w:rsidR="00816420" w:rsidRPr="00120830">
        <w:rPr>
          <w:rFonts w:cs="Times New Roman"/>
        </w:rPr>
        <w:t>28 May 2002;</w:t>
      </w:r>
      <w:r w:rsidR="00502D54" w:rsidRPr="00120830">
        <w:rPr>
          <w:rFonts w:cs="Times New Roman"/>
        </w:rPr>
        <w:t xml:space="preserve"> and</w:t>
      </w:r>
      <w:r w:rsidR="00502D54" w:rsidRPr="00120830">
        <w:rPr>
          <w:rFonts w:cs="Times New Roman"/>
          <w:i/>
          <w:iCs/>
        </w:rPr>
        <w:t xml:space="preserve"> Christine Goodwin</w:t>
      </w:r>
      <w:r w:rsidR="00787786" w:rsidRPr="00120830">
        <w:rPr>
          <w:rFonts w:cs="Times New Roman"/>
          <w:i/>
          <w:iCs/>
        </w:rPr>
        <w:t xml:space="preserve"> v the United Kingdom</w:t>
      </w:r>
      <w:r w:rsidR="00816420" w:rsidRPr="00120830">
        <w:rPr>
          <w:rFonts w:cs="Times New Roman"/>
          <w:i/>
          <w:iCs/>
        </w:rPr>
        <w:t xml:space="preserve"> </w:t>
      </w:r>
      <w:r w:rsidR="00816420" w:rsidRPr="00120830">
        <w:rPr>
          <w:rFonts w:cs="Times New Roman"/>
        </w:rPr>
        <w:t>[GC]</w:t>
      </w:r>
      <w:r w:rsidR="00816420" w:rsidRPr="00120830">
        <w:rPr>
          <w:rFonts w:cs="Times New Roman"/>
          <w:i/>
          <w:iCs/>
        </w:rPr>
        <w:t xml:space="preserve"> </w:t>
      </w:r>
      <w:r w:rsidR="00816420" w:rsidRPr="00120830">
        <w:rPr>
          <w:rFonts w:cs="Times New Roman"/>
        </w:rPr>
        <w:t>(28957/95), 11 July 2002</w:t>
      </w:r>
      <w:r w:rsidR="00C2060D" w:rsidRPr="00120830">
        <w:rPr>
          <w:rFonts w:cs="Times New Roman"/>
        </w:rPr>
        <w:t xml:space="preserve">. Other </w:t>
      </w:r>
      <w:r w:rsidR="00980905" w:rsidRPr="00120830">
        <w:rPr>
          <w:rFonts w:cs="Times New Roman"/>
        </w:rPr>
        <w:t>examples</w:t>
      </w:r>
      <w:r w:rsidR="00102E00" w:rsidRPr="00120830">
        <w:rPr>
          <w:rFonts w:cs="Times New Roman"/>
        </w:rPr>
        <w:t xml:space="preserve"> of this </w:t>
      </w:r>
      <w:r w:rsidR="00C2060D" w:rsidRPr="00120830">
        <w:rPr>
          <w:rFonts w:cs="Times New Roman"/>
        </w:rPr>
        <w:t>include:</w:t>
      </w:r>
      <w:r w:rsidR="00102E00" w:rsidRPr="00120830">
        <w:rPr>
          <w:rFonts w:cs="Times New Roman"/>
        </w:rPr>
        <w:t xml:space="preserve"> </w:t>
      </w:r>
      <w:r w:rsidR="00102E00" w:rsidRPr="00120830">
        <w:rPr>
          <w:rFonts w:cs="Times New Roman"/>
          <w:i/>
          <w:iCs/>
        </w:rPr>
        <w:t>Jones v</w:t>
      </w:r>
      <w:r w:rsidR="00787786" w:rsidRPr="00120830">
        <w:rPr>
          <w:rFonts w:cs="Times New Roman"/>
          <w:i/>
          <w:iCs/>
        </w:rPr>
        <w:t xml:space="preserve"> the</w:t>
      </w:r>
      <w:r w:rsidR="00102E00" w:rsidRPr="00120830">
        <w:rPr>
          <w:rFonts w:cs="Times New Roman"/>
          <w:i/>
          <w:iCs/>
        </w:rPr>
        <w:t xml:space="preserve"> United Kingdom</w:t>
      </w:r>
      <w:r w:rsidR="00787786" w:rsidRPr="00120830">
        <w:rPr>
          <w:rFonts w:cs="Times New Roman"/>
        </w:rPr>
        <w:t xml:space="preserve"> (</w:t>
      </w:r>
      <w:r w:rsidR="00102E00" w:rsidRPr="00120830">
        <w:rPr>
          <w:rFonts w:cs="Times New Roman"/>
        </w:rPr>
        <w:t>34356/06 and 40528/06</w:t>
      </w:r>
      <w:r w:rsidR="00787786" w:rsidRPr="00120830">
        <w:rPr>
          <w:rFonts w:cs="Times New Roman"/>
        </w:rPr>
        <w:t>)</w:t>
      </w:r>
      <w:r w:rsidR="00102E00" w:rsidRPr="00120830">
        <w:rPr>
          <w:rFonts w:cs="Times New Roman"/>
        </w:rPr>
        <w:t>, 14 January 2014,</w:t>
      </w:r>
      <w:r w:rsidR="00E30611" w:rsidRPr="00120830">
        <w:rPr>
          <w:rFonts w:cs="Times New Roman"/>
        </w:rPr>
        <w:t xml:space="preserve"> especially</w:t>
      </w:r>
      <w:r w:rsidR="00102E00" w:rsidRPr="00120830">
        <w:rPr>
          <w:rFonts w:cs="Times New Roman"/>
        </w:rPr>
        <w:t xml:space="preserve"> </w:t>
      </w:r>
      <w:r w:rsidR="00E30611" w:rsidRPr="00120830">
        <w:rPr>
          <w:rFonts w:cs="Times New Roman"/>
        </w:rPr>
        <w:t>at</w:t>
      </w:r>
      <w:r w:rsidR="00102E00" w:rsidRPr="00120830">
        <w:rPr>
          <w:rFonts w:cs="Times New Roman"/>
        </w:rPr>
        <w:t xml:space="preserve"> </w:t>
      </w:r>
      <w:r w:rsidR="00E30611" w:rsidRPr="00120830">
        <w:rPr>
          <w:rFonts w:cs="Times New Roman"/>
        </w:rPr>
        <w:t>[</w:t>
      </w:r>
      <w:r w:rsidR="00102E00" w:rsidRPr="00120830">
        <w:rPr>
          <w:rFonts w:cs="Times New Roman"/>
        </w:rPr>
        <w:t>214</w:t>
      </w:r>
      <w:r w:rsidR="00E30611" w:rsidRPr="00120830">
        <w:rPr>
          <w:rFonts w:cs="Times New Roman"/>
        </w:rPr>
        <w:t>]</w:t>
      </w:r>
      <w:r w:rsidR="003F74AC" w:rsidRPr="00120830">
        <w:rPr>
          <w:rFonts w:cs="Times New Roman"/>
        </w:rPr>
        <w:t xml:space="preserve">; </w:t>
      </w:r>
      <w:r w:rsidR="00980905" w:rsidRPr="00120830">
        <w:rPr>
          <w:rFonts w:cs="Times New Roman"/>
        </w:rPr>
        <w:t xml:space="preserve">and </w:t>
      </w:r>
      <w:r w:rsidR="00980905" w:rsidRPr="00120830">
        <w:rPr>
          <w:rFonts w:cs="Times New Roman"/>
          <w:i/>
          <w:iCs/>
        </w:rPr>
        <w:t xml:space="preserve">Austin v </w:t>
      </w:r>
      <w:r w:rsidR="00E30611" w:rsidRPr="00120830">
        <w:rPr>
          <w:rFonts w:cs="Times New Roman"/>
          <w:i/>
          <w:iCs/>
        </w:rPr>
        <w:t xml:space="preserve">the United </w:t>
      </w:r>
      <w:r w:rsidR="00980905" w:rsidRPr="00120830">
        <w:rPr>
          <w:rFonts w:cs="Times New Roman"/>
          <w:i/>
          <w:iCs/>
        </w:rPr>
        <w:t>K</w:t>
      </w:r>
      <w:r w:rsidR="00E30611" w:rsidRPr="00120830">
        <w:rPr>
          <w:rFonts w:cs="Times New Roman"/>
          <w:i/>
          <w:iCs/>
        </w:rPr>
        <w:t>ingdom</w:t>
      </w:r>
      <w:r w:rsidR="00E30611" w:rsidRPr="00120830">
        <w:rPr>
          <w:rFonts w:cs="Times New Roman"/>
        </w:rPr>
        <w:t xml:space="preserve"> (</w:t>
      </w:r>
      <w:r w:rsidR="00980905" w:rsidRPr="00120830">
        <w:rPr>
          <w:rFonts w:cs="Times New Roman"/>
        </w:rPr>
        <w:t>39692/09, 40713/09 and 41008/09</w:t>
      </w:r>
      <w:r w:rsidR="00E30611" w:rsidRPr="00120830">
        <w:rPr>
          <w:rFonts w:cs="Times New Roman"/>
        </w:rPr>
        <w:t xml:space="preserve">), </w:t>
      </w:r>
      <w:r w:rsidR="00980905" w:rsidRPr="00120830">
        <w:rPr>
          <w:rFonts w:cs="Times New Roman"/>
        </w:rPr>
        <w:t>15 March 2012</w:t>
      </w:r>
      <w:r w:rsidR="00A6477C">
        <w:rPr>
          <w:rFonts w:cs="Times New Roman"/>
        </w:rPr>
        <w:t>.</w:t>
      </w:r>
    </w:p>
  </w:footnote>
  <w:footnote w:id="47">
    <w:p w14:paraId="5C40BD3C" w14:textId="64F5CB6C" w:rsidR="005E7585" w:rsidRPr="00120830" w:rsidRDefault="005E7585"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Pr="00120830">
        <w:rPr>
          <w:rFonts w:cs="Times New Roman"/>
          <w:i/>
          <w:iCs/>
        </w:rPr>
        <w:t xml:space="preserve">S., V. and A. v. Denmark </w:t>
      </w:r>
      <w:r w:rsidRPr="00120830">
        <w:rPr>
          <w:rFonts w:cs="Times New Roman"/>
        </w:rPr>
        <w:t xml:space="preserve">[GC] </w:t>
      </w:r>
      <w:r w:rsidR="00D77881" w:rsidRPr="00120830">
        <w:rPr>
          <w:rFonts w:cs="Times New Roman"/>
        </w:rPr>
        <w:t>(</w:t>
      </w:r>
      <w:r w:rsidRPr="00120830">
        <w:rPr>
          <w:rFonts w:cs="Times New Roman"/>
        </w:rPr>
        <w:t>35553/12 and 2 others</w:t>
      </w:r>
      <w:r w:rsidR="00D77881" w:rsidRPr="00120830">
        <w:rPr>
          <w:rFonts w:cs="Times New Roman"/>
        </w:rPr>
        <w:t>)</w:t>
      </w:r>
      <w:r w:rsidR="00E06FD9">
        <w:rPr>
          <w:rFonts w:cs="Times New Roman"/>
        </w:rPr>
        <w:t>,</w:t>
      </w:r>
      <w:r w:rsidRPr="00120830">
        <w:rPr>
          <w:rFonts w:cs="Times New Roman"/>
        </w:rPr>
        <w:t xml:space="preserve"> 22 October 2018</w:t>
      </w:r>
      <w:r w:rsidR="00A6477C">
        <w:rPr>
          <w:rFonts w:cs="Times New Roman"/>
        </w:rPr>
        <w:t>.</w:t>
      </w:r>
    </w:p>
  </w:footnote>
  <w:footnote w:id="48">
    <w:p w14:paraId="709A307C" w14:textId="4489EB11" w:rsidR="005D1BFB" w:rsidRPr="00120830" w:rsidRDefault="005D1BFB"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1631DC" w:rsidRPr="00120830">
        <w:rPr>
          <w:rFonts w:cs="Times New Roman"/>
        </w:rPr>
        <w:t>Meeting of IHRAR and ECtHR judges</w:t>
      </w:r>
      <w:r w:rsidRPr="00120830">
        <w:rPr>
          <w:rFonts w:cs="Times New Roman"/>
        </w:rPr>
        <w:t>, p.3</w:t>
      </w:r>
      <w:r w:rsidR="00A6477C">
        <w:rPr>
          <w:rFonts w:cs="Times New Roman"/>
        </w:rPr>
        <w:t>.</w:t>
      </w:r>
    </w:p>
  </w:footnote>
  <w:footnote w:id="49">
    <w:p w14:paraId="435F7E5A" w14:textId="643B81D2" w:rsidR="00CA561D" w:rsidRPr="00120830" w:rsidRDefault="00CA561D"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Jeff King,</w:t>
      </w:r>
      <w:r w:rsidR="00D80604" w:rsidRPr="00120830">
        <w:rPr>
          <w:rFonts w:cs="Times New Roman"/>
        </w:rPr>
        <w:t xml:space="preserve"> “Submission to the IHRAR”,</w:t>
      </w:r>
      <w:r w:rsidRPr="00120830">
        <w:rPr>
          <w:rFonts w:cs="Times New Roman"/>
        </w:rPr>
        <w:t xml:space="preserve"> p.</w:t>
      </w:r>
      <w:r w:rsidR="00506D0F" w:rsidRPr="00120830">
        <w:rPr>
          <w:rFonts w:cs="Times New Roman"/>
        </w:rPr>
        <w:t>4</w:t>
      </w:r>
      <w:r w:rsidR="00337BE3">
        <w:t>—</w:t>
      </w:r>
      <w:r w:rsidR="00C1613B" w:rsidRPr="00120830">
        <w:rPr>
          <w:rFonts w:cs="Times New Roman"/>
        </w:rPr>
        <w:t>comments of ‘judge A’</w:t>
      </w:r>
      <w:r w:rsidR="00A6477C">
        <w:rPr>
          <w:rFonts w:cs="Times New Roman"/>
        </w:rPr>
        <w:t>.</w:t>
      </w:r>
    </w:p>
  </w:footnote>
  <w:footnote w:id="50">
    <w:p w14:paraId="1710DC5C" w14:textId="210C4AAA" w:rsidR="005731F0" w:rsidRPr="00120830" w:rsidRDefault="005731F0"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C74018" w:rsidRPr="00120830">
        <w:rPr>
          <w:rFonts w:cs="Times New Roman"/>
          <w:i/>
          <w:iCs/>
        </w:rPr>
        <w:t>Ullah</w:t>
      </w:r>
      <w:r w:rsidR="00C74018" w:rsidRPr="00120830">
        <w:rPr>
          <w:rFonts w:cs="Times New Roman"/>
        </w:rPr>
        <w:t xml:space="preserve"> [2004] UKHL 26, at [20]</w:t>
      </w:r>
      <w:r w:rsidR="00A6477C">
        <w:rPr>
          <w:rFonts w:cs="Times New Roman"/>
        </w:rPr>
        <w:t>.</w:t>
      </w:r>
    </w:p>
  </w:footnote>
  <w:footnote w:id="51">
    <w:p w14:paraId="03B25409" w14:textId="12010119" w:rsidR="00152E66" w:rsidRPr="00120830" w:rsidRDefault="00152E66"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Draghici,</w:t>
      </w:r>
      <w:r w:rsidR="00636FEB" w:rsidRPr="00120830">
        <w:rPr>
          <w:rFonts w:cs="Times New Roman"/>
        </w:rPr>
        <w:t xml:space="preserve"> “The </w:t>
      </w:r>
      <w:r w:rsidR="00907FB2" w:rsidRPr="00120830">
        <w:rPr>
          <w:rFonts w:cs="Times New Roman"/>
        </w:rPr>
        <w:t>HRA</w:t>
      </w:r>
      <w:r w:rsidR="00636FEB" w:rsidRPr="00120830">
        <w:rPr>
          <w:rFonts w:cs="Times New Roman"/>
        </w:rPr>
        <w:t xml:space="preserve"> in the shadow of the European Convention”,</w:t>
      </w:r>
      <w:r w:rsidR="005B71FE">
        <w:rPr>
          <w:rFonts w:cs="Times New Roman"/>
        </w:rPr>
        <w:t xml:space="preserve"> </w:t>
      </w:r>
      <w:r w:rsidRPr="00120830">
        <w:rPr>
          <w:rFonts w:cs="Times New Roman"/>
        </w:rPr>
        <w:t>161</w:t>
      </w:r>
      <w:r w:rsidR="00A94C18" w:rsidRPr="00120830">
        <w:rPr>
          <w:rFonts w:cs="Times New Roman"/>
        </w:rPr>
        <w:t xml:space="preserve">; see also Lord Bingham’s </w:t>
      </w:r>
      <w:r w:rsidR="00F22156" w:rsidRPr="00120830">
        <w:rPr>
          <w:rFonts w:cs="Times New Roman"/>
        </w:rPr>
        <w:t>comment</w:t>
      </w:r>
      <w:r w:rsidR="00A94C18" w:rsidRPr="00120830">
        <w:rPr>
          <w:rFonts w:cs="Times New Roman"/>
        </w:rPr>
        <w:t xml:space="preserve"> in </w:t>
      </w:r>
      <w:r w:rsidR="00A94C18" w:rsidRPr="00120830">
        <w:rPr>
          <w:rFonts w:cs="Times New Roman"/>
          <w:i/>
          <w:iCs/>
        </w:rPr>
        <w:t>Ullah</w:t>
      </w:r>
      <w:r w:rsidR="00F22156" w:rsidRPr="00120830">
        <w:rPr>
          <w:rFonts w:cs="Times New Roman"/>
        </w:rPr>
        <w:t xml:space="preserve">, </w:t>
      </w:r>
      <w:r w:rsidR="00A94C18" w:rsidRPr="00120830">
        <w:rPr>
          <w:rFonts w:cs="Times New Roman"/>
        </w:rPr>
        <w:t>that “</w:t>
      </w:r>
      <w:r w:rsidR="007D1FF7" w:rsidRPr="00120830">
        <w:rPr>
          <w:rFonts w:cs="Times New Roman"/>
        </w:rPr>
        <w:t>it is of course open to member states to provide for rights more generous than those guaranteed by the Convention, but such provision should not be the product of interpretation of the Convention by national courts”</w:t>
      </w:r>
      <w:r w:rsidR="003B12A9" w:rsidRPr="00120830">
        <w:rPr>
          <w:rFonts w:cs="Times New Roman"/>
        </w:rPr>
        <w:t xml:space="preserve">, </w:t>
      </w:r>
      <w:r w:rsidR="00F22156" w:rsidRPr="00120830">
        <w:rPr>
          <w:rFonts w:cs="Times New Roman"/>
        </w:rPr>
        <w:t xml:space="preserve">at </w:t>
      </w:r>
      <w:r w:rsidR="003B12A9" w:rsidRPr="00120830">
        <w:rPr>
          <w:rFonts w:cs="Times New Roman"/>
        </w:rPr>
        <w:t>[</w:t>
      </w:r>
      <w:r w:rsidR="00F22156" w:rsidRPr="00120830">
        <w:rPr>
          <w:rFonts w:cs="Times New Roman"/>
        </w:rPr>
        <w:t>20</w:t>
      </w:r>
      <w:r w:rsidR="003B12A9" w:rsidRPr="00120830">
        <w:rPr>
          <w:rFonts w:cs="Times New Roman"/>
        </w:rPr>
        <w:t>]</w:t>
      </w:r>
      <w:r w:rsidR="00320B19" w:rsidRPr="00120830">
        <w:rPr>
          <w:rFonts w:cs="Times New Roman"/>
        </w:rPr>
        <w:t>.</w:t>
      </w:r>
    </w:p>
  </w:footnote>
  <w:footnote w:id="52">
    <w:p w14:paraId="4FEE5B66" w14:textId="4E612F0E" w:rsidR="007758F2" w:rsidRPr="00120830" w:rsidRDefault="007758F2"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8D6C2B" w:rsidRPr="00120830">
        <w:rPr>
          <w:rFonts w:cs="Times New Roman"/>
        </w:rPr>
        <w:t xml:space="preserve">Draghici, “The </w:t>
      </w:r>
      <w:r w:rsidR="00907FB2" w:rsidRPr="00120830">
        <w:rPr>
          <w:rFonts w:cs="Times New Roman"/>
        </w:rPr>
        <w:t>HRA</w:t>
      </w:r>
      <w:r w:rsidR="008D6C2B" w:rsidRPr="00120830">
        <w:rPr>
          <w:rFonts w:cs="Times New Roman"/>
        </w:rPr>
        <w:t xml:space="preserve"> in the shadow of the European Convention”</w:t>
      </w:r>
      <w:r w:rsidRPr="00120830">
        <w:rPr>
          <w:rFonts w:cs="Times New Roman"/>
        </w:rPr>
        <w:t>, 159</w:t>
      </w:r>
      <w:r w:rsidR="00A6477C">
        <w:rPr>
          <w:rFonts w:cs="Times New Roman"/>
        </w:rPr>
        <w:t>.</w:t>
      </w:r>
    </w:p>
  </w:footnote>
  <w:footnote w:id="53">
    <w:p w14:paraId="76E3E5F7" w14:textId="76B73378" w:rsidR="007106B1" w:rsidRPr="00120830" w:rsidRDefault="007106B1"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Pr="00120830">
        <w:rPr>
          <w:rFonts w:cs="Times New Roman"/>
          <w:i/>
          <w:iCs/>
        </w:rPr>
        <w:t>Ambrose v Harris</w:t>
      </w:r>
      <w:r w:rsidR="009D621A" w:rsidRPr="00120830">
        <w:rPr>
          <w:rFonts w:cs="Times New Roman"/>
        </w:rPr>
        <w:t xml:space="preserve"> [2011] UKSC 43; [2011] 1 W.L.R. 2435, </w:t>
      </w:r>
      <w:r w:rsidRPr="00120830">
        <w:rPr>
          <w:rFonts w:cs="Times New Roman"/>
        </w:rPr>
        <w:t xml:space="preserve">at </w:t>
      </w:r>
      <w:r w:rsidR="009D621A" w:rsidRPr="00120830">
        <w:rPr>
          <w:rFonts w:cs="Times New Roman"/>
        </w:rPr>
        <w:t>[</w:t>
      </w:r>
      <w:r w:rsidRPr="00120830">
        <w:rPr>
          <w:rFonts w:cs="Times New Roman"/>
        </w:rPr>
        <w:t>19</w:t>
      </w:r>
      <w:r w:rsidR="009D621A" w:rsidRPr="00120830">
        <w:rPr>
          <w:rFonts w:cs="Times New Roman"/>
        </w:rPr>
        <w:t>] (per Lord Hope)</w:t>
      </w:r>
      <w:r w:rsidRPr="00120830">
        <w:rPr>
          <w:rFonts w:cs="Times New Roman"/>
        </w:rPr>
        <w:t xml:space="preserve">; repeated in </w:t>
      </w:r>
      <w:r w:rsidRPr="00120830">
        <w:rPr>
          <w:rFonts w:cs="Times New Roman"/>
          <w:i/>
          <w:iCs/>
        </w:rPr>
        <w:t>Smith v M</w:t>
      </w:r>
      <w:r w:rsidR="009D621A" w:rsidRPr="00120830">
        <w:rPr>
          <w:rFonts w:cs="Times New Roman"/>
          <w:i/>
          <w:iCs/>
        </w:rPr>
        <w:t xml:space="preserve">inistry of </w:t>
      </w:r>
      <w:r w:rsidRPr="00120830">
        <w:rPr>
          <w:rFonts w:cs="Times New Roman"/>
          <w:i/>
          <w:iCs/>
        </w:rPr>
        <w:t>D</w:t>
      </w:r>
      <w:r w:rsidR="009D621A" w:rsidRPr="00120830">
        <w:rPr>
          <w:rFonts w:cs="Times New Roman"/>
          <w:i/>
          <w:iCs/>
        </w:rPr>
        <w:t xml:space="preserve">efence) </w:t>
      </w:r>
      <w:r w:rsidR="009D621A" w:rsidRPr="00120830">
        <w:rPr>
          <w:rFonts w:cs="Times New Roman"/>
        </w:rPr>
        <w:t>[2013] UKSC 41; [2014] A</w:t>
      </w:r>
      <w:r w:rsidR="00A45A68">
        <w:rPr>
          <w:rFonts w:cs="Times New Roman"/>
        </w:rPr>
        <w:t>.</w:t>
      </w:r>
      <w:r w:rsidR="009D621A" w:rsidRPr="00120830">
        <w:rPr>
          <w:rFonts w:cs="Times New Roman"/>
        </w:rPr>
        <w:t>C</w:t>
      </w:r>
      <w:r w:rsidR="00A45A68">
        <w:rPr>
          <w:rFonts w:cs="Times New Roman"/>
        </w:rPr>
        <w:t>.</w:t>
      </w:r>
      <w:r w:rsidR="009D621A" w:rsidRPr="00120830">
        <w:rPr>
          <w:rFonts w:cs="Times New Roman"/>
        </w:rPr>
        <w:t xml:space="preserve"> 52</w:t>
      </w:r>
      <w:r w:rsidRPr="00120830">
        <w:rPr>
          <w:rFonts w:cs="Times New Roman"/>
        </w:rPr>
        <w:t xml:space="preserve">, at </w:t>
      </w:r>
      <w:r w:rsidR="009D621A" w:rsidRPr="00120830">
        <w:rPr>
          <w:rFonts w:cs="Times New Roman"/>
        </w:rPr>
        <w:t>[</w:t>
      </w:r>
      <w:r w:rsidRPr="00120830">
        <w:rPr>
          <w:rFonts w:cs="Times New Roman"/>
        </w:rPr>
        <w:t>43</w:t>
      </w:r>
      <w:r w:rsidR="009D621A" w:rsidRPr="00120830">
        <w:rPr>
          <w:rFonts w:cs="Times New Roman"/>
        </w:rPr>
        <w:t>] (per Lord Hope)</w:t>
      </w:r>
      <w:r w:rsidRPr="00120830">
        <w:rPr>
          <w:rFonts w:cs="Times New Roman"/>
        </w:rPr>
        <w:t xml:space="preserve">; cited with approval in </w:t>
      </w:r>
      <w:r w:rsidR="00AD3C08" w:rsidRPr="00120830">
        <w:rPr>
          <w:rFonts w:cs="Times New Roman"/>
          <w:i/>
          <w:iCs/>
        </w:rPr>
        <w:t xml:space="preserve">AB </w:t>
      </w:r>
      <w:r w:rsidR="00AD3C08" w:rsidRPr="00120830">
        <w:rPr>
          <w:rFonts w:cs="Times New Roman"/>
        </w:rPr>
        <w:t>[2021] UKSC 28</w:t>
      </w:r>
      <w:r w:rsidRPr="00120830">
        <w:rPr>
          <w:rFonts w:cs="Times New Roman"/>
        </w:rPr>
        <w:t xml:space="preserve">, at </w:t>
      </w:r>
      <w:r w:rsidR="00AD3C08" w:rsidRPr="00120830">
        <w:rPr>
          <w:rFonts w:cs="Times New Roman"/>
        </w:rPr>
        <w:t>[</w:t>
      </w:r>
      <w:r w:rsidRPr="00120830">
        <w:rPr>
          <w:rFonts w:cs="Times New Roman"/>
        </w:rPr>
        <w:t>58</w:t>
      </w:r>
      <w:r w:rsidR="00AD3C08" w:rsidRPr="00120830">
        <w:rPr>
          <w:rFonts w:cs="Times New Roman"/>
        </w:rPr>
        <w:t>]</w:t>
      </w:r>
      <w:r w:rsidRPr="00120830">
        <w:rPr>
          <w:rFonts w:cs="Times New Roman"/>
        </w:rPr>
        <w:t>, and in</w:t>
      </w:r>
      <w:r w:rsidR="00AD3C08" w:rsidRPr="00120830">
        <w:rPr>
          <w:rFonts w:cs="Times New Roman"/>
          <w:i/>
          <w:iCs/>
        </w:rPr>
        <w:t xml:space="preserve"> Elan-Cane </w:t>
      </w:r>
      <w:r w:rsidR="00AD3C08" w:rsidRPr="00120830">
        <w:rPr>
          <w:rFonts w:cs="Times New Roman"/>
        </w:rPr>
        <w:t>[2021] UKSC 56</w:t>
      </w:r>
      <w:r w:rsidRPr="00120830">
        <w:rPr>
          <w:rFonts w:cs="Times New Roman"/>
        </w:rPr>
        <w:t xml:space="preserve">, at </w:t>
      </w:r>
      <w:r w:rsidR="00AD3C08" w:rsidRPr="00120830">
        <w:rPr>
          <w:rFonts w:cs="Times New Roman"/>
        </w:rPr>
        <w:t>[</w:t>
      </w:r>
      <w:r w:rsidRPr="00120830">
        <w:rPr>
          <w:rFonts w:cs="Times New Roman"/>
        </w:rPr>
        <w:t>100</w:t>
      </w:r>
      <w:r w:rsidR="00AD3C08" w:rsidRPr="00120830">
        <w:rPr>
          <w:rFonts w:cs="Times New Roman"/>
        </w:rPr>
        <w:t>]</w:t>
      </w:r>
      <w:r w:rsidR="00A45A68">
        <w:rPr>
          <w:rFonts w:cs="Times New Roman"/>
        </w:rPr>
        <w:t>.</w:t>
      </w:r>
    </w:p>
  </w:footnote>
  <w:footnote w:id="54">
    <w:p w14:paraId="1FFA39BB" w14:textId="6D3E7588" w:rsidR="007106B1" w:rsidRPr="00120830" w:rsidRDefault="007106B1"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AD3C08" w:rsidRPr="00120830">
        <w:rPr>
          <w:rFonts w:cs="Times New Roman"/>
        </w:rPr>
        <w:t xml:space="preserve">Draghici, “The </w:t>
      </w:r>
      <w:r w:rsidR="00907FB2" w:rsidRPr="00120830">
        <w:rPr>
          <w:rFonts w:cs="Times New Roman"/>
        </w:rPr>
        <w:t>HRA</w:t>
      </w:r>
      <w:r w:rsidR="00AD3C08" w:rsidRPr="00120830">
        <w:rPr>
          <w:rFonts w:cs="Times New Roman"/>
        </w:rPr>
        <w:t xml:space="preserve"> in the shadow of the European Convention”, 159</w:t>
      </w:r>
      <w:r w:rsidR="00A45A68">
        <w:rPr>
          <w:rFonts w:cs="Times New Roman"/>
        </w:rPr>
        <w:t>.</w:t>
      </w:r>
    </w:p>
  </w:footnote>
  <w:footnote w:id="55">
    <w:p w14:paraId="28D1C313" w14:textId="102FD4D3" w:rsidR="00686397" w:rsidRPr="00120830" w:rsidRDefault="00686397" w:rsidP="00BD6BC8">
      <w:pPr>
        <w:pStyle w:val="FootnoteText"/>
        <w:jc w:val="both"/>
        <w:rPr>
          <w:rFonts w:cs="Times New Roman"/>
          <w:i/>
          <w:iCs/>
        </w:rPr>
      </w:pPr>
      <w:r w:rsidRPr="00120830">
        <w:rPr>
          <w:rStyle w:val="FootnoteReference"/>
          <w:rFonts w:cs="Times New Roman"/>
        </w:rPr>
        <w:footnoteRef/>
      </w:r>
      <w:r w:rsidRPr="00120830">
        <w:rPr>
          <w:rFonts w:cs="Times New Roman"/>
        </w:rPr>
        <w:t xml:space="preserve"> </w:t>
      </w:r>
      <w:r w:rsidRPr="00120830">
        <w:rPr>
          <w:rFonts w:cs="Times New Roman"/>
          <w:i/>
          <w:iCs/>
        </w:rPr>
        <w:t xml:space="preserve">In re </w:t>
      </w:r>
      <w:proofErr w:type="spellStart"/>
      <w:r w:rsidRPr="00120830">
        <w:rPr>
          <w:rFonts w:cs="Times New Roman"/>
          <w:i/>
          <w:iCs/>
        </w:rPr>
        <w:t>McKerr</w:t>
      </w:r>
      <w:proofErr w:type="spellEnd"/>
      <w:r w:rsidR="00100AEE" w:rsidRPr="00120830">
        <w:rPr>
          <w:rFonts w:cs="Times New Roman"/>
          <w:i/>
          <w:iCs/>
        </w:rPr>
        <w:t xml:space="preserve"> </w:t>
      </w:r>
      <w:r w:rsidR="00100AEE" w:rsidRPr="00120830">
        <w:rPr>
          <w:rFonts w:cs="Times New Roman"/>
        </w:rPr>
        <w:t>[2004] UKHL 12; [2004] 1 W.L.R. 807</w:t>
      </w:r>
      <w:r w:rsidRPr="00120830">
        <w:rPr>
          <w:rFonts w:cs="Times New Roman"/>
        </w:rPr>
        <w:t xml:space="preserve">, at </w:t>
      </w:r>
      <w:r w:rsidR="00EC5124" w:rsidRPr="00120830">
        <w:rPr>
          <w:rFonts w:cs="Times New Roman"/>
        </w:rPr>
        <w:t>[</w:t>
      </w:r>
      <w:r w:rsidR="001C6F13" w:rsidRPr="00120830">
        <w:rPr>
          <w:rFonts w:cs="Times New Roman"/>
        </w:rPr>
        <w:t>63</w:t>
      </w:r>
      <w:r w:rsidR="00EC5124" w:rsidRPr="00120830">
        <w:rPr>
          <w:rFonts w:cs="Times New Roman"/>
        </w:rPr>
        <w:t>] (per Lord Hoffmann), and</w:t>
      </w:r>
      <w:r w:rsidR="001C6F13" w:rsidRPr="00120830">
        <w:rPr>
          <w:rFonts w:cs="Times New Roman"/>
        </w:rPr>
        <w:t xml:space="preserve"> see Lord Nicholls at </w:t>
      </w:r>
      <w:r w:rsidR="00EC5124" w:rsidRPr="00120830">
        <w:rPr>
          <w:rFonts w:cs="Times New Roman"/>
        </w:rPr>
        <w:t>[</w:t>
      </w:r>
      <w:r w:rsidR="001C6F13" w:rsidRPr="00120830">
        <w:rPr>
          <w:rFonts w:cs="Times New Roman"/>
        </w:rPr>
        <w:t>25</w:t>
      </w:r>
      <w:r w:rsidR="00EC5124" w:rsidRPr="00120830">
        <w:rPr>
          <w:rFonts w:cs="Times New Roman"/>
        </w:rPr>
        <w:t>]</w:t>
      </w:r>
      <w:r w:rsidR="008E7864" w:rsidRPr="00120830">
        <w:rPr>
          <w:rFonts w:cs="Times New Roman"/>
        </w:rPr>
        <w:t xml:space="preserve">; see also </w:t>
      </w:r>
      <w:r w:rsidR="008E7864" w:rsidRPr="00120830">
        <w:rPr>
          <w:rFonts w:cs="Times New Roman"/>
          <w:i/>
          <w:iCs/>
        </w:rPr>
        <w:t xml:space="preserve">R v Lyons </w:t>
      </w:r>
      <w:r w:rsidR="008E7864" w:rsidRPr="00120830">
        <w:rPr>
          <w:rFonts w:cs="Times New Roman"/>
        </w:rPr>
        <w:t>[2002] UKHL 44</w:t>
      </w:r>
      <w:r w:rsidR="005D5304" w:rsidRPr="00120830">
        <w:rPr>
          <w:rFonts w:cs="Times New Roman"/>
        </w:rPr>
        <w:t>; [2003] 1 A.C. 976</w:t>
      </w:r>
      <w:r w:rsidR="008E7864" w:rsidRPr="00120830">
        <w:rPr>
          <w:rFonts w:cs="Times New Roman"/>
        </w:rPr>
        <w:t>, at [27]</w:t>
      </w:r>
      <w:r w:rsidR="00327719" w:rsidRPr="00120830">
        <w:rPr>
          <w:rFonts w:cs="Times New Roman"/>
        </w:rPr>
        <w:t xml:space="preserve"> (</w:t>
      </w:r>
      <w:r w:rsidR="008E7864" w:rsidRPr="00120830">
        <w:rPr>
          <w:rFonts w:cs="Times New Roman"/>
        </w:rPr>
        <w:t>per Lord Hoffmann</w:t>
      </w:r>
      <w:r w:rsidR="00327719" w:rsidRPr="00120830">
        <w:rPr>
          <w:rFonts w:cs="Times New Roman"/>
        </w:rPr>
        <w:t>)</w:t>
      </w:r>
      <w:r w:rsidR="00777747" w:rsidRPr="00120830">
        <w:rPr>
          <w:rFonts w:cs="Times New Roman"/>
        </w:rPr>
        <w:t xml:space="preserve">; and </w:t>
      </w:r>
      <w:r w:rsidR="00724FF7" w:rsidRPr="00120830">
        <w:rPr>
          <w:rFonts w:cs="Times New Roman"/>
          <w:i/>
          <w:iCs/>
        </w:rPr>
        <w:t>R. (</w:t>
      </w:r>
      <w:r w:rsidR="00777747" w:rsidRPr="00120830">
        <w:rPr>
          <w:rFonts w:cs="Times New Roman"/>
          <w:i/>
          <w:iCs/>
        </w:rPr>
        <w:t>Al-</w:t>
      </w:r>
      <w:proofErr w:type="spellStart"/>
      <w:r w:rsidR="00777747" w:rsidRPr="00120830">
        <w:rPr>
          <w:rFonts w:cs="Times New Roman"/>
          <w:i/>
          <w:iCs/>
        </w:rPr>
        <w:t>Ske</w:t>
      </w:r>
      <w:r w:rsidR="00724FF7" w:rsidRPr="00120830">
        <w:rPr>
          <w:rFonts w:cs="Times New Roman"/>
          <w:i/>
          <w:iCs/>
        </w:rPr>
        <w:t>i</w:t>
      </w:r>
      <w:r w:rsidR="00777747" w:rsidRPr="00120830">
        <w:rPr>
          <w:rFonts w:cs="Times New Roman"/>
          <w:i/>
          <w:iCs/>
        </w:rPr>
        <w:t>ni</w:t>
      </w:r>
      <w:proofErr w:type="spellEnd"/>
      <w:r w:rsidR="00216915">
        <w:rPr>
          <w:rFonts w:cs="Times New Roman"/>
          <w:i/>
          <w:iCs/>
        </w:rPr>
        <w:t xml:space="preserve"> </w:t>
      </w:r>
      <w:r w:rsidR="00724FF7" w:rsidRPr="00120830">
        <w:rPr>
          <w:rFonts w:cs="Times New Roman"/>
          <w:i/>
          <w:iCs/>
        </w:rPr>
        <w:t xml:space="preserve">) v Secretary of State for Defence </w:t>
      </w:r>
      <w:r w:rsidR="00724FF7" w:rsidRPr="00120830">
        <w:rPr>
          <w:rFonts w:cs="Times New Roman"/>
        </w:rPr>
        <w:t>[2007] UKHL 26; [2008] 1 A.C. 153</w:t>
      </w:r>
      <w:r w:rsidR="00777747" w:rsidRPr="00120830">
        <w:rPr>
          <w:rFonts w:cs="Times New Roman"/>
        </w:rPr>
        <w:t xml:space="preserve">, at [10] </w:t>
      </w:r>
      <w:r w:rsidR="00724FF7" w:rsidRPr="00120830">
        <w:rPr>
          <w:rFonts w:cs="Times New Roman"/>
        </w:rPr>
        <w:t>(</w:t>
      </w:r>
      <w:r w:rsidR="00777747" w:rsidRPr="00120830">
        <w:rPr>
          <w:rFonts w:cs="Times New Roman"/>
        </w:rPr>
        <w:t>per Lord Bingham</w:t>
      </w:r>
      <w:r w:rsidR="00724FF7" w:rsidRPr="00120830">
        <w:rPr>
          <w:rFonts w:cs="Times New Roman"/>
        </w:rPr>
        <w:t>)</w:t>
      </w:r>
      <w:r w:rsidR="00A45A68">
        <w:rPr>
          <w:rFonts w:cs="Times New Roman"/>
        </w:rPr>
        <w:t>.</w:t>
      </w:r>
    </w:p>
  </w:footnote>
  <w:footnote w:id="56">
    <w:p w14:paraId="3C9D63BB" w14:textId="02175C8D" w:rsidR="00270754" w:rsidRPr="00120830" w:rsidRDefault="00270754" w:rsidP="00BD6BC8">
      <w:pPr>
        <w:pStyle w:val="FootnoteText"/>
        <w:jc w:val="both"/>
      </w:pPr>
      <w:r w:rsidRPr="00120830">
        <w:rPr>
          <w:rStyle w:val="FootnoteReference"/>
        </w:rPr>
        <w:footnoteRef/>
      </w:r>
      <w:r w:rsidRPr="00120830">
        <w:t xml:space="preserve"> Tom Hickman, </w:t>
      </w:r>
      <w:r w:rsidRPr="00120830">
        <w:rPr>
          <w:i/>
          <w:iCs/>
        </w:rPr>
        <w:t xml:space="preserve">Public Law After the Human Rights Act </w:t>
      </w:r>
      <w:r w:rsidRPr="00120830">
        <w:t>(Hart, 2010), p.27</w:t>
      </w:r>
      <w:r w:rsidR="00176A41" w:rsidRPr="00120830">
        <w:t xml:space="preserve"> and p.30</w:t>
      </w:r>
      <w:r w:rsidR="00712B6D" w:rsidRPr="00120830">
        <w:t xml:space="preserve">; see also Alison Young &amp; Gavin Phillipson, “Would use of the prerogative to denounce the ECHR </w:t>
      </w:r>
      <w:r w:rsidR="00A45A68">
        <w:t>‘</w:t>
      </w:r>
      <w:r w:rsidR="00712B6D" w:rsidRPr="00120830">
        <w:t>frustrate</w:t>
      </w:r>
      <w:r w:rsidR="00A45A68">
        <w:t>’</w:t>
      </w:r>
      <w:r w:rsidR="00712B6D" w:rsidRPr="00120830">
        <w:t xml:space="preserve"> the Human Rights Act? Lessons from </w:t>
      </w:r>
      <w:r w:rsidR="00712B6D" w:rsidRPr="00A45A68">
        <w:rPr>
          <w:i/>
          <w:iCs/>
        </w:rPr>
        <w:t>Miller</w:t>
      </w:r>
      <w:r w:rsidR="00712B6D" w:rsidRPr="00120830">
        <w:t xml:space="preserve">” </w:t>
      </w:r>
      <w:r w:rsidR="00A45A68">
        <w:t>[</w:t>
      </w:r>
      <w:r w:rsidR="00712B6D" w:rsidRPr="00120830">
        <w:t>2017</w:t>
      </w:r>
      <w:r w:rsidR="00A45A68">
        <w:t>]</w:t>
      </w:r>
      <w:r w:rsidR="00712B6D" w:rsidRPr="00120830">
        <w:t xml:space="preserve"> (Brexit) P.L. 150</w:t>
      </w:r>
      <w:r w:rsidR="00A45A68">
        <w:t>.</w:t>
      </w:r>
    </w:p>
  </w:footnote>
  <w:footnote w:id="57">
    <w:p w14:paraId="41F34651" w14:textId="554632B0" w:rsidR="00E33CE6" w:rsidRPr="00120830" w:rsidRDefault="00E33CE6"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0A3861" w:rsidRPr="00120830">
        <w:rPr>
          <w:rFonts w:cs="Times New Roman"/>
          <w:i/>
        </w:rPr>
        <w:t>Animal Defenders</w:t>
      </w:r>
      <w:r w:rsidR="000A3861" w:rsidRPr="00120830">
        <w:rPr>
          <w:rFonts w:cs="Times New Roman"/>
        </w:rPr>
        <w:t xml:space="preserve"> [2008] UKHL 15</w:t>
      </w:r>
      <w:r w:rsidRPr="00120830">
        <w:rPr>
          <w:rFonts w:cs="Times New Roman"/>
        </w:rPr>
        <w:t xml:space="preserve">, at </w:t>
      </w:r>
      <w:r w:rsidR="000A3861" w:rsidRPr="00120830">
        <w:rPr>
          <w:rFonts w:cs="Times New Roman"/>
        </w:rPr>
        <w:t>[</w:t>
      </w:r>
      <w:r w:rsidR="003E24BE" w:rsidRPr="00120830">
        <w:rPr>
          <w:rFonts w:cs="Times New Roman"/>
        </w:rPr>
        <w:t>53</w:t>
      </w:r>
      <w:r w:rsidR="000A3861" w:rsidRPr="00120830">
        <w:rPr>
          <w:rFonts w:cs="Times New Roman"/>
        </w:rPr>
        <w:t>] (per Lady Hale)</w:t>
      </w:r>
      <w:r w:rsidR="005F5D62" w:rsidRPr="00120830">
        <w:rPr>
          <w:rFonts w:cs="Times New Roman"/>
        </w:rPr>
        <w:t>,</w:t>
      </w:r>
      <w:r w:rsidR="00544798" w:rsidRPr="00120830">
        <w:rPr>
          <w:rFonts w:cs="Times New Roman"/>
        </w:rPr>
        <w:t xml:space="preserve"> </w:t>
      </w:r>
      <w:r w:rsidR="005F5D62" w:rsidRPr="00120830">
        <w:rPr>
          <w:rFonts w:cs="Times New Roman"/>
        </w:rPr>
        <w:t xml:space="preserve">and see </w:t>
      </w:r>
      <w:r w:rsidR="00544798" w:rsidRPr="00120830">
        <w:rPr>
          <w:rFonts w:cs="Times New Roman"/>
        </w:rPr>
        <w:t>Lord Bingham at [37] and [44]</w:t>
      </w:r>
      <w:r w:rsidR="00A45A68">
        <w:rPr>
          <w:rFonts w:cs="Times New Roman"/>
        </w:rPr>
        <w:t>.</w:t>
      </w:r>
    </w:p>
  </w:footnote>
  <w:footnote w:id="58">
    <w:p w14:paraId="731D72DE" w14:textId="01135CE4" w:rsidR="000F1151" w:rsidRPr="00120830" w:rsidRDefault="000F1151"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2E5E3F" w:rsidRPr="00120830">
        <w:rPr>
          <w:rFonts w:cs="Times New Roman"/>
          <w:i/>
          <w:iCs/>
        </w:rPr>
        <w:t xml:space="preserve">Elan-Cane </w:t>
      </w:r>
      <w:r w:rsidR="002E5E3F" w:rsidRPr="00120830">
        <w:rPr>
          <w:rFonts w:cs="Times New Roman"/>
        </w:rPr>
        <w:t xml:space="preserve">[2021] UKSC 56, </w:t>
      </w:r>
      <w:r w:rsidRPr="00120830">
        <w:rPr>
          <w:rFonts w:cs="Times New Roman"/>
        </w:rPr>
        <w:t xml:space="preserve">at </w:t>
      </w:r>
      <w:r w:rsidR="000442CB">
        <w:rPr>
          <w:rFonts w:cs="Times New Roman"/>
        </w:rPr>
        <w:t>[</w:t>
      </w:r>
      <w:r w:rsidR="00885600" w:rsidRPr="00120830">
        <w:rPr>
          <w:rFonts w:cs="Times New Roman"/>
        </w:rPr>
        <w:t>76</w:t>
      </w:r>
      <w:r w:rsidR="000442CB">
        <w:rPr>
          <w:rFonts w:cs="Times New Roman"/>
        </w:rPr>
        <w:t>]</w:t>
      </w:r>
      <w:r w:rsidR="00A45A68">
        <w:rPr>
          <w:rFonts w:cs="Times New Roman"/>
        </w:rPr>
        <w:t>.</w:t>
      </w:r>
    </w:p>
  </w:footnote>
  <w:footnote w:id="59">
    <w:p w14:paraId="35D91BD6" w14:textId="7E68275F" w:rsidR="0089739A" w:rsidRPr="00120830" w:rsidRDefault="0089739A"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See </w:t>
      </w:r>
      <w:r w:rsidR="003F15B2" w:rsidRPr="00120830">
        <w:rPr>
          <w:rFonts w:cs="Times New Roman"/>
        </w:rPr>
        <w:t xml:space="preserve">Spano, “The Future of the </w:t>
      </w:r>
      <w:r w:rsidR="008A3877" w:rsidRPr="00120830">
        <w:rPr>
          <w:rFonts w:cs="Times New Roman"/>
        </w:rPr>
        <w:t>ECtHR</w:t>
      </w:r>
      <w:r w:rsidR="003F15B2" w:rsidRPr="00120830">
        <w:rPr>
          <w:rFonts w:cs="Times New Roman"/>
        </w:rPr>
        <w:t>”; and Robert Spano, “Universality or Diversity of Human Rights? Strasbourg in the Age of Subsidiarity” (2014) 14 H.R.L.R. 487</w:t>
      </w:r>
      <w:r w:rsidR="00BA1D95" w:rsidRPr="00120830">
        <w:rPr>
          <w:rFonts w:cs="Times New Roman"/>
        </w:rPr>
        <w:t xml:space="preserve">; see also Liz R. </w:t>
      </w:r>
      <w:proofErr w:type="spellStart"/>
      <w:r w:rsidR="00BA1D95" w:rsidRPr="00120830">
        <w:rPr>
          <w:rFonts w:cs="Times New Roman"/>
        </w:rPr>
        <w:t>Glas</w:t>
      </w:r>
      <w:proofErr w:type="spellEnd"/>
      <w:r w:rsidR="00BA1D95" w:rsidRPr="00120830">
        <w:rPr>
          <w:rFonts w:cs="Times New Roman"/>
        </w:rPr>
        <w:t>, “From Interlaken to Copenhagen: What Has Become of the Proposals Aiming to Reform the Functioning of the European Court of Human Rights?” (2020) 20 H.R.L.R. 121, 134-137, and the research cited there. In</w:t>
      </w:r>
      <w:r w:rsidR="00BA1D95" w:rsidRPr="00120830">
        <w:t xml:space="preserve"> August 2021, Article 1 Protocol 15 ECHR also entered into force, which makes subsidiarity part of the preamble to the Convention. </w:t>
      </w:r>
    </w:p>
  </w:footnote>
  <w:footnote w:id="60">
    <w:p w14:paraId="102FF923" w14:textId="7CBB6B4F" w:rsidR="00466A65" w:rsidRPr="00527E06" w:rsidRDefault="00466A65" w:rsidP="00BD6BC8">
      <w:pPr>
        <w:pStyle w:val="FootnoteText"/>
        <w:jc w:val="both"/>
        <w:rPr>
          <w:i/>
          <w:iCs/>
        </w:rPr>
      </w:pPr>
      <w:r>
        <w:rPr>
          <w:rStyle w:val="FootnoteReference"/>
        </w:rPr>
        <w:footnoteRef/>
      </w:r>
      <w:r>
        <w:t xml:space="preserve"> Yutaka Arai-Takahashi, </w:t>
      </w:r>
      <w:r w:rsidR="0056219F" w:rsidRPr="0056219F">
        <w:rPr>
          <w:i/>
          <w:iCs/>
        </w:rPr>
        <w:t>The Margin of Appreciation Doctrine and the Principle of Proportionality in the Jurisprudence of ECHR</w:t>
      </w:r>
      <w:r w:rsidR="0056219F">
        <w:rPr>
          <w:i/>
          <w:iCs/>
        </w:rPr>
        <w:t xml:space="preserve"> </w:t>
      </w:r>
      <w:r w:rsidR="0056219F" w:rsidRPr="00527E06">
        <w:t>(</w:t>
      </w:r>
      <w:proofErr w:type="spellStart"/>
      <w:r w:rsidR="0056219F" w:rsidRPr="00527E06">
        <w:t>Intersentia</w:t>
      </w:r>
      <w:proofErr w:type="spellEnd"/>
      <w:r w:rsidR="0056219F">
        <w:t xml:space="preserve">, </w:t>
      </w:r>
      <w:r w:rsidR="0056219F" w:rsidRPr="00527E06">
        <w:t>2002)</w:t>
      </w:r>
      <w:r w:rsidR="0056219F">
        <w:t>, p.236</w:t>
      </w:r>
      <w:r w:rsidR="00A45A68">
        <w:t>.</w:t>
      </w:r>
    </w:p>
  </w:footnote>
  <w:footnote w:id="61">
    <w:p w14:paraId="2F100A38" w14:textId="411230B4" w:rsidR="00C03775" w:rsidRPr="00120830" w:rsidRDefault="00C03775"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A11416">
        <w:rPr>
          <w:rFonts w:cs="Times New Roman"/>
        </w:rPr>
        <w:t>As one President</w:t>
      </w:r>
      <w:r w:rsidR="0029419A">
        <w:rPr>
          <w:rFonts w:cs="Times New Roman"/>
        </w:rPr>
        <w:t xml:space="preserve"> </w:t>
      </w:r>
      <w:r w:rsidR="00A11416">
        <w:rPr>
          <w:rFonts w:cs="Times New Roman"/>
        </w:rPr>
        <w:t xml:space="preserve">of the ECtHR put it, “subsidiarity represents a deepening … of human rights protection. It lays a just </w:t>
      </w:r>
      <w:r w:rsidR="003C66DD">
        <w:rPr>
          <w:rFonts w:cs="Times New Roman"/>
        </w:rPr>
        <w:t>emphasis</w:t>
      </w:r>
      <w:r w:rsidR="00A11416">
        <w:rPr>
          <w:rFonts w:cs="Times New Roman"/>
        </w:rPr>
        <w:t xml:space="preserve"> on </w:t>
      </w:r>
      <w:r w:rsidR="003C66DD">
        <w:rPr>
          <w:rFonts w:cs="Times New Roman"/>
        </w:rPr>
        <w:t>the role of the national authorities</w:t>
      </w:r>
      <w:r w:rsidR="00A5692C">
        <w:t>—</w:t>
      </w:r>
      <w:r w:rsidR="003C66DD">
        <w:rPr>
          <w:rFonts w:cs="Times New Roman"/>
        </w:rPr>
        <w:t>above all the national courts</w:t>
      </w:r>
      <w:r w:rsidR="00A5692C">
        <w:t>—</w:t>
      </w:r>
      <w:r w:rsidR="003C66DD">
        <w:rPr>
          <w:rFonts w:cs="Times New Roman"/>
        </w:rPr>
        <w:t xml:space="preserve">in safeguarding fundamental rights” (Guido Raimondi, “Speech to the Supreme Court of the Netherlands” (18 November 2016) </w:t>
      </w:r>
      <w:r w:rsidR="003C66DD" w:rsidRPr="00527E06">
        <w:rPr>
          <w:rFonts w:cs="Times New Roman"/>
          <w:i/>
          <w:iCs/>
        </w:rPr>
        <w:t>https://www.echr.coe.int/Documents/Speech_20161118_Raimondi_Supreme_Court_Netherlands_ENG.pdf.</w:t>
      </w:r>
      <w:r w:rsidR="00293341">
        <w:rPr>
          <w:rFonts w:cs="Times New Roman"/>
        </w:rPr>
        <w:t>)</w:t>
      </w:r>
      <w:r w:rsidR="00A5692C">
        <w:rPr>
          <w:rFonts w:cs="Times New Roman"/>
        </w:rPr>
        <w:t>.</w:t>
      </w:r>
      <w:r w:rsidR="003C66DD">
        <w:rPr>
          <w:rFonts w:cs="Times New Roman"/>
        </w:rPr>
        <w:t xml:space="preserve"> </w:t>
      </w:r>
    </w:p>
  </w:footnote>
  <w:footnote w:id="62">
    <w:p w14:paraId="24FC0518" w14:textId="71E34ACB" w:rsidR="00F74A01" w:rsidRPr="00120830" w:rsidRDefault="00F74A01" w:rsidP="00BD6BC8">
      <w:pPr>
        <w:pStyle w:val="FootnoteText"/>
        <w:jc w:val="both"/>
      </w:pPr>
      <w:r w:rsidRPr="00120830">
        <w:rPr>
          <w:rStyle w:val="FootnoteReference"/>
        </w:rPr>
        <w:footnoteRef/>
      </w:r>
      <w:r w:rsidRPr="00120830">
        <w:t xml:space="preserve"> </w:t>
      </w:r>
      <w:proofErr w:type="spellStart"/>
      <w:r w:rsidR="002B5444" w:rsidRPr="00120830">
        <w:rPr>
          <w:rFonts w:cs="Times New Roman"/>
          <w:i/>
          <w:iCs/>
        </w:rPr>
        <w:t>Ndidi</w:t>
      </w:r>
      <w:proofErr w:type="spellEnd"/>
      <w:r w:rsidR="002B5444" w:rsidRPr="00120830">
        <w:rPr>
          <w:rFonts w:cs="Times New Roman"/>
          <w:i/>
          <w:iCs/>
        </w:rPr>
        <w:t xml:space="preserve"> </w:t>
      </w:r>
      <w:r w:rsidR="002B5444" w:rsidRPr="00120830">
        <w:rPr>
          <w:rFonts w:cs="Times New Roman"/>
        </w:rPr>
        <w:t>(41215/14), at [76]; s</w:t>
      </w:r>
      <w:r w:rsidRPr="00120830">
        <w:t xml:space="preserve">ee also the cases cited in </w:t>
      </w:r>
      <w:proofErr w:type="spellStart"/>
      <w:r w:rsidRPr="00120830">
        <w:t>Janneke</w:t>
      </w:r>
      <w:proofErr w:type="spellEnd"/>
      <w:r w:rsidRPr="00120830">
        <w:t xml:space="preserve"> </w:t>
      </w:r>
      <w:proofErr w:type="spellStart"/>
      <w:r w:rsidRPr="00120830">
        <w:t>Gerards</w:t>
      </w:r>
      <w:proofErr w:type="spellEnd"/>
      <w:r w:rsidRPr="00120830">
        <w:t>, “Procedural Review by the ECtHR: A Typology”</w:t>
      </w:r>
      <w:r w:rsidR="007C6A37" w:rsidRPr="00120830">
        <w:t xml:space="preserve"> in </w:t>
      </w:r>
      <w:proofErr w:type="spellStart"/>
      <w:r w:rsidR="007C6A37" w:rsidRPr="00120830">
        <w:rPr>
          <w:rFonts w:cs="Times New Roman"/>
        </w:rPr>
        <w:t>Brems</w:t>
      </w:r>
      <w:proofErr w:type="spellEnd"/>
      <w:r w:rsidR="007C6A37" w:rsidRPr="00120830">
        <w:rPr>
          <w:rFonts w:cs="Times New Roman"/>
        </w:rPr>
        <w:t xml:space="preserve"> and </w:t>
      </w:r>
      <w:proofErr w:type="spellStart"/>
      <w:r w:rsidR="007C6A37" w:rsidRPr="00120830">
        <w:rPr>
          <w:rFonts w:cs="Times New Roman"/>
        </w:rPr>
        <w:t>Gerards</w:t>
      </w:r>
      <w:proofErr w:type="spellEnd"/>
      <w:r w:rsidR="007C6A37" w:rsidRPr="00120830">
        <w:rPr>
          <w:rFonts w:cs="Times New Roman"/>
        </w:rPr>
        <w:t xml:space="preserve"> (eds) </w:t>
      </w:r>
      <w:r w:rsidR="007C6A37" w:rsidRPr="00120830">
        <w:rPr>
          <w:rFonts w:cs="Times New Roman"/>
          <w:i/>
          <w:iCs/>
        </w:rPr>
        <w:t>Procedural Review in European Fundamental Rights Cases</w:t>
      </w:r>
      <w:r w:rsidR="007C6A37" w:rsidRPr="00120830">
        <w:rPr>
          <w:rFonts w:cs="Times New Roman"/>
        </w:rPr>
        <w:t xml:space="preserve"> (Cambridge University Press, 2017)</w:t>
      </w:r>
      <w:r w:rsidR="00CE7456" w:rsidRPr="00120830">
        <w:rPr>
          <w:rFonts w:cs="Times New Roman"/>
        </w:rPr>
        <w:t>, section 6.4.2</w:t>
      </w:r>
      <w:r w:rsidR="00A5692C">
        <w:rPr>
          <w:rFonts w:cs="Times New Roman"/>
        </w:rPr>
        <w:t>.</w:t>
      </w:r>
    </w:p>
  </w:footnote>
  <w:footnote w:id="63">
    <w:p w14:paraId="703A4F21" w14:textId="37B9530B" w:rsidR="00CE7456" w:rsidRPr="00120830" w:rsidRDefault="00CE7456" w:rsidP="00BD6BC8">
      <w:pPr>
        <w:pStyle w:val="FootnoteText"/>
        <w:jc w:val="both"/>
      </w:pPr>
      <w:r w:rsidRPr="00120830">
        <w:rPr>
          <w:rStyle w:val="FootnoteReference"/>
        </w:rPr>
        <w:footnoteRef/>
      </w:r>
      <w:r w:rsidRPr="00120830">
        <w:t xml:space="preserve"> See the wealth of cases cited in </w:t>
      </w:r>
      <w:proofErr w:type="spellStart"/>
      <w:r w:rsidRPr="00120830">
        <w:t>Gerards</w:t>
      </w:r>
      <w:proofErr w:type="spellEnd"/>
      <w:r w:rsidRPr="00120830">
        <w:t>, “Procedural Review by the ECtHR: A Typology”, section 6.4.3</w:t>
      </w:r>
      <w:r w:rsidR="00A5692C">
        <w:t>.</w:t>
      </w:r>
    </w:p>
  </w:footnote>
  <w:footnote w:id="64">
    <w:p w14:paraId="46456F94" w14:textId="16E3281B" w:rsidR="006C2B75" w:rsidRPr="006C2B75" w:rsidRDefault="006C2B75" w:rsidP="00BD6BC8">
      <w:pPr>
        <w:pStyle w:val="FootnoteText"/>
        <w:jc w:val="both"/>
      </w:pPr>
      <w:r>
        <w:rPr>
          <w:rStyle w:val="FootnoteReference"/>
        </w:rPr>
        <w:footnoteRef/>
      </w:r>
      <w:r>
        <w:t xml:space="preserve"> This perspective is reflected by the comments of ‘judge 14’ in Dzehtsiarou, </w:t>
      </w:r>
      <w:r>
        <w:rPr>
          <w:i/>
          <w:iCs/>
        </w:rPr>
        <w:t>Can the ECtHR Shape European Public Order?</w:t>
      </w:r>
      <w:r>
        <w:t>, p.189</w:t>
      </w:r>
      <w:r w:rsidR="00A5692C">
        <w:t>.</w:t>
      </w:r>
    </w:p>
  </w:footnote>
  <w:footnote w:id="65">
    <w:p w14:paraId="5B99C673" w14:textId="23865107" w:rsidR="00624A1E" w:rsidRPr="00120830" w:rsidRDefault="00624A1E"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See, on this point,</w:t>
      </w:r>
      <w:r w:rsidR="00216915">
        <w:rPr>
          <w:rFonts w:cs="Times New Roman"/>
        </w:rPr>
        <w:t xml:space="preserve"> </w:t>
      </w:r>
      <w:r w:rsidR="00337E02" w:rsidRPr="00120830">
        <w:rPr>
          <w:rFonts w:cs="Times New Roman"/>
          <w:i/>
          <w:iCs/>
        </w:rPr>
        <w:t xml:space="preserve">R. (Nicklinson) v Ministry of Justice </w:t>
      </w:r>
      <w:r w:rsidR="00337E02" w:rsidRPr="00120830">
        <w:rPr>
          <w:rFonts w:cs="Times New Roman"/>
        </w:rPr>
        <w:t>[2014] UKSC 38; [2015] A.C. 657</w:t>
      </w:r>
      <w:r w:rsidRPr="00120830">
        <w:rPr>
          <w:rFonts w:cs="Times New Roman"/>
        </w:rPr>
        <w:t xml:space="preserve">; and </w:t>
      </w:r>
      <w:r w:rsidRPr="00120830">
        <w:rPr>
          <w:rFonts w:cs="Times New Roman"/>
          <w:i/>
          <w:iCs/>
        </w:rPr>
        <w:t>Kennedy v Charity Commission</w:t>
      </w:r>
      <w:r w:rsidRPr="00120830">
        <w:rPr>
          <w:rFonts w:cs="Times New Roman"/>
        </w:rPr>
        <w:t xml:space="preserve"> [2014] UKSC 20; [2015] A.C. 455</w:t>
      </w:r>
      <w:r w:rsidR="00A5692C">
        <w:rPr>
          <w:rFonts w:cs="Times New Roman"/>
        </w:rPr>
        <w:t>.</w:t>
      </w:r>
    </w:p>
  </w:footnote>
  <w:footnote w:id="66">
    <w:p w14:paraId="25F01FC4" w14:textId="48457199" w:rsidR="00942A1D" w:rsidRPr="00120830" w:rsidRDefault="00942A1D"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5A21EC" w:rsidRPr="00120830">
        <w:rPr>
          <w:rFonts w:cs="Times New Roman"/>
        </w:rPr>
        <w:t>F</w:t>
      </w:r>
      <w:r w:rsidRPr="00120830">
        <w:rPr>
          <w:rFonts w:cs="Times New Roman"/>
        </w:rPr>
        <w:t xml:space="preserve">or example, there is no common law analogue of many of the positive obligations arising under </w:t>
      </w:r>
      <w:r w:rsidR="00052CF7" w:rsidRPr="00120830">
        <w:rPr>
          <w:rFonts w:cs="Times New Roman"/>
        </w:rPr>
        <w:t>A</w:t>
      </w:r>
      <w:r w:rsidRPr="00120830">
        <w:rPr>
          <w:rFonts w:cs="Times New Roman"/>
        </w:rPr>
        <w:t>rticles 2 and 3 ECHR.</w:t>
      </w:r>
    </w:p>
  </w:footnote>
  <w:footnote w:id="67">
    <w:p w14:paraId="66687021" w14:textId="28D495BE" w:rsidR="0090584B" w:rsidRPr="00527E06" w:rsidRDefault="0090584B" w:rsidP="00BD6BC8">
      <w:pPr>
        <w:pStyle w:val="FootnoteText"/>
        <w:jc w:val="both"/>
        <w:rPr>
          <w:i/>
          <w:iCs/>
        </w:rPr>
      </w:pPr>
      <w:r>
        <w:rPr>
          <w:rStyle w:val="FootnoteReference"/>
        </w:rPr>
        <w:footnoteRef/>
      </w:r>
      <w:r>
        <w:t xml:space="preserve"> On the relationship between </w:t>
      </w:r>
      <w:r w:rsidR="00A5692C">
        <w:t>“</w:t>
      </w:r>
      <w:r>
        <w:t>subsidiarity</w:t>
      </w:r>
      <w:r w:rsidR="00A5692C">
        <w:t>”</w:t>
      </w:r>
      <w:r>
        <w:t xml:space="preserve"> and </w:t>
      </w:r>
      <w:r w:rsidR="00A5692C">
        <w:t>“</w:t>
      </w:r>
      <w:r>
        <w:t>embeddedness</w:t>
      </w:r>
      <w:r w:rsidR="00A5692C">
        <w:t>”</w:t>
      </w:r>
      <w:r>
        <w:t>, see Laurence Helfer, “</w:t>
      </w:r>
      <w:r w:rsidRPr="0090584B">
        <w:t>Redesigning the European Court of Human Rights: Embeddedness as a Deep Structural Principle of the European Human Rights Regime</w:t>
      </w:r>
      <w:r>
        <w:t>”</w:t>
      </w:r>
      <w:r w:rsidRPr="0090584B">
        <w:t xml:space="preserve"> (2008) 19 </w:t>
      </w:r>
      <w:r>
        <w:t>E.J.I.L.</w:t>
      </w:r>
      <w:r w:rsidRPr="0090584B">
        <w:t xml:space="preserve"> 125</w:t>
      </w:r>
      <w:r>
        <w:t xml:space="preserve">. </w:t>
      </w:r>
      <w:r w:rsidR="00112969">
        <w:t>For Helfer,</w:t>
      </w:r>
      <w:r w:rsidR="004C2406">
        <w:t xml:space="preserve"> </w:t>
      </w:r>
      <w:r>
        <w:t>“embeddedness serves as subsidiarity’s necessary compliment” and its “ultimate aim” is “to revive the subsidiarity doctrine when domestic decision-makers have resumed their rightful position as the Convention’s first-line defenders” (p.149).</w:t>
      </w:r>
    </w:p>
  </w:footnote>
  <w:footnote w:id="68">
    <w:p w14:paraId="07A5FFB6" w14:textId="35CDB50D" w:rsidR="0036765E" w:rsidRPr="00120830" w:rsidRDefault="0036765E"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716300" w:rsidRPr="00120830">
        <w:rPr>
          <w:rFonts w:cs="Times New Roman"/>
        </w:rPr>
        <w:t xml:space="preserve">Samantha </w:t>
      </w:r>
      <w:r w:rsidRPr="00120830">
        <w:rPr>
          <w:rFonts w:cs="Times New Roman"/>
        </w:rPr>
        <w:t>Besson</w:t>
      </w:r>
      <w:r w:rsidR="00716300" w:rsidRPr="00120830">
        <w:rPr>
          <w:rFonts w:cs="Times New Roman"/>
        </w:rPr>
        <w:t>,</w:t>
      </w:r>
      <w:r w:rsidRPr="00120830">
        <w:rPr>
          <w:rFonts w:cs="Times New Roman"/>
        </w:rPr>
        <w:t xml:space="preserve"> </w:t>
      </w:r>
      <w:r w:rsidR="00716300" w:rsidRPr="00120830">
        <w:rPr>
          <w:rFonts w:cs="Times New Roman"/>
        </w:rPr>
        <w:t>“Human Rights and Constitutional Law: Patterns of Mutual Validation and Legitimation”</w:t>
      </w:r>
      <w:r w:rsidR="00972E42" w:rsidRPr="00120830">
        <w:rPr>
          <w:rFonts w:cs="Times New Roman"/>
        </w:rPr>
        <w:t xml:space="preserve"> in Cruft, Liao and Renzo (eds) </w:t>
      </w:r>
      <w:r w:rsidR="00972E42" w:rsidRPr="00120830">
        <w:rPr>
          <w:rFonts w:cs="Times New Roman"/>
          <w:i/>
          <w:iCs/>
        </w:rPr>
        <w:t>Philosophical Foundations of Human Rights</w:t>
      </w:r>
      <w:r w:rsidR="00972E42" w:rsidRPr="00120830">
        <w:rPr>
          <w:rFonts w:cs="Times New Roman"/>
        </w:rPr>
        <w:t xml:space="preserve"> (Oxford University Press, 2015)</w:t>
      </w:r>
      <w:r w:rsidR="00405567">
        <w:rPr>
          <w:rFonts w:cs="Times New Roman"/>
        </w:rPr>
        <w:t>.</w:t>
      </w:r>
    </w:p>
  </w:footnote>
  <w:footnote w:id="69">
    <w:p w14:paraId="118B42B7" w14:textId="2FA779A2" w:rsidR="006C31E1" w:rsidRPr="00120830" w:rsidRDefault="006C31E1"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AE48BF" w:rsidRPr="00120830">
        <w:rPr>
          <w:rFonts w:cs="Times New Roman"/>
        </w:rPr>
        <w:t>Besson, “Human Rights and Constitutional Law”, p.290</w:t>
      </w:r>
      <w:r w:rsidR="00405567">
        <w:rPr>
          <w:rFonts w:cs="Times New Roman"/>
        </w:rPr>
        <w:t>.</w:t>
      </w:r>
    </w:p>
  </w:footnote>
  <w:footnote w:id="70">
    <w:p w14:paraId="689CD970" w14:textId="46F20163" w:rsidR="00AE324F" w:rsidRPr="00120830" w:rsidRDefault="00AE324F"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6D0AC6" w:rsidRPr="00120830">
        <w:rPr>
          <w:rFonts w:cs="Times New Roman"/>
        </w:rPr>
        <w:t>Besson, “Human Rights and Constitutional Law”, p.286</w:t>
      </w:r>
      <w:r w:rsidR="00405567">
        <w:rPr>
          <w:rFonts w:cs="Times New Roman"/>
        </w:rPr>
        <w:t>.</w:t>
      </w:r>
    </w:p>
  </w:footnote>
  <w:footnote w:id="71">
    <w:p w14:paraId="5A7FE141" w14:textId="4D2BFC05" w:rsidR="00111008" w:rsidRPr="00120830" w:rsidRDefault="00111008"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6D0AC6" w:rsidRPr="00120830">
        <w:rPr>
          <w:rFonts w:cs="Times New Roman"/>
        </w:rPr>
        <w:t>Besson, “Human Rights and Constitutional Law”, p.287</w:t>
      </w:r>
      <w:r w:rsidR="00405567">
        <w:rPr>
          <w:rFonts w:cs="Times New Roman"/>
        </w:rPr>
        <w:t>.</w:t>
      </w:r>
    </w:p>
  </w:footnote>
  <w:footnote w:id="72">
    <w:p w14:paraId="378F26FD" w14:textId="2B70297A" w:rsidR="004C40C1" w:rsidRPr="00120830" w:rsidRDefault="004C40C1"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6D0AC6" w:rsidRPr="00120830">
        <w:rPr>
          <w:rFonts w:cs="Times New Roman"/>
        </w:rPr>
        <w:t xml:space="preserve"> Besson, “Human Rights and Constitutional Law”, p.</w:t>
      </w:r>
      <w:r w:rsidR="00CA5ADE" w:rsidRPr="00120830">
        <w:rPr>
          <w:rFonts w:cs="Times New Roman"/>
        </w:rPr>
        <w:t>288</w:t>
      </w:r>
      <w:r w:rsidR="00405567">
        <w:rPr>
          <w:rFonts w:cs="Times New Roman"/>
        </w:rPr>
        <w:t>.</w:t>
      </w:r>
    </w:p>
  </w:footnote>
  <w:footnote w:id="73">
    <w:p w14:paraId="2DD4798A" w14:textId="08F4091C" w:rsidR="00F21315" w:rsidRPr="00120830" w:rsidRDefault="00F21315"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AD6568" w:rsidRPr="00120830">
        <w:rPr>
          <w:rFonts w:cs="Times New Roman"/>
        </w:rPr>
        <w:t>Besson, “Human Rights and Constitutional Law”, pp.292-295</w:t>
      </w:r>
      <w:r w:rsidR="00405567">
        <w:rPr>
          <w:rFonts w:cs="Times New Roman"/>
        </w:rPr>
        <w:t>.</w:t>
      </w:r>
    </w:p>
  </w:footnote>
  <w:footnote w:id="74">
    <w:p w14:paraId="6F62F254" w14:textId="634113D2" w:rsidR="00D90DC5" w:rsidRPr="00120830" w:rsidRDefault="00D90DC5"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324D60" w:rsidRPr="00120830">
        <w:rPr>
          <w:rFonts w:cs="Times New Roman"/>
        </w:rPr>
        <w:t>Marisa Iglesias Vila, “Subsidiarity, margin of appreciation and international adjudication within a cooperative conception of human rights” (2017) 15(2) I•CON 393</w:t>
      </w:r>
      <w:r w:rsidR="00324D60">
        <w:rPr>
          <w:rFonts w:cs="Times New Roman"/>
        </w:rPr>
        <w:t>,</w:t>
      </w:r>
      <w:r w:rsidR="00405567">
        <w:rPr>
          <w:rFonts w:cs="Times New Roman"/>
        </w:rPr>
        <w:t xml:space="preserve"> </w:t>
      </w:r>
      <w:r w:rsidR="00134EEB" w:rsidRPr="00120830">
        <w:rPr>
          <w:rFonts w:cs="Times New Roman"/>
        </w:rPr>
        <w:t>397</w:t>
      </w:r>
      <w:r w:rsidR="00405567">
        <w:rPr>
          <w:rFonts w:cs="Times New Roman"/>
        </w:rPr>
        <w:t>.</w:t>
      </w:r>
    </w:p>
  </w:footnote>
  <w:footnote w:id="75">
    <w:p w14:paraId="3C35BB9D" w14:textId="6C78F0E4" w:rsidR="005527B9" w:rsidRPr="00120830" w:rsidRDefault="005527B9"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ED04FF" w:rsidRPr="00120830">
        <w:rPr>
          <w:rFonts w:cs="Times New Roman"/>
        </w:rPr>
        <w:t xml:space="preserve">Vila, “Subsidiarity, margin of appreciation and international adjudication”, 402 </w:t>
      </w:r>
      <w:r w:rsidRPr="00120830">
        <w:rPr>
          <w:rFonts w:cs="Times New Roman"/>
        </w:rPr>
        <w:t>[emphasis added]</w:t>
      </w:r>
      <w:r w:rsidR="00405567">
        <w:rPr>
          <w:rFonts w:cs="Times New Roman"/>
        </w:rPr>
        <w:t>.</w:t>
      </w:r>
    </w:p>
  </w:footnote>
  <w:footnote w:id="76">
    <w:p w14:paraId="5A717ADE" w14:textId="2C898008" w:rsidR="00C41C3C" w:rsidRPr="00120830" w:rsidRDefault="00C41C3C"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085C91" w:rsidRPr="00120830">
        <w:rPr>
          <w:rFonts w:cs="Times New Roman"/>
        </w:rPr>
        <w:t>Vila, “Subsidiarity, margin of appreciation and international adjudication”, 403-412</w:t>
      </w:r>
      <w:r w:rsidR="00405567">
        <w:rPr>
          <w:rFonts w:cs="Times New Roman"/>
        </w:rPr>
        <w:t>.</w:t>
      </w:r>
    </w:p>
  </w:footnote>
  <w:footnote w:id="77">
    <w:p w14:paraId="3AFD0115" w14:textId="32018494" w:rsidR="005A3A8C" w:rsidRPr="00120830" w:rsidRDefault="005A3A8C"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FA06DA" w:rsidRPr="00120830">
        <w:rPr>
          <w:rFonts w:cs="Times New Roman"/>
          <w:i/>
          <w:iCs/>
        </w:rPr>
        <w:t>Ambrose v Harris</w:t>
      </w:r>
      <w:r w:rsidR="00FA06DA" w:rsidRPr="00120830">
        <w:rPr>
          <w:rFonts w:cs="Times New Roman"/>
        </w:rPr>
        <w:t xml:space="preserve"> [2011] UKSC 43</w:t>
      </w:r>
      <w:r w:rsidRPr="00120830">
        <w:rPr>
          <w:rFonts w:cs="Times New Roman"/>
        </w:rPr>
        <w:t xml:space="preserve">, at </w:t>
      </w:r>
      <w:r w:rsidR="00FA06DA" w:rsidRPr="00120830">
        <w:rPr>
          <w:rFonts w:cs="Times New Roman"/>
        </w:rPr>
        <w:t>[</w:t>
      </w:r>
      <w:r w:rsidRPr="00120830">
        <w:rPr>
          <w:rFonts w:cs="Times New Roman"/>
        </w:rPr>
        <w:t>19</w:t>
      </w:r>
      <w:r w:rsidR="00FA06DA" w:rsidRPr="00120830">
        <w:rPr>
          <w:rFonts w:cs="Times New Roman"/>
        </w:rPr>
        <w:t>]</w:t>
      </w:r>
      <w:r w:rsidR="00405567">
        <w:rPr>
          <w:rFonts w:cs="Times New Roman"/>
        </w:rPr>
        <w:t>.</w:t>
      </w:r>
    </w:p>
  </w:footnote>
  <w:footnote w:id="78">
    <w:p w14:paraId="7532860D" w14:textId="14190D3B" w:rsidR="00291151" w:rsidRPr="00120830" w:rsidRDefault="00291151"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760338" w:rsidRPr="00120830">
        <w:rPr>
          <w:rFonts w:cs="Times New Roman"/>
        </w:rPr>
        <w:t xml:space="preserve">Draghici, “The </w:t>
      </w:r>
      <w:r w:rsidR="00907FB2" w:rsidRPr="00120830">
        <w:rPr>
          <w:rFonts w:cs="Times New Roman"/>
        </w:rPr>
        <w:t>HRA</w:t>
      </w:r>
      <w:r w:rsidR="00760338" w:rsidRPr="00120830">
        <w:rPr>
          <w:rFonts w:cs="Times New Roman"/>
        </w:rPr>
        <w:t xml:space="preserve"> in the shadow of the European Convention”, 161</w:t>
      </w:r>
      <w:r w:rsidR="00405567">
        <w:rPr>
          <w:rFonts w:cs="Times New Roman"/>
        </w:rPr>
        <w:t>.</w:t>
      </w:r>
    </w:p>
  </w:footnote>
  <w:footnote w:id="79">
    <w:p w14:paraId="21C01F01" w14:textId="5F42529C" w:rsidR="001C4869" w:rsidRPr="00120830" w:rsidRDefault="001C4869"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Hale</w:t>
      </w:r>
      <w:r w:rsidR="00882AE3" w:rsidRPr="00120830">
        <w:rPr>
          <w:rFonts w:cs="Times New Roman"/>
        </w:rPr>
        <w:t xml:space="preserve">, </w:t>
      </w:r>
      <w:r w:rsidR="00405567">
        <w:rPr>
          <w:rFonts w:cs="Times New Roman"/>
        </w:rPr>
        <w:t>“</w:t>
      </w:r>
      <w:proofErr w:type="spellStart"/>
      <w:r w:rsidR="00882AE3" w:rsidRPr="00120830">
        <w:rPr>
          <w:rFonts w:cs="Times New Roman"/>
        </w:rPr>
        <w:t>Argentoratum</w:t>
      </w:r>
      <w:proofErr w:type="spellEnd"/>
      <w:r w:rsidR="00882AE3" w:rsidRPr="00120830">
        <w:rPr>
          <w:rFonts w:cs="Times New Roman"/>
        </w:rPr>
        <w:t xml:space="preserve"> </w:t>
      </w:r>
      <w:proofErr w:type="spellStart"/>
      <w:r w:rsidR="00882AE3" w:rsidRPr="00120830">
        <w:rPr>
          <w:rFonts w:cs="Times New Roman"/>
        </w:rPr>
        <w:t>Locutum</w:t>
      </w:r>
      <w:proofErr w:type="spellEnd"/>
      <w:r w:rsidR="00277C4C" w:rsidRPr="00120830">
        <w:rPr>
          <w:rFonts w:cs="Times New Roman"/>
        </w:rPr>
        <w:t>”</w:t>
      </w:r>
      <w:r w:rsidR="00882AE3" w:rsidRPr="00120830">
        <w:rPr>
          <w:rFonts w:cs="Times New Roman"/>
        </w:rPr>
        <w:t xml:space="preserve">, </w:t>
      </w:r>
      <w:r w:rsidRPr="00120830">
        <w:rPr>
          <w:rFonts w:cs="Times New Roman"/>
        </w:rPr>
        <w:t>69</w:t>
      </w:r>
      <w:r w:rsidR="00405567">
        <w:rPr>
          <w:rFonts w:cs="Times New Roman"/>
        </w:rPr>
        <w:t>.</w:t>
      </w:r>
    </w:p>
  </w:footnote>
  <w:footnote w:id="80">
    <w:p w14:paraId="1A4AE616" w14:textId="3C3EC7B2" w:rsidR="008D2F05" w:rsidRPr="00120830" w:rsidRDefault="008D2F05"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1E4A7A" w:rsidRPr="00120830">
        <w:rPr>
          <w:rFonts w:cs="Times New Roman"/>
          <w:i/>
          <w:iCs/>
        </w:rPr>
        <w:t>Anderson</w:t>
      </w:r>
      <w:r w:rsidR="007E7052" w:rsidRPr="00120830">
        <w:rPr>
          <w:rFonts w:cs="Times New Roman"/>
          <w:i/>
          <w:iCs/>
        </w:rPr>
        <w:t xml:space="preserve"> </w:t>
      </w:r>
      <w:r w:rsidR="001E4A7A" w:rsidRPr="00120830">
        <w:rPr>
          <w:rFonts w:cs="Times New Roman"/>
        </w:rPr>
        <w:t xml:space="preserve">[2001] EWCA </w:t>
      </w:r>
      <w:proofErr w:type="spellStart"/>
      <w:r w:rsidR="001E4A7A" w:rsidRPr="00120830">
        <w:rPr>
          <w:rFonts w:cs="Times New Roman"/>
        </w:rPr>
        <w:t>Civ</w:t>
      </w:r>
      <w:proofErr w:type="spellEnd"/>
      <w:r w:rsidR="001E4A7A" w:rsidRPr="00120830">
        <w:rPr>
          <w:rFonts w:cs="Times New Roman"/>
        </w:rPr>
        <w:t xml:space="preserve"> 1698</w:t>
      </w:r>
      <w:r w:rsidRPr="00120830">
        <w:rPr>
          <w:rFonts w:cs="Times New Roman"/>
        </w:rPr>
        <w:t xml:space="preserve">, </w:t>
      </w:r>
      <w:r w:rsidR="00297F2D" w:rsidRPr="00120830">
        <w:rPr>
          <w:rFonts w:cs="Times New Roman"/>
        </w:rPr>
        <w:t>at</w:t>
      </w:r>
      <w:r w:rsidRPr="00120830">
        <w:rPr>
          <w:rFonts w:cs="Times New Roman"/>
        </w:rPr>
        <w:t xml:space="preserve"> </w:t>
      </w:r>
      <w:r w:rsidR="001E4A7A" w:rsidRPr="00120830">
        <w:rPr>
          <w:rFonts w:cs="Times New Roman"/>
        </w:rPr>
        <w:t>[</w:t>
      </w:r>
      <w:r w:rsidRPr="00120830">
        <w:rPr>
          <w:rFonts w:cs="Times New Roman"/>
        </w:rPr>
        <w:t>89</w:t>
      </w:r>
      <w:r w:rsidR="001E4A7A" w:rsidRPr="00120830">
        <w:rPr>
          <w:rFonts w:cs="Times New Roman"/>
        </w:rPr>
        <w:t>]</w:t>
      </w:r>
      <w:r w:rsidR="00030817">
        <w:rPr>
          <w:rFonts w:cs="Times New Roman"/>
        </w:rPr>
        <w:t>.</w:t>
      </w:r>
    </w:p>
  </w:footnote>
  <w:footnote w:id="81">
    <w:p w14:paraId="4771AD38" w14:textId="4F7FCF7B" w:rsidR="00297F2D" w:rsidRPr="00120830" w:rsidRDefault="00297F2D"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Pr="00120830">
        <w:rPr>
          <w:rFonts w:cs="Times New Roman"/>
          <w:i/>
          <w:iCs/>
        </w:rPr>
        <w:t>R</w:t>
      </w:r>
      <w:r w:rsidR="008802E4" w:rsidRPr="00120830">
        <w:rPr>
          <w:rFonts w:cs="Times New Roman"/>
          <w:i/>
          <w:iCs/>
        </w:rPr>
        <w:t>. (Clift) v Secretary of State for the Home Department</w:t>
      </w:r>
      <w:r w:rsidR="008802E4" w:rsidRPr="00120830">
        <w:rPr>
          <w:rFonts w:cs="Times New Roman"/>
        </w:rPr>
        <w:t xml:space="preserve"> [2006] UKHL 54; [2007] 1 A.C. 484</w:t>
      </w:r>
      <w:r w:rsidR="00A0122D" w:rsidRPr="00120830">
        <w:rPr>
          <w:rFonts w:cs="Times New Roman"/>
        </w:rPr>
        <w:t>,</w:t>
      </w:r>
      <w:r w:rsidR="008802E4" w:rsidRPr="00120830">
        <w:rPr>
          <w:rFonts w:cs="Times New Roman"/>
        </w:rPr>
        <w:t xml:space="preserve"> </w:t>
      </w:r>
      <w:r w:rsidRPr="00120830">
        <w:rPr>
          <w:rFonts w:cs="Times New Roman"/>
        </w:rPr>
        <w:t xml:space="preserve">at </w:t>
      </w:r>
      <w:r w:rsidR="008802E4" w:rsidRPr="00120830">
        <w:rPr>
          <w:rFonts w:cs="Times New Roman"/>
        </w:rPr>
        <w:t>[</w:t>
      </w:r>
      <w:r w:rsidRPr="00120830">
        <w:rPr>
          <w:rFonts w:cs="Times New Roman"/>
        </w:rPr>
        <w:t>49</w:t>
      </w:r>
      <w:r w:rsidR="008802E4" w:rsidRPr="00120830">
        <w:rPr>
          <w:rFonts w:cs="Times New Roman"/>
        </w:rPr>
        <w:t>]</w:t>
      </w:r>
      <w:r w:rsidR="00030817">
        <w:rPr>
          <w:rFonts w:cs="Times New Roman"/>
        </w:rPr>
        <w:t>.</w:t>
      </w:r>
    </w:p>
  </w:footnote>
  <w:footnote w:id="82">
    <w:p w14:paraId="1433AA55" w14:textId="75477706" w:rsidR="006B6058" w:rsidRPr="00120830" w:rsidRDefault="006B6058"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proofErr w:type="spellStart"/>
      <w:r w:rsidRPr="00120830">
        <w:rPr>
          <w:rFonts w:cs="Times New Roman"/>
          <w:i/>
          <w:iCs/>
        </w:rPr>
        <w:t>Cadder</w:t>
      </w:r>
      <w:proofErr w:type="spellEnd"/>
      <w:r w:rsidRPr="00120830">
        <w:rPr>
          <w:rFonts w:cs="Times New Roman"/>
          <w:i/>
          <w:iCs/>
        </w:rPr>
        <w:t xml:space="preserve"> v HM Advocate</w:t>
      </w:r>
      <w:r w:rsidRPr="00120830">
        <w:rPr>
          <w:rFonts w:cs="Times New Roman"/>
        </w:rPr>
        <w:t xml:space="preserve"> </w:t>
      </w:r>
      <w:r w:rsidR="00A0122D" w:rsidRPr="00120830">
        <w:rPr>
          <w:rFonts w:cs="Times New Roman"/>
        </w:rPr>
        <w:t xml:space="preserve">[2010] UKSC 43; [2010] 1 W.L.R. 2601, </w:t>
      </w:r>
      <w:r w:rsidRPr="00120830">
        <w:rPr>
          <w:rFonts w:cs="Times New Roman"/>
        </w:rPr>
        <w:t xml:space="preserve">at </w:t>
      </w:r>
      <w:r w:rsidR="00A0122D" w:rsidRPr="00120830">
        <w:rPr>
          <w:rFonts w:cs="Times New Roman"/>
        </w:rPr>
        <w:t>[</w:t>
      </w:r>
      <w:r w:rsidRPr="00120830">
        <w:rPr>
          <w:rFonts w:cs="Times New Roman"/>
        </w:rPr>
        <w:t>40</w:t>
      </w:r>
      <w:r w:rsidR="00A0122D" w:rsidRPr="00120830">
        <w:rPr>
          <w:rFonts w:cs="Times New Roman"/>
        </w:rPr>
        <w:t>]</w:t>
      </w:r>
      <w:r w:rsidR="00030817">
        <w:rPr>
          <w:rFonts w:cs="Times New Roman"/>
        </w:rPr>
        <w:t>.</w:t>
      </w:r>
    </w:p>
  </w:footnote>
  <w:footnote w:id="83">
    <w:p w14:paraId="4CE9D2E7" w14:textId="4AA848CB" w:rsidR="00F76F11" w:rsidRPr="00120830" w:rsidRDefault="00F76F11"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6E4ED1" w:rsidRPr="00120830">
        <w:rPr>
          <w:rFonts w:cs="Times New Roman"/>
          <w:i/>
          <w:iCs/>
        </w:rPr>
        <w:t>In r</w:t>
      </w:r>
      <w:r w:rsidRPr="00120830">
        <w:rPr>
          <w:rFonts w:cs="Times New Roman"/>
          <w:i/>
          <w:iCs/>
        </w:rPr>
        <w:t>e G</w:t>
      </w:r>
      <w:r w:rsidR="006E4ED1" w:rsidRPr="00120830">
        <w:rPr>
          <w:rFonts w:cs="Times New Roman"/>
        </w:rPr>
        <w:t xml:space="preserve"> [2008] UKHL 38; [2009] 1 A.C. 173</w:t>
      </w:r>
      <w:r w:rsidRPr="00120830">
        <w:rPr>
          <w:rFonts w:cs="Times New Roman"/>
        </w:rPr>
        <w:t xml:space="preserve">, at </w:t>
      </w:r>
      <w:r w:rsidR="00030817">
        <w:rPr>
          <w:rFonts w:cs="Times New Roman"/>
        </w:rPr>
        <w:t>[</w:t>
      </w:r>
      <w:r w:rsidRPr="00120830">
        <w:rPr>
          <w:rFonts w:cs="Times New Roman"/>
        </w:rPr>
        <w:t>36</w:t>
      </w:r>
      <w:r w:rsidR="00030817">
        <w:rPr>
          <w:rFonts w:cs="Times New Roman"/>
        </w:rPr>
        <w:t>].</w:t>
      </w:r>
    </w:p>
  </w:footnote>
  <w:footnote w:id="84">
    <w:p w14:paraId="79E56A52" w14:textId="34FD6ABD" w:rsidR="00D8126B" w:rsidRPr="00120830" w:rsidRDefault="00D8126B"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DA1BAB" w:rsidRPr="00120830">
        <w:rPr>
          <w:rFonts w:cs="Times New Roman"/>
          <w:i/>
          <w:iCs/>
        </w:rPr>
        <w:t xml:space="preserve">Elan-Cane </w:t>
      </w:r>
      <w:r w:rsidR="00DA1BAB" w:rsidRPr="00120830">
        <w:rPr>
          <w:rFonts w:cs="Times New Roman"/>
        </w:rPr>
        <w:t>[2021] UKSC 56</w:t>
      </w:r>
      <w:r w:rsidR="00030817">
        <w:rPr>
          <w:rFonts w:cs="Times New Roman"/>
        </w:rPr>
        <w:t>.</w:t>
      </w:r>
    </w:p>
  </w:footnote>
  <w:footnote w:id="85">
    <w:p w14:paraId="5F0B0CF4" w14:textId="78F4AA13" w:rsidR="00D8126B" w:rsidRPr="00120830" w:rsidRDefault="00D8126B"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4F6CC1" w:rsidRPr="00120830">
        <w:rPr>
          <w:rFonts w:cs="Times New Roman"/>
          <w:i/>
          <w:iCs/>
        </w:rPr>
        <w:t xml:space="preserve">Elan-Cane </w:t>
      </w:r>
      <w:r w:rsidR="004F6CC1" w:rsidRPr="00120830">
        <w:rPr>
          <w:rFonts w:cs="Times New Roman"/>
        </w:rPr>
        <w:t>[2021] UKSC 56, a</w:t>
      </w:r>
      <w:r w:rsidR="00BC49B2" w:rsidRPr="00120830">
        <w:rPr>
          <w:rFonts w:cs="Times New Roman"/>
        </w:rPr>
        <w:t xml:space="preserve">t </w:t>
      </w:r>
      <w:r w:rsidR="004F6CC1" w:rsidRPr="00120830">
        <w:rPr>
          <w:rFonts w:cs="Times New Roman"/>
        </w:rPr>
        <w:t>[</w:t>
      </w:r>
      <w:r w:rsidR="00BC49B2" w:rsidRPr="00120830">
        <w:rPr>
          <w:rFonts w:cs="Times New Roman"/>
        </w:rPr>
        <w:t>77</w:t>
      </w:r>
      <w:r w:rsidR="004F6CC1" w:rsidRPr="00120830">
        <w:rPr>
          <w:rFonts w:cs="Times New Roman"/>
        </w:rPr>
        <w:t>]</w:t>
      </w:r>
      <w:r w:rsidR="00BC49B2" w:rsidRPr="00120830">
        <w:rPr>
          <w:rFonts w:cs="Times New Roman"/>
        </w:rPr>
        <w:t xml:space="preserve"> and </w:t>
      </w:r>
      <w:r w:rsidR="004F6CC1" w:rsidRPr="00120830">
        <w:rPr>
          <w:rFonts w:cs="Times New Roman"/>
        </w:rPr>
        <w:t>[</w:t>
      </w:r>
      <w:r w:rsidR="00BC49B2" w:rsidRPr="00120830">
        <w:rPr>
          <w:rFonts w:cs="Times New Roman"/>
        </w:rPr>
        <w:t>78</w:t>
      </w:r>
      <w:r w:rsidR="004F6CC1" w:rsidRPr="00120830">
        <w:rPr>
          <w:rFonts w:cs="Times New Roman"/>
        </w:rPr>
        <w:t>]</w:t>
      </w:r>
      <w:r w:rsidR="00030817">
        <w:rPr>
          <w:rFonts w:cs="Times New Roman"/>
        </w:rPr>
        <w:t>.</w:t>
      </w:r>
    </w:p>
  </w:footnote>
  <w:footnote w:id="86">
    <w:p w14:paraId="286B3830" w14:textId="5D2D9DCD" w:rsidR="002C4800" w:rsidRPr="00120830" w:rsidRDefault="002C4800"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4F6CC1" w:rsidRPr="00120830">
        <w:rPr>
          <w:rFonts w:cs="Times New Roman"/>
          <w:i/>
          <w:iCs/>
        </w:rPr>
        <w:t xml:space="preserve">Elan-Cane </w:t>
      </w:r>
      <w:r w:rsidR="004F6CC1" w:rsidRPr="00120830">
        <w:rPr>
          <w:rFonts w:cs="Times New Roman"/>
        </w:rPr>
        <w:t>[2021] UKSC 56, a</w:t>
      </w:r>
      <w:r w:rsidRPr="00120830">
        <w:rPr>
          <w:rFonts w:cs="Times New Roman"/>
        </w:rPr>
        <w:t xml:space="preserve">t </w:t>
      </w:r>
      <w:r w:rsidR="004F6CC1" w:rsidRPr="00120830">
        <w:rPr>
          <w:rFonts w:cs="Times New Roman"/>
        </w:rPr>
        <w:t>[</w:t>
      </w:r>
      <w:r w:rsidRPr="00120830">
        <w:rPr>
          <w:rFonts w:cs="Times New Roman"/>
        </w:rPr>
        <w:t>80</w:t>
      </w:r>
      <w:r w:rsidR="004F6CC1" w:rsidRPr="00120830">
        <w:rPr>
          <w:rFonts w:cs="Times New Roman"/>
        </w:rPr>
        <w:t>]</w:t>
      </w:r>
      <w:r w:rsidR="00030817">
        <w:rPr>
          <w:rFonts w:cs="Times New Roman"/>
        </w:rPr>
        <w:t>.</w:t>
      </w:r>
    </w:p>
  </w:footnote>
  <w:footnote w:id="87">
    <w:p w14:paraId="1CAEF490" w14:textId="3A0BA7E6" w:rsidR="00306CFE" w:rsidRPr="00120830" w:rsidRDefault="00306CFE"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4F6CC1" w:rsidRPr="00120830">
        <w:rPr>
          <w:rFonts w:cs="Times New Roman"/>
          <w:i/>
          <w:iCs/>
        </w:rPr>
        <w:t xml:space="preserve">Elan-Cane </w:t>
      </w:r>
      <w:r w:rsidR="004F6CC1" w:rsidRPr="00120830">
        <w:rPr>
          <w:rFonts w:cs="Times New Roman"/>
        </w:rPr>
        <w:t>[2021] UKSC 56, a</w:t>
      </w:r>
      <w:r w:rsidRPr="00120830">
        <w:rPr>
          <w:rFonts w:cs="Times New Roman"/>
        </w:rPr>
        <w:t xml:space="preserve">t </w:t>
      </w:r>
      <w:r w:rsidR="004F6CC1" w:rsidRPr="00120830">
        <w:rPr>
          <w:rFonts w:cs="Times New Roman"/>
        </w:rPr>
        <w:t>[</w:t>
      </w:r>
      <w:r w:rsidRPr="00120830">
        <w:rPr>
          <w:rFonts w:cs="Times New Roman"/>
        </w:rPr>
        <w:t>83</w:t>
      </w:r>
      <w:r w:rsidR="004F6CC1" w:rsidRPr="00120830">
        <w:rPr>
          <w:rFonts w:cs="Times New Roman"/>
        </w:rPr>
        <w:t>]</w:t>
      </w:r>
      <w:r w:rsidR="00030817">
        <w:rPr>
          <w:rFonts w:cs="Times New Roman"/>
        </w:rPr>
        <w:t>.</w:t>
      </w:r>
    </w:p>
  </w:footnote>
  <w:footnote w:id="88">
    <w:p w14:paraId="568FC7F3" w14:textId="6C350801" w:rsidR="005840D6" w:rsidRDefault="005840D6" w:rsidP="00BD6BC8">
      <w:pPr>
        <w:pStyle w:val="FootnoteText"/>
        <w:jc w:val="both"/>
      </w:pPr>
      <w:r>
        <w:rPr>
          <w:rStyle w:val="FootnoteReference"/>
        </w:rPr>
        <w:footnoteRef/>
      </w:r>
      <w:r>
        <w:t xml:space="preserve"> </w:t>
      </w:r>
      <w:r w:rsidRPr="00120830">
        <w:rPr>
          <w:rFonts w:cs="Times New Roman"/>
          <w:i/>
          <w:iCs/>
        </w:rPr>
        <w:t xml:space="preserve">Elan-Cane </w:t>
      </w:r>
      <w:r w:rsidRPr="00120830">
        <w:rPr>
          <w:rFonts w:cs="Times New Roman"/>
        </w:rPr>
        <w:t>[2021] UKSC 56, at</w:t>
      </w:r>
      <w:r>
        <w:rPr>
          <w:rFonts w:cs="Times New Roman"/>
        </w:rPr>
        <w:t xml:space="preserve"> [104]</w:t>
      </w:r>
      <w:r w:rsidR="00030817">
        <w:rPr>
          <w:rFonts w:cs="Times New Roman"/>
        </w:rPr>
        <w:t>.</w:t>
      </w:r>
    </w:p>
  </w:footnote>
  <w:footnote w:id="89">
    <w:p w14:paraId="527866AF" w14:textId="185EDB29" w:rsidR="003D2AC3" w:rsidRPr="00120830" w:rsidRDefault="003D2AC3"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8A3FF7" w:rsidRPr="00120830">
        <w:rPr>
          <w:rFonts w:cs="Times New Roman"/>
        </w:rPr>
        <w:t>Majewski</w:t>
      </w:r>
      <w:r w:rsidRPr="00120830">
        <w:rPr>
          <w:rFonts w:cs="Times New Roman"/>
        </w:rPr>
        <w:t>,</w:t>
      </w:r>
      <w:r w:rsidR="008A3FF7" w:rsidRPr="00120830">
        <w:rPr>
          <w:rFonts w:cs="Times New Roman"/>
        </w:rPr>
        <w:t xml:space="preserve"> “Mirroring the Margin”</w:t>
      </w:r>
      <w:r w:rsidR="002264E3" w:rsidRPr="00120830">
        <w:rPr>
          <w:rFonts w:cs="Times New Roman"/>
        </w:rPr>
        <w:t>,</w:t>
      </w:r>
      <w:r w:rsidR="00543130">
        <w:rPr>
          <w:rFonts w:cs="Times New Roman"/>
        </w:rPr>
        <w:t xml:space="preserve"> </w:t>
      </w:r>
      <w:r w:rsidRPr="00120830">
        <w:rPr>
          <w:rFonts w:cs="Times New Roman"/>
        </w:rPr>
        <w:t>555</w:t>
      </w:r>
      <w:r w:rsidR="004B7C1C" w:rsidRPr="00120830">
        <w:rPr>
          <w:rFonts w:cs="Times New Roman"/>
        </w:rPr>
        <w:t xml:space="preserve"> [emphasis </w:t>
      </w:r>
      <w:r w:rsidR="005E3896" w:rsidRPr="00120830">
        <w:rPr>
          <w:rFonts w:cs="Times New Roman"/>
        </w:rPr>
        <w:t xml:space="preserve">in </w:t>
      </w:r>
      <w:r w:rsidR="004B7C1C" w:rsidRPr="00120830">
        <w:rPr>
          <w:rFonts w:cs="Times New Roman"/>
        </w:rPr>
        <w:t>original]</w:t>
      </w:r>
      <w:r w:rsidR="00543130">
        <w:rPr>
          <w:rFonts w:cs="Times New Roman"/>
        </w:rPr>
        <w:t>.</w:t>
      </w:r>
    </w:p>
  </w:footnote>
  <w:footnote w:id="90">
    <w:p w14:paraId="06732997" w14:textId="28374F02" w:rsidR="00312820" w:rsidRPr="00120830" w:rsidRDefault="00312820"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Spano, “Universality or Diversity of Human Rights?”, 493</w:t>
      </w:r>
      <w:r w:rsidR="00543130">
        <w:rPr>
          <w:rFonts w:cs="Times New Roman"/>
        </w:rPr>
        <w:t>.</w:t>
      </w:r>
    </w:p>
  </w:footnote>
  <w:footnote w:id="91">
    <w:p w14:paraId="03090760" w14:textId="3608AF3E" w:rsidR="008E34E5" w:rsidRPr="00527E06" w:rsidRDefault="008E34E5" w:rsidP="00BD6BC8">
      <w:pPr>
        <w:pStyle w:val="FootnoteText"/>
        <w:jc w:val="both"/>
        <w:rPr>
          <w:i/>
          <w:iCs/>
        </w:rPr>
      </w:pPr>
      <w:r>
        <w:rPr>
          <w:rStyle w:val="FootnoteReference"/>
        </w:rPr>
        <w:footnoteRef/>
      </w:r>
      <w:r>
        <w:t xml:space="preserve"> Dean Spielmann, “Judgments of the ECHR Effects and Implementation”</w:t>
      </w:r>
      <w:r w:rsidR="00E94922">
        <w:t xml:space="preserve"> (20 September 2013) </w:t>
      </w:r>
      <w:r w:rsidR="00E94922" w:rsidRPr="00527E06">
        <w:rPr>
          <w:i/>
          <w:iCs/>
        </w:rPr>
        <w:t>www.echr.coe.int /Documents/Speech_20140519_Spielmann_ENG.pdf.</w:t>
      </w:r>
    </w:p>
  </w:footnote>
  <w:footnote w:id="92">
    <w:p w14:paraId="2A1F9ADC" w14:textId="6C639F86" w:rsidR="00312820" w:rsidRPr="00120830" w:rsidRDefault="00312820" w:rsidP="00BD6BC8">
      <w:pPr>
        <w:pStyle w:val="FootnoteText"/>
        <w:jc w:val="both"/>
      </w:pPr>
      <w:r w:rsidRPr="00120830">
        <w:rPr>
          <w:rStyle w:val="FootnoteReference"/>
        </w:rPr>
        <w:footnoteRef/>
      </w:r>
      <w:r w:rsidRPr="00120830">
        <w:t xml:space="preserve"> </w:t>
      </w:r>
      <w:r w:rsidRPr="00120830">
        <w:rPr>
          <w:i/>
          <w:iCs/>
        </w:rPr>
        <w:t>Abdu v Bulgaria</w:t>
      </w:r>
      <w:r w:rsidRPr="00120830">
        <w:t xml:space="preserve"> (26827/08), 11 March 2014, part</w:t>
      </w:r>
      <w:r w:rsidR="00637FD8" w:rsidRPr="00120830">
        <w:t>ial</w:t>
      </w:r>
      <w:r w:rsidRPr="00120830">
        <w:t>ly dissenting opinion, at [</w:t>
      </w:r>
      <w:r w:rsidR="00637FD8" w:rsidRPr="00120830">
        <w:t>1</w:t>
      </w:r>
      <w:r w:rsidRPr="00120830">
        <w:t>]</w:t>
      </w:r>
      <w:r w:rsidR="00877710" w:rsidRPr="00120830">
        <w:t>; see also</w:t>
      </w:r>
      <w:r w:rsidR="00543130">
        <w:t xml:space="preserve"> </w:t>
      </w:r>
      <w:r w:rsidR="00877710" w:rsidRPr="00120830">
        <w:t xml:space="preserve">the opinion of judge </w:t>
      </w:r>
      <w:proofErr w:type="spellStart"/>
      <w:r w:rsidR="00877710" w:rsidRPr="00120830">
        <w:t>Villiger</w:t>
      </w:r>
      <w:proofErr w:type="spellEnd"/>
      <w:r w:rsidR="00877710" w:rsidRPr="00120830">
        <w:t xml:space="preserve"> </w:t>
      </w:r>
      <w:r w:rsidR="00877710" w:rsidRPr="00120830">
        <w:rPr>
          <w:i/>
          <w:iCs/>
        </w:rPr>
        <w:t xml:space="preserve">M.S.S. v Belgium </w:t>
      </w:r>
      <w:r w:rsidR="00877710" w:rsidRPr="00120830">
        <w:t>[GC] (30696/09), 21 January 2011, at [4]</w:t>
      </w:r>
      <w:r w:rsidR="00543130">
        <w:t>;</w:t>
      </w:r>
      <w:r w:rsidR="005A5397">
        <w:t xml:space="preserve"> </w:t>
      </w:r>
      <w:r w:rsidR="005A5397" w:rsidRPr="00120830">
        <w:rPr>
          <w:rFonts w:cs="Times New Roman"/>
          <w:i/>
          <w:iCs/>
        </w:rPr>
        <w:t>Vo v France</w:t>
      </w:r>
      <w:r w:rsidR="005A5397" w:rsidRPr="00120830">
        <w:rPr>
          <w:rFonts w:cs="Times New Roman"/>
        </w:rPr>
        <w:t xml:space="preserve"> [GC] (53924/00), 8 July 2004, </w:t>
      </w:r>
      <w:r w:rsidR="005A5397" w:rsidRPr="00120830">
        <w:t>at [47] at [82]</w:t>
      </w:r>
      <w:r w:rsidR="00543130">
        <w:t>;</w:t>
      </w:r>
      <w:r w:rsidR="005A5397">
        <w:t xml:space="preserve"> and </w:t>
      </w:r>
      <w:r w:rsidR="005A5397" w:rsidRPr="00120830">
        <w:rPr>
          <w:rFonts w:cs="Times New Roman"/>
          <w:i/>
          <w:iCs/>
        </w:rPr>
        <w:t xml:space="preserve">Leyla </w:t>
      </w:r>
      <w:proofErr w:type="spellStart"/>
      <w:r w:rsidR="005A5397" w:rsidRPr="00120830">
        <w:rPr>
          <w:rFonts w:cs="Times New Roman"/>
          <w:i/>
          <w:iCs/>
        </w:rPr>
        <w:t>Şahin</w:t>
      </w:r>
      <w:proofErr w:type="spellEnd"/>
      <w:r w:rsidR="005A5397" w:rsidRPr="00120830">
        <w:rPr>
          <w:rFonts w:cs="Times New Roman"/>
          <w:i/>
          <w:iCs/>
        </w:rPr>
        <w:t xml:space="preserve"> v Turkey </w:t>
      </w:r>
      <w:r w:rsidR="005A5397" w:rsidRPr="00120830">
        <w:rPr>
          <w:rFonts w:cs="Times New Roman"/>
        </w:rPr>
        <w:t>[GC] (44774/98), 10 November 2005, at [109]</w:t>
      </w:r>
      <w:r w:rsidR="00543130">
        <w:rPr>
          <w:rFonts w:cs="Times New Roman"/>
        </w:rPr>
        <w:t>.</w:t>
      </w:r>
    </w:p>
  </w:footnote>
  <w:footnote w:id="93">
    <w:p w14:paraId="4318A3D3" w14:textId="35C0AEA0" w:rsidR="00510F33" w:rsidRDefault="00510F33" w:rsidP="00BD6BC8">
      <w:pPr>
        <w:pStyle w:val="FootnoteText"/>
        <w:jc w:val="both"/>
      </w:pPr>
      <w:r>
        <w:rPr>
          <w:rStyle w:val="FootnoteReference"/>
        </w:rPr>
        <w:footnoteRef/>
      </w:r>
      <w:r>
        <w:t xml:space="preserve"> </w:t>
      </w:r>
      <w:r w:rsidRPr="00527E06">
        <w:rPr>
          <w:i/>
          <w:iCs/>
        </w:rPr>
        <w:t>A v</w:t>
      </w:r>
      <w:r>
        <w:rPr>
          <w:i/>
          <w:iCs/>
        </w:rPr>
        <w:t xml:space="preserve"> the</w:t>
      </w:r>
      <w:r w:rsidRPr="00527E06">
        <w:rPr>
          <w:i/>
          <w:iCs/>
        </w:rPr>
        <w:t xml:space="preserve"> United Kingdom</w:t>
      </w:r>
      <w:r>
        <w:t xml:space="preserve"> [GC] (3455/05), 19 February 2009, at [184]</w:t>
      </w:r>
      <w:r w:rsidR="00710FFB">
        <w:t>.</w:t>
      </w:r>
      <w:r w:rsidR="001F7100">
        <w:t xml:space="preserve"> </w:t>
      </w:r>
    </w:p>
  </w:footnote>
  <w:footnote w:id="94">
    <w:p w14:paraId="7FFCC3C4" w14:textId="5998C366" w:rsidR="009F6FE1" w:rsidRDefault="009F6FE1" w:rsidP="00BD6BC8">
      <w:pPr>
        <w:pStyle w:val="FootnoteText"/>
        <w:jc w:val="both"/>
      </w:pPr>
      <w:r>
        <w:rPr>
          <w:rStyle w:val="FootnoteReference"/>
        </w:rPr>
        <w:footnoteRef/>
      </w:r>
      <w:r>
        <w:t xml:space="preserve"> Christos </w:t>
      </w:r>
      <w:proofErr w:type="spellStart"/>
      <w:r>
        <w:t>Rozakis</w:t>
      </w:r>
      <w:proofErr w:type="spellEnd"/>
      <w:r>
        <w:t>, “The European Convention on Human Rights as a Tool of European Integration” (2020) 1 E.C.L.R. 22</w:t>
      </w:r>
      <w:r w:rsidR="007E6AD9">
        <w:t>, 2</w:t>
      </w:r>
      <w:r w:rsidR="00D65EC7">
        <w:t>4</w:t>
      </w:r>
      <w:r w:rsidR="00710FFB">
        <w:t>.</w:t>
      </w:r>
    </w:p>
  </w:footnote>
  <w:footnote w:id="95">
    <w:p w14:paraId="2A77AAB3" w14:textId="11ABDADE" w:rsidR="0029419A" w:rsidRDefault="0029419A" w:rsidP="00BD6BC8">
      <w:pPr>
        <w:pStyle w:val="FootnoteText"/>
        <w:jc w:val="both"/>
      </w:pPr>
      <w:r>
        <w:rPr>
          <w:rStyle w:val="FootnoteReference"/>
        </w:rPr>
        <w:footnoteRef/>
      </w:r>
      <w:r>
        <w:t xml:space="preserve"> </w:t>
      </w:r>
      <w:r w:rsidR="00BA55AB">
        <w:t xml:space="preserve">See Dzehtsiarou, </w:t>
      </w:r>
      <w:r w:rsidR="00BA55AB" w:rsidRPr="00565355">
        <w:rPr>
          <w:i/>
          <w:iCs/>
        </w:rPr>
        <w:t>Can the European Court of Human Rights Shape European Public Order?</w:t>
      </w:r>
    </w:p>
  </w:footnote>
  <w:footnote w:id="96">
    <w:p w14:paraId="71EC5624" w14:textId="29B32168" w:rsidR="00BE36C2" w:rsidRDefault="00BE36C2" w:rsidP="00BD6BC8">
      <w:pPr>
        <w:pStyle w:val="FootnoteText"/>
        <w:jc w:val="both"/>
      </w:pPr>
      <w:r>
        <w:rPr>
          <w:rStyle w:val="FootnoteReference"/>
        </w:rPr>
        <w:footnoteRef/>
      </w:r>
      <w:r>
        <w:t xml:space="preserve"> </w:t>
      </w:r>
      <w:proofErr w:type="spellStart"/>
      <w:r w:rsidR="00B83E67">
        <w:t>Rozakis</w:t>
      </w:r>
      <w:proofErr w:type="spellEnd"/>
      <w:r w:rsidR="00B83E67">
        <w:t>, “The European Convention on Human Rights as a Tool of European Integration”,</w:t>
      </w:r>
      <w:r w:rsidR="009C2721">
        <w:t xml:space="preserve"> </w:t>
      </w:r>
      <w:r w:rsidR="00B83E67">
        <w:t>23-24</w:t>
      </w:r>
      <w:r w:rsidR="009C2721">
        <w:t>.</w:t>
      </w:r>
    </w:p>
  </w:footnote>
  <w:footnote w:id="97">
    <w:p w14:paraId="28FE22DC" w14:textId="5C34A4AF" w:rsidR="003E578A" w:rsidRPr="00120830" w:rsidRDefault="003E578A"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proofErr w:type="spellStart"/>
      <w:r w:rsidR="00692235" w:rsidRPr="00120830">
        <w:rPr>
          <w:rFonts w:cs="Times New Roman"/>
        </w:rPr>
        <w:t>Letsas</w:t>
      </w:r>
      <w:proofErr w:type="spellEnd"/>
      <w:r w:rsidR="00692235" w:rsidRPr="00120830">
        <w:rPr>
          <w:rFonts w:cs="Times New Roman"/>
        </w:rPr>
        <w:t xml:space="preserve">, “Two Concepts”, </w:t>
      </w:r>
      <w:r w:rsidR="004A5043" w:rsidRPr="00120830">
        <w:rPr>
          <w:rFonts w:cs="Times New Roman"/>
        </w:rPr>
        <w:t>709</w:t>
      </w:r>
      <w:r w:rsidR="009C2721">
        <w:rPr>
          <w:rFonts w:cs="Times New Roman"/>
        </w:rPr>
        <w:t>.</w:t>
      </w:r>
    </w:p>
  </w:footnote>
  <w:footnote w:id="98">
    <w:p w14:paraId="43478107" w14:textId="5CC69111" w:rsidR="00AB4798" w:rsidRPr="00120830" w:rsidRDefault="00AB4798"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proofErr w:type="spellStart"/>
      <w:r w:rsidR="000A032A" w:rsidRPr="00120830">
        <w:rPr>
          <w:rFonts w:cs="Times New Roman"/>
        </w:rPr>
        <w:t>Rabinder</w:t>
      </w:r>
      <w:proofErr w:type="spellEnd"/>
      <w:r w:rsidR="000A032A" w:rsidRPr="00120830">
        <w:rPr>
          <w:rFonts w:cs="Times New Roman"/>
        </w:rPr>
        <w:t xml:space="preserve"> </w:t>
      </w:r>
      <w:r w:rsidRPr="00120830">
        <w:rPr>
          <w:rFonts w:cs="Times New Roman"/>
        </w:rPr>
        <w:t xml:space="preserve">Singh, </w:t>
      </w:r>
      <w:r w:rsidR="000A032A" w:rsidRPr="00120830">
        <w:rPr>
          <w:rFonts w:cs="Times New Roman"/>
        </w:rPr>
        <w:t xml:space="preserve">“Is there a role for the </w:t>
      </w:r>
      <w:r w:rsidR="009C2721">
        <w:rPr>
          <w:rFonts w:cs="Times New Roman"/>
        </w:rPr>
        <w:t>‘</w:t>
      </w:r>
      <w:r w:rsidR="000A032A" w:rsidRPr="00120830">
        <w:rPr>
          <w:rFonts w:cs="Times New Roman"/>
        </w:rPr>
        <w:t>margin of appreciation</w:t>
      </w:r>
      <w:r w:rsidR="009C2721">
        <w:rPr>
          <w:rFonts w:cs="Times New Roman"/>
        </w:rPr>
        <w:t>’</w:t>
      </w:r>
      <w:r w:rsidR="000A032A" w:rsidRPr="00120830">
        <w:rPr>
          <w:rFonts w:cs="Times New Roman"/>
        </w:rPr>
        <w:t xml:space="preserve"> in national law after the Human Rights Act?” </w:t>
      </w:r>
      <w:r w:rsidR="009C2721">
        <w:rPr>
          <w:rFonts w:cs="Times New Roman"/>
        </w:rPr>
        <w:t>[</w:t>
      </w:r>
      <w:r w:rsidR="000A032A" w:rsidRPr="00120830">
        <w:rPr>
          <w:rFonts w:cs="Times New Roman"/>
        </w:rPr>
        <w:t>1999</w:t>
      </w:r>
      <w:r w:rsidR="009C2721">
        <w:rPr>
          <w:rFonts w:cs="Times New Roman"/>
        </w:rPr>
        <w:t>]</w:t>
      </w:r>
      <w:r w:rsidR="000A032A" w:rsidRPr="00120830">
        <w:rPr>
          <w:rFonts w:cs="Times New Roman"/>
        </w:rPr>
        <w:t xml:space="preserve"> E.H.R.L.R. 15, </w:t>
      </w:r>
      <w:r w:rsidRPr="00120830">
        <w:rPr>
          <w:rFonts w:cs="Times New Roman"/>
        </w:rPr>
        <w:t>17</w:t>
      </w:r>
      <w:r w:rsidR="009C2721">
        <w:rPr>
          <w:rFonts w:cs="Times New Roman"/>
        </w:rPr>
        <w:t>.</w:t>
      </w:r>
    </w:p>
  </w:footnote>
  <w:footnote w:id="99">
    <w:p w14:paraId="42B48B9C" w14:textId="1D99FD27" w:rsidR="00FE62F1" w:rsidRPr="00120830" w:rsidRDefault="00FE62F1"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See </w:t>
      </w:r>
      <w:proofErr w:type="spellStart"/>
      <w:r w:rsidR="005A3D03" w:rsidRPr="00120830">
        <w:rPr>
          <w:rFonts w:cs="Times New Roman"/>
        </w:rPr>
        <w:t>Letsas</w:t>
      </w:r>
      <w:proofErr w:type="spellEnd"/>
      <w:r w:rsidR="005A3D03" w:rsidRPr="00120830">
        <w:rPr>
          <w:rFonts w:cs="Times New Roman"/>
        </w:rPr>
        <w:t xml:space="preserve">, “Two Concepts”, </w:t>
      </w:r>
      <w:r w:rsidRPr="00120830">
        <w:rPr>
          <w:rFonts w:cs="Times New Roman"/>
        </w:rPr>
        <w:t xml:space="preserve">713; and </w:t>
      </w:r>
      <w:proofErr w:type="spellStart"/>
      <w:r w:rsidR="005A3D03" w:rsidRPr="00120830">
        <w:rPr>
          <w:rFonts w:cs="Times New Roman"/>
        </w:rPr>
        <w:t>Gerards</w:t>
      </w:r>
      <w:proofErr w:type="spellEnd"/>
      <w:r w:rsidR="005A3D03" w:rsidRPr="00120830">
        <w:rPr>
          <w:rFonts w:cs="Times New Roman"/>
        </w:rPr>
        <w:t xml:space="preserve">, “Margin of Appreciation and Incrementalism”, </w:t>
      </w:r>
      <w:r w:rsidR="00BF3197" w:rsidRPr="00120830">
        <w:rPr>
          <w:rFonts w:cs="Times New Roman"/>
        </w:rPr>
        <w:t>500-506</w:t>
      </w:r>
      <w:r w:rsidR="009C2721">
        <w:rPr>
          <w:rFonts w:cs="Times New Roman"/>
        </w:rPr>
        <w:t>.</w:t>
      </w:r>
    </w:p>
  </w:footnote>
  <w:footnote w:id="100">
    <w:p w14:paraId="4A14F7BE" w14:textId="379175B2" w:rsidR="0030679A" w:rsidRPr="00120830" w:rsidRDefault="0030679A"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See </w:t>
      </w:r>
      <w:proofErr w:type="spellStart"/>
      <w:r w:rsidR="0043789A" w:rsidRPr="00120830">
        <w:rPr>
          <w:rFonts w:cs="Times New Roman"/>
        </w:rPr>
        <w:t>Glas</w:t>
      </w:r>
      <w:proofErr w:type="spellEnd"/>
      <w:r w:rsidR="0043789A" w:rsidRPr="00120830">
        <w:rPr>
          <w:rFonts w:cs="Times New Roman"/>
        </w:rPr>
        <w:t>, “From Interlaken to Copenhagen</w:t>
      </w:r>
      <w:r w:rsidR="009C2721">
        <w:rPr>
          <w:rFonts w:cs="Times New Roman"/>
        </w:rPr>
        <w:t>.</w:t>
      </w:r>
      <w:r w:rsidR="0043789A" w:rsidRPr="00120830">
        <w:rPr>
          <w:rFonts w:cs="Times New Roman"/>
        </w:rPr>
        <w:t>”</w:t>
      </w:r>
    </w:p>
  </w:footnote>
  <w:footnote w:id="101">
    <w:p w14:paraId="59B89317" w14:textId="1D50CDAA" w:rsidR="00533C4D" w:rsidRPr="00120830" w:rsidRDefault="00533C4D" w:rsidP="00BD6BC8">
      <w:pPr>
        <w:pStyle w:val="FootnoteText"/>
        <w:jc w:val="both"/>
        <w:rPr>
          <w:rFonts w:cs="Times New Roman"/>
          <w:i/>
          <w:iCs/>
        </w:rPr>
      </w:pPr>
      <w:r w:rsidRPr="00120830">
        <w:rPr>
          <w:rStyle w:val="FootnoteReference"/>
          <w:rFonts w:cs="Times New Roman"/>
        </w:rPr>
        <w:footnoteRef/>
      </w:r>
      <w:r w:rsidRPr="00120830">
        <w:rPr>
          <w:rFonts w:cs="Times New Roman"/>
        </w:rPr>
        <w:t xml:space="preserve"> See </w:t>
      </w:r>
      <w:r w:rsidR="00FA5CDB" w:rsidRPr="00120830">
        <w:rPr>
          <w:rFonts w:cs="Times New Roman"/>
        </w:rPr>
        <w:t>Dean Spielman, “Allowing the Right Margin” (2012) Working Paper Series of the Centre for European Legal Studies, University of Cambridge</w:t>
      </w:r>
      <w:r w:rsidR="00237E48" w:rsidRPr="00120830">
        <w:rPr>
          <w:rFonts w:cs="Times New Roman"/>
        </w:rPr>
        <w:t xml:space="preserve">; Jan </w:t>
      </w:r>
      <w:proofErr w:type="spellStart"/>
      <w:r w:rsidR="00237E48" w:rsidRPr="00120830">
        <w:rPr>
          <w:rFonts w:cs="Times New Roman"/>
        </w:rPr>
        <w:t>Kratochvil</w:t>
      </w:r>
      <w:proofErr w:type="spellEnd"/>
      <w:r w:rsidR="00237E48" w:rsidRPr="00120830">
        <w:rPr>
          <w:rFonts w:cs="Times New Roman"/>
        </w:rPr>
        <w:t xml:space="preserve">, “The Inflation of the Margin of Appreciation by the European Court of Human Rights” (2011) 29(3) </w:t>
      </w:r>
      <w:r w:rsidR="00237E48" w:rsidRPr="009C2721">
        <w:rPr>
          <w:rFonts w:cs="Times New Roman"/>
          <w:i/>
          <w:iCs/>
        </w:rPr>
        <w:t>Netherlands Quarterly of Human Rights</w:t>
      </w:r>
      <w:r w:rsidR="00237E48" w:rsidRPr="00120830">
        <w:rPr>
          <w:rFonts w:cs="Times New Roman"/>
        </w:rPr>
        <w:t xml:space="preserve"> </w:t>
      </w:r>
      <w:r w:rsidR="00517A8E" w:rsidRPr="00120830">
        <w:rPr>
          <w:rFonts w:cs="Times New Roman"/>
        </w:rPr>
        <w:t>32</w:t>
      </w:r>
      <w:r w:rsidR="00237E48" w:rsidRPr="00120830">
        <w:rPr>
          <w:rFonts w:cs="Times New Roman"/>
        </w:rPr>
        <w:t>4</w:t>
      </w:r>
      <w:r w:rsidR="00190F17" w:rsidRPr="00120830">
        <w:rPr>
          <w:rFonts w:cs="Times New Roman"/>
        </w:rPr>
        <w:t xml:space="preserve">; J.A. Sweeney, “Margins of appreciation: cultural relativity and the European Court of Human Rights in the post-Cold War era” (2005) 54(2) </w:t>
      </w:r>
      <w:r w:rsidR="00190F17" w:rsidRPr="009C2721">
        <w:rPr>
          <w:rFonts w:cs="Times New Roman"/>
          <w:i/>
          <w:iCs/>
        </w:rPr>
        <w:t>International and Comparative Law Quarterly</w:t>
      </w:r>
      <w:r w:rsidR="00190F17" w:rsidRPr="00120830">
        <w:rPr>
          <w:rFonts w:cs="Times New Roman"/>
        </w:rPr>
        <w:t xml:space="preserve"> 459</w:t>
      </w:r>
      <w:r w:rsidR="009C2721">
        <w:rPr>
          <w:rFonts w:cs="Times New Roman"/>
        </w:rPr>
        <w:t>.</w:t>
      </w:r>
    </w:p>
  </w:footnote>
  <w:footnote w:id="102">
    <w:p w14:paraId="09527EDB" w14:textId="1F9BA93F" w:rsidR="004162AD" w:rsidRPr="00120830" w:rsidRDefault="004162AD"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BB3CC3" w:rsidRPr="00120830">
        <w:rPr>
          <w:rFonts w:cs="Times New Roman"/>
          <w:i/>
          <w:iCs/>
        </w:rPr>
        <w:t>R. (Alconbury Developments) v Secretary of State for the Environment, Transport and the Regions</w:t>
      </w:r>
      <w:r w:rsidR="00BB3CC3" w:rsidRPr="00120830">
        <w:rPr>
          <w:rFonts w:cs="Times New Roman"/>
        </w:rPr>
        <w:t xml:space="preserve"> [2001] UKHL 23; [2003] 2 A.C. 295</w:t>
      </w:r>
      <w:r w:rsidR="00FD4BE9">
        <w:rPr>
          <w:rFonts w:cs="Times New Roman"/>
        </w:rPr>
        <w:t>,</w:t>
      </w:r>
      <w:r w:rsidR="00BB3CC3" w:rsidRPr="00120830">
        <w:rPr>
          <w:rFonts w:cs="Times New Roman"/>
        </w:rPr>
        <w:t xml:space="preserve"> </w:t>
      </w:r>
      <w:r w:rsidRPr="00120830">
        <w:rPr>
          <w:rFonts w:cs="Times New Roman"/>
        </w:rPr>
        <w:t xml:space="preserve">at </w:t>
      </w:r>
      <w:r w:rsidR="00BB3CC3" w:rsidRPr="00120830">
        <w:rPr>
          <w:rFonts w:cs="Times New Roman"/>
        </w:rPr>
        <w:t>[</w:t>
      </w:r>
      <w:r w:rsidRPr="00120830">
        <w:rPr>
          <w:rFonts w:cs="Times New Roman"/>
        </w:rPr>
        <w:t>27</w:t>
      </w:r>
      <w:r w:rsidR="00BB3CC3" w:rsidRPr="00120830">
        <w:rPr>
          <w:rFonts w:cs="Times New Roman"/>
        </w:rPr>
        <w:t>]</w:t>
      </w:r>
      <w:r w:rsidR="00FD4BE9">
        <w:rPr>
          <w:rFonts w:cs="Times New Roman"/>
        </w:rPr>
        <w:t>,</w:t>
      </w:r>
    </w:p>
  </w:footnote>
  <w:footnote w:id="103">
    <w:p w14:paraId="671E86AD" w14:textId="12B0A179" w:rsidR="002B3573" w:rsidRPr="00120830" w:rsidRDefault="002B3573"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8C2F5E" w:rsidRPr="00120830">
        <w:rPr>
          <w:rFonts w:cs="Times New Roman"/>
          <w:i/>
          <w:iCs/>
        </w:rPr>
        <w:t xml:space="preserve">R. (Amin) v Secretary of State for the Home Department </w:t>
      </w:r>
      <w:r w:rsidR="008C2F5E" w:rsidRPr="00120830">
        <w:rPr>
          <w:rFonts w:cs="Times New Roman"/>
        </w:rPr>
        <w:t>[2003] UKHL 51; [2004] 1 A.C. 653</w:t>
      </w:r>
      <w:r w:rsidR="00FD4BE9">
        <w:rPr>
          <w:rFonts w:cs="Times New Roman"/>
        </w:rPr>
        <w:t>,</w:t>
      </w:r>
      <w:r w:rsidR="008C2F5E" w:rsidRPr="00120830">
        <w:rPr>
          <w:rFonts w:cs="Times New Roman"/>
        </w:rPr>
        <w:t xml:space="preserve"> </w:t>
      </w:r>
      <w:r w:rsidRPr="00120830">
        <w:rPr>
          <w:rFonts w:cs="Times New Roman"/>
        </w:rPr>
        <w:t xml:space="preserve">at </w:t>
      </w:r>
      <w:r w:rsidR="008C2F5E" w:rsidRPr="00120830">
        <w:rPr>
          <w:rFonts w:cs="Times New Roman"/>
        </w:rPr>
        <w:t>[</w:t>
      </w:r>
      <w:r w:rsidRPr="00120830">
        <w:rPr>
          <w:rFonts w:cs="Times New Roman"/>
        </w:rPr>
        <w:t>44</w:t>
      </w:r>
      <w:r w:rsidR="008C2F5E" w:rsidRPr="00120830">
        <w:rPr>
          <w:rFonts w:cs="Times New Roman"/>
        </w:rPr>
        <w:t>]</w:t>
      </w:r>
      <w:r w:rsidR="00FD4BE9">
        <w:rPr>
          <w:rFonts w:cs="Times New Roman"/>
        </w:rPr>
        <w:t>.</w:t>
      </w:r>
    </w:p>
  </w:footnote>
  <w:footnote w:id="104">
    <w:p w14:paraId="71C4A55A" w14:textId="1D2F5CA0" w:rsidR="00E47728" w:rsidRPr="00120830" w:rsidRDefault="00E47728"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C946C3" w:rsidRPr="00120830">
        <w:rPr>
          <w:rFonts w:cs="Times New Roman"/>
          <w:i/>
          <w:iCs/>
        </w:rPr>
        <w:t xml:space="preserve">Hallam </w:t>
      </w:r>
      <w:r w:rsidR="00C946C3" w:rsidRPr="00120830">
        <w:rPr>
          <w:rFonts w:cs="Times New Roman"/>
        </w:rPr>
        <w:t xml:space="preserve">[2019] UKSC 2, at [90] (per </w:t>
      </w:r>
      <w:r w:rsidR="00A45D98" w:rsidRPr="00120830">
        <w:rPr>
          <w:rFonts w:cs="Times New Roman"/>
        </w:rPr>
        <w:t>Lord Wilson</w:t>
      </w:r>
      <w:r w:rsidR="00C946C3" w:rsidRPr="00120830">
        <w:rPr>
          <w:rFonts w:cs="Times New Roman"/>
        </w:rPr>
        <w:t>)</w:t>
      </w:r>
      <w:r w:rsidR="00FD4BE9">
        <w:rPr>
          <w:rFonts w:cs="Times New Roman"/>
        </w:rPr>
        <w:t>.</w:t>
      </w:r>
    </w:p>
  </w:footnote>
  <w:footnote w:id="105">
    <w:p w14:paraId="5673B3B3" w14:textId="3D012C69" w:rsidR="00A45D98" w:rsidRPr="00120830" w:rsidRDefault="00A45D98"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C72548" w:rsidRPr="00120830">
        <w:rPr>
          <w:rFonts w:cs="Times New Roman"/>
          <w:i/>
          <w:iCs/>
        </w:rPr>
        <w:t xml:space="preserve">Hallam </w:t>
      </w:r>
      <w:r w:rsidR="00C72548" w:rsidRPr="00120830">
        <w:rPr>
          <w:rFonts w:cs="Times New Roman"/>
        </w:rPr>
        <w:t xml:space="preserve">[2019] UKSC 2, </w:t>
      </w:r>
      <w:r w:rsidRPr="00120830">
        <w:rPr>
          <w:rFonts w:cs="Times New Roman"/>
        </w:rPr>
        <w:t xml:space="preserve">at </w:t>
      </w:r>
      <w:r w:rsidR="00C72548" w:rsidRPr="00120830">
        <w:rPr>
          <w:rFonts w:cs="Times New Roman"/>
        </w:rPr>
        <w:t>[</w:t>
      </w:r>
      <w:r w:rsidRPr="00120830">
        <w:rPr>
          <w:rFonts w:cs="Times New Roman"/>
        </w:rPr>
        <w:t>126</w:t>
      </w:r>
      <w:r w:rsidR="00C72548" w:rsidRPr="00120830">
        <w:rPr>
          <w:rFonts w:cs="Times New Roman"/>
        </w:rPr>
        <w:t>] (per Lord Hughes)</w:t>
      </w:r>
      <w:r w:rsidR="00FD4BE9">
        <w:rPr>
          <w:rFonts w:cs="Times New Roman"/>
        </w:rPr>
        <w:t>.</w:t>
      </w:r>
    </w:p>
  </w:footnote>
  <w:footnote w:id="106">
    <w:p w14:paraId="3985935E" w14:textId="71117A27" w:rsidR="00D02C59" w:rsidRPr="00120830" w:rsidRDefault="00D02C59"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C72548" w:rsidRPr="00120830">
        <w:rPr>
          <w:rFonts w:cs="Times New Roman"/>
          <w:i/>
          <w:iCs/>
        </w:rPr>
        <w:t xml:space="preserve">Hallam </w:t>
      </w:r>
      <w:r w:rsidR="00C72548" w:rsidRPr="00120830">
        <w:rPr>
          <w:rFonts w:cs="Times New Roman"/>
        </w:rPr>
        <w:t xml:space="preserve">[2019] UKSC 2, </w:t>
      </w:r>
      <w:r w:rsidRPr="00120830">
        <w:rPr>
          <w:rFonts w:cs="Times New Roman"/>
        </w:rPr>
        <w:t xml:space="preserve">at </w:t>
      </w:r>
      <w:r w:rsidR="00C72548" w:rsidRPr="00120830">
        <w:rPr>
          <w:rFonts w:cs="Times New Roman"/>
        </w:rPr>
        <w:t>[</w:t>
      </w:r>
      <w:r w:rsidRPr="00120830">
        <w:rPr>
          <w:rFonts w:cs="Times New Roman"/>
        </w:rPr>
        <w:t>71</w:t>
      </w:r>
      <w:r w:rsidR="00C72548" w:rsidRPr="00120830">
        <w:rPr>
          <w:rFonts w:cs="Times New Roman"/>
        </w:rPr>
        <w:t xml:space="preserve">] (per Lord </w:t>
      </w:r>
      <w:proofErr w:type="spellStart"/>
      <w:r w:rsidR="00C72548" w:rsidRPr="00120830">
        <w:rPr>
          <w:rFonts w:cs="Times New Roman"/>
        </w:rPr>
        <w:t>Mance</w:t>
      </w:r>
      <w:proofErr w:type="spellEnd"/>
      <w:r w:rsidR="00C72548" w:rsidRPr="00120830">
        <w:rPr>
          <w:rFonts w:cs="Times New Roman"/>
        </w:rPr>
        <w:t>)</w:t>
      </w:r>
      <w:r w:rsidR="00FD4BE9">
        <w:rPr>
          <w:rFonts w:cs="Times New Roman"/>
        </w:rPr>
        <w:t>.</w:t>
      </w:r>
    </w:p>
  </w:footnote>
  <w:footnote w:id="107">
    <w:p w14:paraId="0A9D3E76" w14:textId="46882B58" w:rsidR="00E92050" w:rsidRPr="00120830" w:rsidRDefault="00E92050"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4709E9" w:rsidRPr="00120830">
        <w:rPr>
          <w:rFonts w:cs="Times New Roman"/>
          <w:i/>
          <w:iCs/>
        </w:rPr>
        <w:t xml:space="preserve">Hallam </w:t>
      </w:r>
      <w:r w:rsidR="004709E9" w:rsidRPr="00120830">
        <w:rPr>
          <w:rFonts w:cs="Times New Roman"/>
        </w:rPr>
        <w:t xml:space="preserve">[2019] UKSC 2, </w:t>
      </w:r>
      <w:r w:rsidRPr="00120830">
        <w:rPr>
          <w:rFonts w:cs="Times New Roman"/>
        </w:rPr>
        <w:t xml:space="preserve">at </w:t>
      </w:r>
      <w:r w:rsidR="00C72548" w:rsidRPr="00120830">
        <w:rPr>
          <w:rFonts w:cs="Times New Roman"/>
        </w:rPr>
        <w:t>[</w:t>
      </w:r>
      <w:r w:rsidRPr="00120830">
        <w:rPr>
          <w:rFonts w:cs="Times New Roman"/>
        </w:rPr>
        <w:t>94</w:t>
      </w:r>
      <w:r w:rsidR="00C72548" w:rsidRPr="00120830">
        <w:rPr>
          <w:rFonts w:cs="Times New Roman"/>
        </w:rPr>
        <w:t>] (per Lord Wilson)</w:t>
      </w:r>
      <w:r w:rsidR="00FD4BE9">
        <w:rPr>
          <w:rFonts w:cs="Times New Roman"/>
        </w:rPr>
        <w:t>.</w:t>
      </w:r>
    </w:p>
  </w:footnote>
  <w:footnote w:id="108">
    <w:p w14:paraId="436E0826" w14:textId="70F3AE80" w:rsidR="00D50A9C" w:rsidRPr="00120830" w:rsidRDefault="00D50A9C"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94614A" w:rsidRPr="00120830">
        <w:rPr>
          <w:rFonts w:cs="Times New Roman"/>
          <w:i/>
          <w:iCs/>
        </w:rPr>
        <w:t xml:space="preserve">Hallam </w:t>
      </w:r>
      <w:r w:rsidR="0094614A" w:rsidRPr="00120830">
        <w:rPr>
          <w:rFonts w:cs="Times New Roman"/>
        </w:rPr>
        <w:t xml:space="preserve">[2019] UKSC 2, </w:t>
      </w:r>
      <w:r w:rsidRPr="00120830">
        <w:rPr>
          <w:rFonts w:cs="Times New Roman"/>
        </w:rPr>
        <w:t xml:space="preserve">at </w:t>
      </w:r>
      <w:r w:rsidR="00EF59D4" w:rsidRPr="00120830">
        <w:rPr>
          <w:rFonts w:cs="Times New Roman"/>
        </w:rPr>
        <w:t>[</w:t>
      </w:r>
      <w:r w:rsidRPr="00120830">
        <w:rPr>
          <w:rFonts w:cs="Times New Roman"/>
        </w:rPr>
        <w:t>173</w:t>
      </w:r>
      <w:r w:rsidR="00EF59D4" w:rsidRPr="00120830">
        <w:rPr>
          <w:rFonts w:cs="Times New Roman"/>
        </w:rPr>
        <w:t>]</w:t>
      </w:r>
      <w:r w:rsidR="00FD4BE9">
        <w:rPr>
          <w:rFonts w:cs="Times New Roman"/>
        </w:rPr>
        <w:t>.</w:t>
      </w:r>
    </w:p>
  </w:footnote>
  <w:footnote w:id="109">
    <w:p w14:paraId="66D9FCAC" w14:textId="5DEA13E9" w:rsidR="00D50A9C" w:rsidRPr="00120830" w:rsidRDefault="00D50A9C"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EF59D4" w:rsidRPr="00120830">
        <w:rPr>
          <w:rFonts w:cs="Times New Roman"/>
          <w:i/>
          <w:iCs/>
        </w:rPr>
        <w:t xml:space="preserve">Hallam </w:t>
      </w:r>
      <w:r w:rsidR="00EF59D4" w:rsidRPr="00120830">
        <w:rPr>
          <w:rFonts w:cs="Times New Roman"/>
        </w:rPr>
        <w:t xml:space="preserve">[2019] UKSC, </w:t>
      </w:r>
      <w:r w:rsidRPr="00120830">
        <w:rPr>
          <w:rFonts w:cs="Times New Roman"/>
        </w:rPr>
        <w:t xml:space="preserve">at </w:t>
      </w:r>
      <w:r w:rsidR="00EF59D4" w:rsidRPr="00120830">
        <w:rPr>
          <w:rFonts w:cs="Times New Roman"/>
        </w:rPr>
        <w:t>[</w:t>
      </w:r>
      <w:r w:rsidRPr="00120830">
        <w:rPr>
          <w:rFonts w:cs="Times New Roman"/>
        </w:rPr>
        <w:t>175</w:t>
      </w:r>
      <w:r w:rsidR="00EF59D4" w:rsidRPr="00120830">
        <w:rPr>
          <w:rFonts w:cs="Times New Roman"/>
        </w:rPr>
        <w:t>]</w:t>
      </w:r>
      <w:r w:rsidR="00A25A20">
        <w:rPr>
          <w:rFonts w:cs="Times New Roman"/>
        </w:rPr>
        <w:t>.</w:t>
      </w:r>
    </w:p>
  </w:footnote>
  <w:footnote w:id="110">
    <w:p w14:paraId="495A18DC" w14:textId="780AABDB" w:rsidR="00A248F7" w:rsidRPr="00120830" w:rsidRDefault="00A248F7"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923145" w:rsidRPr="00120830">
        <w:rPr>
          <w:rFonts w:cs="Times New Roman"/>
          <w:i/>
          <w:iCs/>
        </w:rPr>
        <w:t>Commissioner of Police of the Metropolis v DSD</w:t>
      </w:r>
      <w:r w:rsidR="00923145" w:rsidRPr="00120830">
        <w:rPr>
          <w:rFonts w:cs="Times New Roman"/>
        </w:rPr>
        <w:t xml:space="preserve"> [2018] UKSC 11; [2019] A.C. 196</w:t>
      </w:r>
      <w:r w:rsidRPr="00120830">
        <w:rPr>
          <w:rFonts w:cs="Times New Roman"/>
        </w:rPr>
        <w:t xml:space="preserve">, at </w:t>
      </w:r>
      <w:r w:rsidR="00923145" w:rsidRPr="00120830">
        <w:rPr>
          <w:rFonts w:cs="Times New Roman"/>
        </w:rPr>
        <w:t>[</w:t>
      </w:r>
      <w:r w:rsidRPr="00120830">
        <w:rPr>
          <w:rFonts w:cs="Times New Roman"/>
        </w:rPr>
        <w:t>150</w:t>
      </w:r>
      <w:r w:rsidR="00923145" w:rsidRPr="00120830">
        <w:rPr>
          <w:rFonts w:cs="Times New Roman"/>
        </w:rPr>
        <w:t>]</w:t>
      </w:r>
      <w:r w:rsidR="00A25A20">
        <w:rPr>
          <w:rFonts w:cs="Times New Roman"/>
        </w:rPr>
        <w:t>.</w:t>
      </w:r>
    </w:p>
  </w:footnote>
  <w:footnote w:id="111">
    <w:p w14:paraId="3372B890" w14:textId="4C6FF089" w:rsidR="00D47EE8" w:rsidRPr="00120830" w:rsidRDefault="00D47EE8"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923145" w:rsidRPr="00120830">
        <w:rPr>
          <w:rFonts w:cs="Times New Roman"/>
          <w:i/>
          <w:iCs/>
        </w:rPr>
        <w:t>DSD</w:t>
      </w:r>
      <w:r w:rsidR="00923145" w:rsidRPr="00120830">
        <w:rPr>
          <w:rFonts w:cs="Times New Roman"/>
        </w:rPr>
        <w:t xml:space="preserve"> [2018] UKSC 11,</w:t>
      </w:r>
      <w:r w:rsidRPr="00120830">
        <w:rPr>
          <w:rFonts w:cs="Times New Roman"/>
        </w:rPr>
        <w:t xml:space="preserve"> at </w:t>
      </w:r>
      <w:r w:rsidR="00923145" w:rsidRPr="00120830">
        <w:rPr>
          <w:rFonts w:cs="Times New Roman"/>
        </w:rPr>
        <w:t>[</w:t>
      </w:r>
      <w:r w:rsidRPr="00120830">
        <w:rPr>
          <w:rFonts w:cs="Times New Roman"/>
        </w:rPr>
        <w:t>114</w:t>
      </w:r>
      <w:r w:rsidR="00923145" w:rsidRPr="00120830">
        <w:rPr>
          <w:rFonts w:cs="Times New Roman"/>
        </w:rPr>
        <w:t>]</w:t>
      </w:r>
      <w:r w:rsidRPr="00120830">
        <w:rPr>
          <w:rFonts w:cs="Times New Roman"/>
        </w:rPr>
        <w:t xml:space="preserve"> and </w:t>
      </w:r>
      <w:r w:rsidR="00923145" w:rsidRPr="00120830">
        <w:rPr>
          <w:rFonts w:cs="Times New Roman"/>
        </w:rPr>
        <w:t>[</w:t>
      </w:r>
      <w:r w:rsidRPr="00120830">
        <w:rPr>
          <w:rFonts w:cs="Times New Roman"/>
        </w:rPr>
        <w:t>117</w:t>
      </w:r>
      <w:r w:rsidR="00923145" w:rsidRPr="00120830">
        <w:rPr>
          <w:rFonts w:cs="Times New Roman"/>
        </w:rPr>
        <w:t>]</w:t>
      </w:r>
      <w:r w:rsidR="00A25A20">
        <w:rPr>
          <w:rFonts w:cs="Times New Roman"/>
        </w:rPr>
        <w:t>.</w:t>
      </w:r>
    </w:p>
  </w:footnote>
  <w:footnote w:id="112">
    <w:p w14:paraId="74AD3892" w14:textId="7D6B9AE5" w:rsidR="003D7755" w:rsidRPr="00120830" w:rsidRDefault="003D7755"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4C6DFF" w:rsidRPr="00120830">
        <w:rPr>
          <w:rFonts w:cs="Times New Roman"/>
          <w:i/>
          <w:iCs/>
        </w:rPr>
        <w:t>Horncastle</w:t>
      </w:r>
      <w:r w:rsidR="004C6DFF" w:rsidRPr="00120830">
        <w:rPr>
          <w:rFonts w:cs="Times New Roman"/>
        </w:rPr>
        <w:t xml:space="preserve"> [2009] UKSC 14</w:t>
      </w:r>
      <w:r w:rsidRPr="00120830">
        <w:rPr>
          <w:rFonts w:cs="Times New Roman"/>
        </w:rPr>
        <w:t xml:space="preserve">, at </w:t>
      </w:r>
      <w:r w:rsidR="00474F56" w:rsidRPr="00120830">
        <w:rPr>
          <w:rFonts w:cs="Times New Roman"/>
        </w:rPr>
        <w:t>[</w:t>
      </w:r>
      <w:r w:rsidRPr="00120830">
        <w:rPr>
          <w:rFonts w:cs="Times New Roman"/>
        </w:rPr>
        <w:t>11</w:t>
      </w:r>
      <w:r w:rsidR="00474F56" w:rsidRPr="00120830">
        <w:rPr>
          <w:rFonts w:cs="Times New Roman"/>
        </w:rPr>
        <w:t>] (per Lord Phillips)</w:t>
      </w:r>
      <w:r w:rsidRPr="00120830">
        <w:rPr>
          <w:rFonts w:cs="Times New Roman"/>
        </w:rPr>
        <w:t xml:space="preserve"> and at </w:t>
      </w:r>
      <w:r w:rsidR="00474F56" w:rsidRPr="00120830">
        <w:rPr>
          <w:rFonts w:cs="Times New Roman"/>
        </w:rPr>
        <w:t>[</w:t>
      </w:r>
      <w:r w:rsidRPr="00120830">
        <w:rPr>
          <w:rFonts w:cs="Times New Roman"/>
        </w:rPr>
        <w:t>116</w:t>
      </w:r>
      <w:r w:rsidR="00474F56" w:rsidRPr="00120830">
        <w:rPr>
          <w:rFonts w:cs="Times New Roman"/>
        </w:rPr>
        <w:t>] (per Lord Brown)</w:t>
      </w:r>
      <w:r w:rsidR="00A25A20">
        <w:rPr>
          <w:rFonts w:cs="Times New Roman"/>
        </w:rPr>
        <w:t>.</w:t>
      </w:r>
    </w:p>
  </w:footnote>
  <w:footnote w:id="113">
    <w:p w14:paraId="5996BC2B" w14:textId="24224F4F" w:rsidR="004F2208" w:rsidRPr="00120830" w:rsidRDefault="004F2208"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123217" w:rsidRPr="00120830">
        <w:rPr>
          <w:rFonts w:cs="Times New Roman"/>
          <w:i/>
          <w:iCs/>
        </w:rPr>
        <w:t xml:space="preserve">AF (No 3) </w:t>
      </w:r>
      <w:r w:rsidR="00123217" w:rsidRPr="00120830">
        <w:rPr>
          <w:rFonts w:cs="Times New Roman"/>
        </w:rPr>
        <w:t>[2009] UKHL 28</w:t>
      </w:r>
      <w:r w:rsidRPr="00120830">
        <w:rPr>
          <w:rFonts w:cs="Times New Roman"/>
        </w:rPr>
        <w:t xml:space="preserve">, at </w:t>
      </w:r>
      <w:r w:rsidR="00123217" w:rsidRPr="00120830">
        <w:rPr>
          <w:rFonts w:cs="Times New Roman"/>
        </w:rPr>
        <w:t>[</w:t>
      </w:r>
      <w:r w:rsidRPr="00120830">
        <w:rPr>
          <w:rFonts w:cs="Times New Roman"/>
        </w:rPr>
        <w:t>70</w:t>
      </w:r>
      <w:r w:rsidR="00123217" w:rsidRPr="00120830">
        <w:rPr>
          <w:rFonts w:cs="Times New Roman"/>
        </w:rPr>
        <w:t>] (per Lord Hoffmann)</w:t>
      </w:r>
      <w:r w:rsidRPr="00120830">
        <w:rPr>
          <w:rFonts w:cs="Times New Roman"/>
        </w:rPr>
        <w:t xml:space="preserve"> and at </w:t>
      </w:r>
      <w:r w:rsidR="00123217" w:rsidRPr="00120830">
        <w:rPr>
          <w:rFonts w:cs="Times New Roman"/>
        </w:rPr>
        <w:t>[</w:t>
      </w:r>
      <w:r w:rsidRPr="00120830">
        <w:rPr>
          <w:rFonts w:cs="Times New Roman"/>
        </w:rPr>
        <w:t>98</w:t>
      </w:r>
      <w:r w:rsidR="00123217" w:rsidRPr="00120830">
        <w:rPr>
          <w:rFonts w:cs="Times New Roman"/>
        </w:rPr>
        <w:t>] (per Lord Rodger)</w:t>
      </w:r>
      <w:r w:rsidR="00A25A20">
        <w:rPr>
          <w:rFonts w:cs="Times New Roman"/>
        </w:rPr>
        <w:t>.</w:t>
      </w:r>
    </w:p>
  </w:footnote>
  <w:footnote w:id="114">
    <w:p w14:paraId="65974639" w14:textId="534956F3" w:rsidR="008A76D6" w:rsidRPr="00120830" w:rsidRDefault="008A76D6"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26573C" w:rsidRPr="00120830">
        <w:rPr>
          <w:rFonts w:cs="Times New Roman"/>
          <w:i/>
          <w:iCs/>
        </w:rPr>
        <w:t xml:space="preserve">Chester </w:t>
      </w:r>
      <w:r w:rsidR="0026573C" w:rsidRPr="00120830">
        <w:rPr>
          <w:rFonts w:cs="Times New Roman"/>
        </w:rPr>
        <w:t>[2013] UKSC 63</w:t>
      </w:r>
      <w:r w:rsidR="00A25A20">
        <w:rPr>
          <w:rFonts w:cs="Times New Roman"/>
        </w:rPr>
        <w:t>.</w:t>
      </w:r>
    </w:p>
  </w:footnote>
  <w:footnote w:id="115">
    <w:p w14:paraId="49B7D8C4" w14:textId="3F998C88" w:rsidR="00005DA1" w:rsidRPr="00120830" w:rsidRDefault="00005DA1"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26573C" w:rsidRPr="00120830">
        <w:rPr>
          <w:rFonts w:cs="Times New Roman"/>
          <w:i/>
          <w:iCs/>
        </w:rPr>
        <w:t xml:space="preserve">Chester </w:t>
      </w:r>
      <w:r w:rsidR="0026573C" w:rsidRPr="00120830">
        <w:rPr>
          <w:rFonts w:cs="Times New Roman"/>
        </w:rPr>
        <w:t xml:space="preserve">[2013] UKSC 63, </w:t>
      </w:r>
      <w:r w:rsidRPr="00120830">
        <w:rPr>
          <w:rFonts w:cs="Times New Roman"/>
        </w:rPr>
        <w:t xml:space="preserve">at </w:t>
      </w:r>
      <w:r w:rsidR="0026573C" w:rsidRPr="00120830">
        <w:rPr>
          <w:rFonts w:cs="Times New Roman"/>
        </w:rPr>
        <w:t>[</w:t>
      </w:r>
      <w:r w:rsidRPr="00120830">
        <w:rPr>
          <w:rFonts w:cs="Times New Roman"/>
        </w:rPr>
        <w:t>27</w:t>
      </w:r>
      <w:r w:rsidR="0026573C" w:rsidRPr="00120830">
        <w:rPr>
          <w:rFonts w:cs="Times New Roman"/>
        </w:rPr>
        <w:t>]</w:t>
      </w:r>
      <w:r w:rsidR="00A25A20">
        <w:rPr>
          <w:rFonts w:cs="Times New Roman"/>
        </w:rPr>
        <w:t>.</w:t>
      </w:r>
    </w:p>
  </w:footnote>
  <w:footnote w:id="116">
    <w:p w14:paraId="0353C985" w14:textId="00B11899" w:rsidR="00F712B3" w:rsidRPr="00120830" w:rsidRDefault="00F712B3"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415E75" w:rsidRPr="00120830">
        <w:rPr>
          <w:rFonts w:cs="Times New Roman"/>
          <w:i/>
          <w:iCs/>
        </w:rPr>
        <w:t xml:space="preserve">Chester </w:t>
      </w:r>
      <w:r w:rsidR="00415E75" w:rsidRPr="00120830">
        <w:rPr>
          <w:rFonts w:cs="Times New Roman"/>
        </w:rPr>
        <w:t xml:space="preserve">[2013] UKSC 63, </w:t>
      </w:r>
      <w:r w:rsidRPr="00120830">
        <w:rPr>
          <w:rFonts w:cs="Times New Roman"/>
        </w:rPr>
        <w:t xml:space="preserve">at </w:t>
      </w:r>
      <w:r w:rsidR="00415E75" w:rsidRPr="00120830">
        <w:rPr>
          <w:rFonts w:cs="Times New Roman"/>
        </w:rPr>
        <w:t>[</w:t>
      </w:r>
      <w:r w:rsidRPr="00120830">
        <w:rPr>
          <w:rFonts w:cs="Times New Roman"/>
        </w:rPr>
        <w:t>137</w:t>
      </w:r>
      <w:r w:rsidR="00415E75" w:rsidRPr="00120830">
        <w:rPr>
          <w:rFonts w:cs="Times New Roman"/>
        </w:rPr>
        <w:t>]</w:t>
      </w:r>
      <w:r w:rsidR="00A36304" w:rsidRPr="00120830">
        <w:rPr>
          <w:rFonts w:cs="Times New Roman"/>
        </w:rPr>
        <w:t xml:space="preserve"> [emphasis added]</w:t>
      </w:r>
      <w:r w:rsidR="00A25A20">
        <w:rPr>
          <w:rFonts w:cs="Times New Roman"/>
        </w:rPr>
        <w:t>.</w:t>
      </w:r>
    </w:p>
  </w:footnote>
  <w:footnote w:id="117">
    <w:p w14:paraId="3769A61D" w14:textId="4754FA6F" w:rsidR="00425E3D" w:rsidRPr="00120830" w:rsidRDefault="00425E3D"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E.g. that it conflicts with some “fundamental feature of the law of the United Kingdom” or involves “some most egregious oversight or misunderstanding”</w:t>
      </w:r>
      <w:r w:rsidR="00A25A20">
        <w:t>—</w:t>
      </w:r>
      <w:r w:rsidRPr="00120830">
        <w:rPr>
          <w:rFonts w:cs="Times New Roman"/>
        </w:rPr>
        <w:t xml:space="preserve">see </w:t>
      </w:r>
      <w:r w:rsidR="00D21540" w:rsidRPr="00120830">
        <w:rPr>
          <w:rFonts w:cs="Times New Roman"/>
          <w:i/>
          <w:iCs/>
        </w:rPr>
        <w:t xml:space="preserve">Chester </w:t>
      </w:r>
      <w:r w:rsidR="00D21540" w:rsidRPr="00120830">
        <w:rPr>
          <w:rFonts w:cs="Times New Roman"/>
        </w:rPr>
        <w:t>[2013] UKSC 63</w:t>
      </w:r>
      <w:r w:rsidRPr="00120830">
        <w:rPr>
          <w:rFonts w:cs="Times New Roman"/>
        </w:rPr>
        <w:t xml:space="preserve">, at </w:t>
      </w:r>
      <w:r w:rsidR="00D21540" w:rsidRPr="00120830">
        <w:rPr>
          <w:rFonts w:cs="Times New Roman"/>
        </w:rPr>
        <w:t>[</w:t>
      </w:r>
      <w:r w:rsidRPr="00120830">
        <w:rPr>
          <w:rFonts w:cs="Times New Roman"/>
        </w:rPr>
        <w:t>27</w:t>
      </w:r>
      <w:r w:rsidR="00D21540" w:rsidRPr="00120830">
        <w:rPr>
          <w:rFonts w:cs="Times New Roman"/>
        </w:rPr>
        <w:t xml:space="preserve">] (per Lord </w:t>
      </w:r>
      <w:proofErr w:type="spellStart"/>
      <w:r w:rsidR="00D21540" w:rsidRPr="00120830">
        <w:rPr>
          <w:rFonts w:cs="Times New Roman"/>
        </w:rPr>
        <w:t>Mance</w:t>
      </w:r>
      <w:proofErr w:type="spellEnd"/>
      <w:r w:rsidR="00D21540" w:rsidRPr="00120830">
        <w:rPr>
          <w:rFonts w:cs="Times New Roman"/>
        </w:rPr>
        <w:t>)</w:t>
      </w:r>
      <w:r w:rsidRPr="00120830">
        <w:rPr>
          <w:rFonts w:cs="Times New Roman"/>
        </w:rPr>
        <w:t xml:space="preserve"> and at </w:t>
      </w:r>
      <w:r w:rsidR="00D21540" w:rsidRPr="00120830">
        <w:rPr>
          <w:rFonts w:cs="Times New Roman"/>
        </w:rPr>
        <w:t>[</w:t>
      </w:r>
      <w:r w:rsidRPr="00120830">
        <w:rPr>
          <w:rFonts w:cs="Times New Roman"/>
        </w:rPr>
        <w:t>137</w:t>
      </w:r>
      <w:r w:rsidR="00D21540" w:rsidRPr="00120830">
        <w:rPr>
          <w:rFonts w:cs="Times New Roman"/>
        </w:rPr>
        <w:t>] (per Lord Sumption)</w:t>
      </w:r>
      <w:r w:rsidR="00A25A20">
        <w:rPr>
          <w:rFonts w:cs="Times New Roman"/>
        </w:rPr>
        <w:t>.</w:t>
      </w:r>
    </w:p>
  </w:footnote>
  <w:footnote w:id="118">
    <w:p w14:paraId="4FC4EC95" w14:textId="4D02F0F9" w:rsidR="00DD3EC7" w:rsidRPr="00120830" w:rsidRDefault="00DD3EC7" w:rsidP="00BD6BC8">
      <w:pPr>
        <w:pStyle w:val="FootnoteText"/>
        <w:jc w:val="both"/>
        <w:rPr>
          <w:rFonts w:cs="Times New Roman"/>
          <w:i/>
          <w:iCs/>
        </w:rPr>
      </w:pPr>
      <w:r w:rsidRPr="00120830">
        <w:rPr>
          <w:rStyle w:val="FootnoteReference"/>
          <w:rFonts w:cs="Times New Roman"/>
        </w:rPr>
        <w:footnoteRef/>
      </w:r>
      <w:r w:rsidRPr="00120830">
        <w:rPr>
          <w:rFonts w:cs="Times New Roman"/>
        </w:rPr>
        <w:t xml:space="preserve"> See </w:t>
      </w:r>
      <w:r w:rsidR="00416DD3" w:rsidRPr="00120830">
        <w:rPr>
          <w:rFonts w:cs="Times New Roman"/>
          <w:i/>
          <w:iCs/>
        </w:rPr>
        <w:t xml:space="preserve">Christine Goodwin </w:t>
      </w:r>
      <w:r w:rsidR="00416DD3" w:rsidRPr="00120830">
        <w:rPr>
          <w:rFonts w:cs="Times New Roman"/>
        </w:rPr>
        <w:t>(28957/95)</w:t>
      </w:r>
      <w:r w:rsidRPr="00120830">
        <w:rPr>
          <w:rFonts w:cs="Times New Roman"/>
        </w:rPr>
        <w:t xml:space="preserve">, at </w:t>
      </w:r>
      <w:r w:rsidR="00416DD3" w:rsidRPr="00120830">
        <w:rPr>
          <w:rFonts w:cs="Times New Roman"/>
        </w:rPr>
        <w:t>[</w:t>
      </w:r>
      <w:r w:rsidRPr="00120830">
        <w:rPr>
          <w:rFonts w:cs="Times New Roman"/>
        </w:rPr>
        <w:t>74</w:t>
      </w:r>
      <w:r w:rsidR="00416DD3" w:rsidRPr="00120830">
        <w:rPr>
          <w:rFonts w:cs="Times New Roman"/>
        </w:rPr>
        <w:t>]</w:t>
      </w:r>
      <w:r w:rsidRPr="00120830">
        <w:rPr>
          <w:rFonts w:cs="Times New Roman"/>
        </w:rPr>
        <w:t xml:space="preserve">; see also </w:t>
      </w:r>
      <w:proofErr w:type="spellStart"/>
      <w:r w:rsidRPr="00120830">
        <w:rPr>
          <w:rFonts w:cs="Times New Roman"/>
          <w:i/>
          <w:iCs/>
        </w:rPr>
        <w:t>Mamatkulov</w:t>
      </w:r>
      <w:proofErr w:type="spellEnd"/>
      <w:r w:rsidRPr="00120830">
        <w:rPr>
          <w:rFonts w:cs="Times New Roman"/>
          <w:i/>
          <w:iCs/>
        </w:rPr>
        <w:t xml:space="preserve"> and </w:t>
      </w:r>
      <w:proofErr w:type="spellStart"/>
      <w:r w:rsidRPr="00120830">
        <w:rPr>
          <w:rFonts w:cs="Times New Roman"/>
          <w:i/>
          <w:iCs/>
        </w:rPr>
        <w:t>Askarov</w:t>
      </w:r>
      <w:proofErr w:type="spellEnd"/>
      <w:r w:rsidRPr="00120830">
        <w:rPr>
          <w:rFonts w:cs="Times New Roman"/>
          <w:i/>
          <w:iCs/>
        </w:rPr>
        <w:t xml:space="preserve"> v Turkey</w:t>
      </w:r>
      <w:r w:rsidR="00F328E5" w:rsidRPr="00120830">
        <w:rPr>
          <w:rFonts w:cs="Times New Roman"/>
        </w:rPr>
        <w:t xml:space="preserve"> [GC] (46827/99 and 46951/99), 4 February 2005</w:t>
      </w:r>
      <w:r w:rsidR="00602647" w:rsidRPr="00120830">
        <w:rPr>
          <w:rFonts w:cs="Times New Roman"/>
        </w:rPr>
        <w:t xml:space="preserve">, </w:t>
      </w:r>
      <w:r w:rsidRPr="00120830">
        <w:rPr>
          <w:rFonts w:cs="Times New Roman"/>
        </w:rPr>
        <w:t xml:space="preserve">and </w:t>
      </w:r>
      <w:proofErr w:type="spellStart"/>
      <w:r w:rsidR="00602647" w:rsidRPr="00120830">
        <w:rPr>
          <w:rFonts w:cs="Times New Roman"/>
          <w:i/>
          <w:iCs/>
        </w:rPr>
        <w:t>Vilho</w:t>
      </w:r>
      <w:proofErr w:type="spellEnd"/>
      <w:r w:rsidR="00602647" w:rsidRPr="00120830">
        <w:rPr>
          <w:rFonts w:cs="Times New Roman"/>
          <w:i/>
          <w:iCs/>
        </w:rPr>
        <w:t xml:space="preserve"> </w:t>
      </w:r>
      <w:proofErr w:type="spellStart"/>
      <w:r w:rsidR="00602647" w:rsidRPr="00120830">
        <w:rPr>
          <w:rFonts w:cs="Times New Roman"/>
          <w:i/>
          <w:iCs/>
        </w:rPr>
        <w:t>Eskelinen</w:t>
      </w:r>
      <w:proofErr w:type="spellEnd"/>
      <w:r w:rsidR="00602647" w:rsidRPr="00120830">
        <w:rPr>
          <w:rFonts w:cs="Times New Roman"/>
          <w:i/>
          <w:iCs/>
        </w:rPr>
        <w:t xml:space="preserve"> and Others v. Finland </w:t>
      </w:r>
      <w:r w:rsidR="00602647" w:rsidRPr="00120830">
        <w:rPr>
          <w:rFonts w:cs="Times New Roman"/>
        </w:rPr>
        <w:t>[GC] (63235/00), 19 April 2007</w:t>
      </w:r>
      <w:r w:rsidR="00C40F2B">
        <w:rPr>
          <w:rFonts w:cs="Times New Roman"/>
        </w:rPr>
        <w:t>.</w:t>
      </w:r>
    </w:p>
  </w:footnote>
  <w:footnote w:id="119">
    <w:p w14:paraId="659AC1A7" w14:textId="09DC66F6" w:rsidR="00174E5B" w:rsidRPr="00120830" w:rsidRDefault="00174E5B"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See </w:t>
      </w:r>
      <w:r w:rsidR="001F11D1" w:rsidRPr="00120830">
        <w:rPr>
          <w:rFonts w:cs="Times New Roman"/>
        </w:rPr>
        <w:t xml:space="preserve">Alastair </w:t>
      </w:r>
      <w:r w:rsidRPr="00120830">
        <w:rPr>
          <w:rFonts w:cs="Times New Roman"/>
        </w:rPr>
        <w:t>Mowbray,</w:t>
      </w:r>
      <w:r w:rsidR="001F11D1" w:rsidRPr="00120830">
        <w:rPr>
          <w:rFonts w:cs="Times New Roman"/>
        </w:rPr>
        <w:t xml:space="preserve"> “An Examination of the European Court of Human Rights’</w:t>
      </w:r>
      <w:r w:rsidR="00223857" w:rsidRPr="00120830">
        <w:rPr>
          <w:rFonts w:cs="Times New Roman"/>
        </w:rPr>
        <w:t xml:space="preserve"> </w:t>
      </w:r>
      <w:r w:rsidR="001F11D1" w:rsidRPr="00120830">
        <w:rPr>
          <w:rFonts w:cs="Times New Roman"/>
        </w:rPr>
        <w:t>Approach to Overruling its Previous Case Law”</w:t>
      </w:r>
      <w:r w:rsidRPr="00120830">
        <w:rPr>
          <w:rFonts w:cs="Times New Roman"/>
        </w:rPr>
        <w:t xml:space="preserve"> </w:t>
      </w:r>
      <w:r w:rsidR="001F11D1" w:rsidRPr="00120830">
        <w:rPr>
          <w:rFonts w:cs="Times New Roman"/>
        </w:rPr>
        <w:t>(2009) 9(2) H.R.L.R. 179</w:t>
      </w:r>
      <w:r w:rsidR="00C40F2B">
        <w:rPr>
          <w:rFonts w:cs="Times New Roman"/>
        </w:rPr>
        <w:t>,</w:t>
      </w:r>
      <w:r w:rsidR="001F11D1" w:rsidRPr="00120830">
        <w:rPr>
          <w:rFonts w:cs="Times New Roman"/>
        </w:rPr>
        <w:t xml:space="preserve"> </w:t>
      </w:r>
      <w:r w:rsidR="00243F5F" w:rsidRPr="00120830">
        <w:rPr>
          <w:rFonts w:cs="Times New Roman"/>
        </w:rPr>
        <w:t>201; he cites cases such as</w:t>
      </w:r>
      <w:r w:rsidRPr="00120830">
        <w:rPr>
          <w:rFonts w:cs="Times New Roman"/>
        </w:rPr>
        <w:t xml:space="preserve"> </w:t>
      </w:r>
      <w:proofErr w:type="spellStart"/>
      <w:r w:rsidR="00885F6D" w:rsidRPr="00120830">
        <w:rPr>
          <w:rFonts w:cs="Times New Roman"/>
          <w:i/>
          <w:iCs/>
        </w:rPr>
        <w:t>Pellegrin</w:t>
      </w:r>
      <w:proofErr w:type="spellEnd"/>
      <w:r w:rsidR="00885F6D" w:rsidRPr="00120830">
        <w:rPr>
          <w:rFonts w:cs="Times New Roman"/>
          <w:i/>
          <w:iCs/>
        </w:rPr>
        <w:t xml:space="preserve"> v France </w:t>
      </w:r>
      <w:r w:rsidR="00885F6D" w:rsidRPr="00120830">
        <w:rPr>
          <w:rFonts w:cs="Times New Roman"/>
        </w:rPr>
        <w:t>[GC]</w:t>
      </w:r>
      <w:r w:rsidR="00E4567C" w:rsidRPr="00120830">
        <w:rPr>
          <w:rFonts w:cs="Times New Roman"/>
        </w:rPr>
        <w:t xml:space="preserve"> </w:t>
      </w:r>
      <w:r w:rsidR="00885F6D" w:rsidRPr="00120830">
        <w:rPr>
          <w:rFonts w:cs="Times New Roman"/>
        </w:rPr>
        <w:t xml:space="preserve">(28541/95), </w:t>
      </w:r>
      <w:r w:rsidR="00590567" w:rsidRPr="00120830">
        <w:rPr>
          <w:rFonts w:cs="Times New Roman"/>
        </w:rPr>
        <w:t>8 December 1999</w:t>
      </w:r>
      <w:r w:rsidR="00243F5F" w:rsidRPr="00120830">
        <w:rPr>
          <w:rFonts w:cs="Times New Roman"/>
          <w:i/>
          <w:iCs/>
        </w:rPr>
        <w:t xml:space="preserve"> </w:t>
      </w:r>
      <w:r w:rsidR="00243F5F" w:rsidRPr="00120830">
        <w:rPr>
          <w:rFonts w:cs="Times New Roman"/>
        </w:rPr>
        <w:t xml:space="preserve">and </w:t>
      </w:r>
      <w:r w:rsidR="00E4567C" w:rsidRPr="00120830">
        <w:rPr>
          <w:rFonts w:cs="Times New Roman"/>
          <w:i/>
          <w:iCs/>
        </w:rPr>
        <w:t xml:space="preserve">Z. and others v the United Kingdom </w:t>
      </w:r>
      <w:r w:rsidR="00E4567C" w:rsidRPr="00120830">
        <w:rPr>
          <w:rFonts w:cs="Times New Roman"/>
        </w:rPr>
        <w:t>(29392/95), 10 May 2001</w:t>
      </w:r>
      <w:r w:rsidR="00E4567C" w:rsidRPr="00120830">
        <w:rPr>
          <w:rFonts w:cs="Times New Roman"/>
          <w:i/>
          <w:iCs/>
        </w:rPr>
        <w:t xml:space="preserve"> </w:t>
      </w:r>
      <w:r w:rsidR="00243F5F" w:rsidRPr="00120830">
        <w:rPr>
          <w:rFonts w:cs="Times New Roman"/>
        </w:rPr>
        <w:t xml:space="preserve">as </w:t>
      </w:r>
      <w:r w:rsidR="009E3CC9" w:rsidRPr="00120830">
        <w:rPr>
          <w:rFonts w:cs="Times New Roman"/>
        </w:rPr>
        <w:t>instances</w:t>
      </w:r>
      <w:r w:rsidR="00243F5F" w:rsidRPr="00120830">
        <w:rPr>
          <w:rFonts w:cs="Times New Roman"/>
        </w:rPr>
        <w:t xml:space="preserve"> where the Court has overruled its own case law in favour of the state.</w:t>
      </w:r>
    </w:p>
  </w:footnote>
  <w:footnote w:id="120">
    <w:p w14:paraId="4956802C" w14:textId="67669493" w:rsidR="00E90CD3" w:rsidRPr="00120830" w:rsidRDefault="00E90CD3"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2C3B95" w:rsidRPr="00120830">
        <w:rPr>
          <w:rFonts w:cs="Times New Roman"/>
        </w:rPr>
        <w:t xml:space="preserve">See </w:t>
      </w:r>
      <w:r w:rsidR="002C3B95" w:rsidRPr="00120830">
        <w:rPr>
          <w:rFonts w:cs="Times New Roman"/>
          <w:i/>
          <w:iCs/>
        </w:rPr>
        <w:t>Cooper</w:t>
      </w:r>
      <w:r w:rsidR="002C3B95" w:rsidRPr="00120830">
        <w:rPr>
          <w:rFonts w:cs="Times New Roman"/>
        </w:rPr>
        <w:t xml:space="preserve"> (48843/99); </w:t>
      </w:r>
      <w:r w:rsidR="002C3B95" w:rsidRPr="00120830">
        <w:rPr>
          <w:rFonts w:cs="Times New Roman"/>
          <w:i/>
        </w:rPr>
        <w:t xml:space="preserve">Al-Khawaja </w:t>
      </w:r>
      <w:r w:rsidR="002C3B95" w:rsidRPr="00120830">
        <w:rPr>
          <w:rFonts w:cs="Times New Roman"/>
        </w:rPr>
        <w:t xml:space="preserve">(26766/05); </w:t>
      </w:r>
      <w:r w:rsidR="002C3B95" w:rsidRPr="00120830">
        <w:rPr>
          <w:rFonts w:cs="Times New Roman"/>
          <w:i/>
        </w:rPr>
        <w:t xml:space="preserve">Animal Defenders </w:t>
      </w:r>
      <w:r w:rsidR="002C3B95" w:rsidRPr="00120830">
        <w:rPr>
          <w:rFonts w:cs="Times New Roman"/>
        </w:rPr>
        <w:t xml:space="preserve">(48876/08); and </w:t>
      </w:r>
      <w:r w:rsidR="002C3B95" w:rsidRPr="00120830">
        <w:rPr>
          <w:rFonts w:cs="Times New Roman"/>
          <w:i/>
          <w:iCs/>
        </w:rPr>
        <w:t xml:space="preserve">Hutchinson </w:t>
      </w:r>
      <w:r w:rsidR="002C3B95" w:rsidRPr="00120830">
        <w:rPr>
          <w:rFonts w:cs="Times New Roman"/>
        </w:rPr>
        <w:t>(57592/08)</w:t>
      </w:r>
      <w:r w:rsidR="00C40F2B">
        <w:rPr>
          <w:rFonts w:cs="Times New Roman"/>
        </w:rPr>
        <w:t>.</w:t>
      </w:r>
    </w:p>
  </w:footnote>
  <w:footnote w:id="121">
    <w:p w14:paraId="024287E3" w14:textId="702D1D58" w:rsidR="00D75E4D" w:rsidRPr="00120830" w:rsidRDefault="00D75E4D"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B526BA" w:rsidRPr="00120830">
        <w:rPr>
          <w:rFonts w:cs="Times New Roman"/>
        </w:rPr>
        <w:t xml:space="preserve">Both the </w:t>
      </w:r>
      <w:r w:rsidR="00B526BA" w:rsidRPr="00120830">
        <w:rPr>
          <w:rFonts w:cs="Times New Roman"/>
          <w:i/>
          <w:iCs/>
        </w:rPr>
        <w:t>Cooper</w:t>
      </w:r>
      <w:r w:rsidR="00B526BA" w:rsidRPr="00120830">
        <w:rPr>
          <w:rFonts w:cs="Times New Roman"/>
        </w:rPr>
        <w:t xml:space="preserve"> (48843/99) and </w:t>
      </w:r>
      <w:r w:rsidR="00B526BA" w:rsidRPr="00120830">
        <w:rPr>
          <w:rFonts w:cs="Times New Roman"/>
          <w:i/>
        </w:rPr>
        <w:t xml:space="preserve">Al-Khawaja </w:t>
      </w:r>
      <w:r w:rsidR="00B526BA" w:rsidRPr="00120830">
        <w:rPr>
          <w:rFonts w:cs="Times New Roman"/>
        </w:rPr>
        <w:t xml:space="preserve">(26766/05) </w:t>
      </w:r>
      <w:r w:rsidR="001F2352" w:rsidRPr="00120830">
        <w:rPr>
          <w:rFonts w:cs="Times New Roman"/>
        </w:rPr>
        <w:t>judgments were</w:t>
      </w:r>
      <w:r w:rsidR="00B526BA" w:rsidRPr="00120830">
        <w:rPr>
          <w:rFonts w:cs="Times New Roman"/>
        </w:rPr>
        <w:t xml:space="preserve"> delivered during the Court’s substantive embedding phase, and </w:t>
      </w:r>
      <w:r w:rsidR="00B526BA" w:rsidRPr="00120830">
        <w:rPr>
          <w:rFonts w:cs="Times New Roman"/>
          <w:i/>
        </w:rPr>
        <w:t xml:space="preserve">Animal Defenders </w:t>
      </w:r>
      <w:r w:rsidR="00B526BA" w:rsidRPr="00120830">
        <w:rPr>
          <w:rFonts w:cs="Times New Roman"/>
        </w:rPr>
        <w:t>(48876/08)</w:t>
      </w:r>
      <w:r w:rsidR="005C1725" w:rsidRPr="00120830">
        <w:rPr>
          <w:rFonts w:cs="Times New Roman"/>
        </w:rPr>
        <w:t xml:space="preserve"> </w:t>
      </w:r>
      <w:r w:rsidR="00B526BA" w:rsidRPr="00120830">
        <w:rPr>
          <w:rFonts w:cs="Times New Roman"/>
        </w:rPr>
        <w:t>was arguably the start of the Court’s procedural embedding phase in earnest</w:t>
      </w:r>
      <w:r w:rsidR="002D61B3" w:rsidRPr="00120830">
        <w:rPr>
          <w:rFonts w:cs="Times New Roman"/>
        </w:rPr>
        <w:t xml:space="preserve">; see also, the comments of </w:t>
      </w:r>
      <w:r w:rsidR="008174F2" w:rsidRPr="00120830">
        <w:rPr>
          <w:rFonts w:cs="Times New Roman"/>
        </w:rPr>
        <w:t xml:space="preserve">‘Judge A’, in </w:t>
      </w:r>
      <w:r w:rsidR="00FF7FFA" w:rsidRPr="00120830">
        <w:rPr>
          <w:rFonts w:cs="Times New Roman"/>
        </w:rPr>
        <w:t>King, “Submission to the IHRAR”, p.4,</w:t>
      </w:r>
      <w:r w:rsidR="008174F2" w:rsidRPr="00120830">
        <w:rPr>
          <w:rFonts w:cs="Times New Roman"/>
        </w:rPr>
        <w:t xml:space="preserve"> </w:t>
      </w:r>
      <w:r w:rsidR="00FF7FFA" w:rsidRPr="00120830">
        <w:rPr>
          <w:rFonts w:cs="Times New Roman"/>
        </w:rPr>
        <w:t>who</w:t>
      </w:r>
      <w:r w:rsidR="008174F2" w:rsidRPr="00120830">
        <w:rPr>
          <w:rFonts w:cs="Times New Roman"/>
        </w:rPr>
        <w:t xml:space="preserve"> said that the ECtHR has been “more receptive to these kinds of arguments, to these kind of institutional, deferential, subsidiary</w:t>
      </w:r>
      <w:r w:rsidR="00C40F2B">
        <w:rPr>
          <w:rFonts w:cs="Times New Roman"/>
        </w:rPr>
        <w:t>-</w:t>
      </w:r>
      <w:r w:rsidR="008174F2" w:rsidRPr="00120830">
        <w:rPr>
          <w:rFonts w:cs="Times New Roman"/>
        </w:rPr>
        <w:t>type arguments than perhaps judges in the past were receptive to”</w:t>
      </w:r>
      <w:r w:rsidR="00FF7FFA" w:rsidRPr="00120830">
        <w:rPr>
          <w:rFonts w:cs="Times New Roman"/>
        </w:rPr>
        <w:t>.</w:t>
      </w:r>
      <w:r w:rsidR="00D75CEF" w:rsidRPr="00120830">
        <w:rPr>
          <w:rFonts w:cs="Times New Roman"/>
        </w:rPr>
        <w:t xml:space="preserve"> Indeed a number of commentators have argued that the Court’s procedural turn risks undermining the effective protection of the Convention rights: see Angelika </w:t>
      </w:r>
      <w:proofErr w:type="spellStart"/>
      <w:r w:rsidR="00D75CEF" w:rsidRPr="00120830">
        <w:rPr>
          <w:rFonts w:cs="Times New Roman"/>
        </w:rPr>
        <w:t>Nussberger</w:t>
      </w:r>
      <w:proofErr w:type="spellEnd"/>
      <w:r w:rsidR="00D75CEF" w:rsidRPr="00120830">
        <w:rPr>
          <w:rFonts w:cs="Times New Roman"/>
        </w:rPr>
        <w:t xml:space="preserve"> “Procedural Review by the ECHR: View from the Court” in </w:t>
      </w:r>
      <w:proofErr w:type="spellStart"/>
      <w:r w:rsidR="00D75CEF" w:rsidRPr="00120830">
        <w:rPr>
          <w:rFonts w:cs="Times New Roman"/>
        </w:rPr>
        <w:t>Brems</w:t>
      </w:r>
      <w:proofErr w:type="spellEnd"/>
      <w:r w:rsidR="00D75CEF" w:rsidRPr="00120830">
        <w:rPr>
          <w:rFonts w:cs="Times New Roman"/>
        </w:rPr>
        <w:t xml:space="preserve"> and </w:t>
      </w:r>
      <w:proofErr w:type="spellStart"/>
      <w:r w:rsidR="00D75CEF" w:rsidRPr="00120830">
        <w:rPr>
          <w:rFonts w:cs="Times New Roman"/>
        </w:rPr>
        <w:t>Gerards</w:t>
      </w:r>
      <w:proofErr w:type="spellEnd"/>
      <w:r w:rsidR="00D75CEF" w:rsidRPr="00120830">
        <w:rPr>
          <w:rFonts w:cs="Times New Roman"/>
        </w:rPr>
        <w:t xml:space="preserve"> (eds) </w:t>
      </w:r>
      <w:r w:rsidR="00D75CEF" w:rsidRPr="00120830">
        <w:rPr>
          <w:rFonts w:cs="Times New Roman"/>
          <w:i/>
          <w:iCs/>
        </w:rPr>
        <w:t>Procedural Review in European Fundamental Rights Cases</w:t>
      </w:r>
      <w:r w:rsidR="00D75CEF" w:rsidRPr="00120830">
        <w:rPr>
          <w:rFonts w:cs="Times New Roman"/>
        </w:rPr>
        <w:t xml:space="preserve"> (Cambridge University Press, 2017); and Peter </w:t>
      </w:r>
      <w:proofErr w:type="spellStart"/>
      <w:r w:rsidR="00D75CEF" w:rsidRPr="00120830">
        <w:rPr>
          <w:rFonts w:cs="Times New Roman"/>
        </w:rPr>
        <w:t>Cumper</w:t>
      </w:r>
      <w:proofErr w:type="spellEnd"/>
      <w:r w:rsidR="00D75CEF" w:rsidRPr="00120830">
        <w:rPr>
          <w:rFonts w:cs="Times New Roman"/>
        </w:rPr>
        <w:t xml:space="preserve"> and Tom Lewis, “Blanket Bans, Subsidiarity, and the Procedural Turn of The European Court of Human Rights” (2019) 68 I.C.L.Q. 611</w:t>
      </w:r>
      <w:r w:rsidR="00C40F2B">
        <w:rPr>
          <w:rFonts w:cs="Times New Roman"/>
        </w:rPr>
        <w:t>.</w:t>
      </w:r>
    </w:p>
  </w:footnote>
  <w:footnote w:id="122">
    <w:p w14:paraId="59E98993" w14:textId="681D13E3" w:rsidR="00A62E08" w:rsidRPr="00120830" w:rsidRDefault="00A62E08"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F54FD9" w:rsidRPr="00120830">
        <w:rPr>
          <w:rFonts w:cs="Times New Roman"/>
        </w:rPr>
        <w:t xml:space="preserve">On the importance of this, see </w:t>
      </w:r>
      <w:r w:rsidR="001F2352" w:rsidRPr="00120830">
        <w:rPr>
          <w:rFonts w:cs="Times New Roman"/>
        </w:rPr>
        <w:t xml:space="preserve">Jeremy </w:t>
      </w:r>
      <w:r w:rsidRPr="00120830">
        <w:rPr>
          <w:rFonts w:cs="Times New Roman"/>
        </w:rPr>
        <w:t>Letwin</w:t>
      </w:r>
      <w:r w:rsidR="001F2352" w:rsidRPr="00120830">
        <w:rPr>
          <w:rFonts w:cs="Times New Roman"/>
        </w:rPr>
        <w:t>,</w:t>
      </w:r>
      <w:r w:rsidR="001D2378" w:rsidRPr="00120830">
        <w:rPr>
          <w:rFonts w:cs="Times New Roman"/>
        </w:rPr>
        <w:t xml:space="preserve"> “Why Completeness and Coherence Matter for the European Court of Human Rights” (2021) 2(1) </w:t>
      </w:r>
      <w:r w:rsidR="001D2378" w:rsidRPr="00C40F2B">
        <w:rPr>
          <w:rFonts w:cs="Times New Roman"/>
          <w:i/>
          <w:iCs/>
        </w:rPr>
        <w:t>ECHR Law Review</w:t>
      </w:r>
      <w:r w:rsidR="001D2378" w:rsidRPr="00120830">
        <w:rPr>
          <w:rFonts w:cs="Times New Roman"/>
        </w:rPr>
        <w:t xml:space="preserve"> 119, </w:t>
      </w:r>
      <w:r w:rsidRPr="00120830">
        <w:rPr>
          <w:rFonts w:cs="Times New Roman"/>
        </w:rPr>
        <w:t xml:space="preserve">and </w:t>
      </w:r>
      <w:r w:rsidR="001D2378" w:rsidRPr="00120830">
        <w:rPr>
          <w:rFonts w:cs="Times New Roman"/>
        </w:rPr>
        <w:t>the other authors</w:t>
      </w:r>
      <w:r w:rsidRPr="00120830">
        <w:rPr>
          <w:rFonts w:cs="Times New Roman"/>
        </w:rPr>
        <w:t xml:space="preserve"> cited there</w:t>
      </w:r>
      <w:r w:rsidR="00F54FD9" w:rsidRPr="00120830">
        <w:rPr>
          <w:rFonts w:cs="Times New Roman"/>
        </w:rPr>
        <w:t xml:space="preserve">; see also Copenhagen Declaration, 12 and 13 April 2018, at [27] and </w:t>
      </w:r>
      <w:proofErr w:type="spellStart"/>
      <w:r w:rsidR="00F54FD9" w:rsidRPr="00120830">
        <w:rPr>
          <w:rFonts w:cs="Times New Roman"/>
        </w:rPr>
        <w:t>Glas</w:t>
      </w:r>
      <w:proofErr w:type="spellEnd"/>
      <w:r w:rsidR="00F54FD9" w:rsidRPr="00120830">
        <w:rPr>
          <w:rFonts w:cs="Times New Roman"/>
        </w:rPr>
        <w:t>, “From Interlaken to Copenhagen”, 143</w:t>
      </w:r>
      <w:r w:rsidR="00764DED">
        <w:rPr>
          <w:rFonts w:cs="Times New Roman"/>
        </w:rPr>
        <w:t>.</w:t>
      </w:r>
    </w:p>
  </w:footnote>
  <w:footnote w:id="123">
    <w:p w14:paraId="4C1B1DE4" w14:textId="3EEA1331" w:rsidR="00435E3F" w:rsidRPr="00120830" w:rsidRDefault="00435E3F"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proofErr w:type="spellStart"/>
      <w:r w:rsidR="0088797F" w:rsidRPr="00120830">
        <w:rPr>
          <w:rFonts w:cs="Times New Roman"/>
        </w:rPr>
        <w:t>Bratza</w:t>
      </w:r>
      <w:proofErr w:type="spellEnd"/>
      <w:r w:rsidR="0088797F" w:rsidRPr="00120830">
        <w:rPr>
          <w:rFonts w:cs="Times New Roman"/>
        </w:rPr>
        <w:t>, “Response to call for evidence by the IHRAR”, at [</w:t>
      </w:r>
      <w:r w:rsidRPr="00120830">
        <w:rPr>
          <w:rFonts w:cs="Times New Roman"/>
        </w:rPr>
        <w:t>25</w:t>
      </w:r>
      <w:r w:rsidR="0088797F" w:rsidRPr="00120830">
        <w:rPr>
          <w:rFonts w:cs="Times New Roman"/>
        </w:rPr>
        <w:t>]</w:t>
      </w:r>
      <w:r w:rsidR="00706FCC">
        <w:rPr>
          <w:rFonts w:cs="Times New Roman"/>
        </w:rPr>
        <w:t>.</w:t>
      </w:r>
    </w:p>
  </w:footnote>
  <w:footnote w:id="124">
    <w:p w14:paraId="658EA37B" w14:textId="34EF1E7C" w:rsidR="009B422C" w:rsidRPr="00120830" w:rsidRDefault="009B422C"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F1311F" w:rsidRPr="00120830">
        <w:rPr>
          <w:rFonts w:cs="Times New Roman"/>
        </w:rPr>
        <w:t>King, “Submission to the IHRAR”</w:t>
      </w:r>
      <w:r w:rsidR="00706FCC">
        <w:rPr>
          <w:rFonts w:cs="Times New Roman"/>
        </w:rPr>
        <w:t>.</w:t>
      </w:r>
    </w:p>
  </w:footnote>
  <w:footnote w:id="125">
    <w:p w14:paraId="4A17EB32" w14:textId="54715329" w:rsidR="00284102" w:rsidRPr="00120830" w:rsidRDefault="00284102"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F1311F" w:rsidRPr="00120830">
        <w:rPr>
          <w:rFonts w:cs="Times New Roman"/>
        </w:rPr>
        <w:t>King, “Submission to the IHRAR”</w:t>
      </w:r>
      <w:r w:rsidRPr="00120830">
        <w:rPr>
          <w:rFonts w:cs="Times New Roman"/>
        </w:rPr>
        <w:t>, pp.4-5</w:t>
      </w:r>
      <w:r w:rsidR="00706FCC">
        <w:rPr>
          <w:rFonts w:cs="Times New Roman"/>
        </w:rPr>
        <w:t>.</w:t>
      </w:r>
    </w:p>
  </w:footnote>
  <w:footnote w:id="126">
    <w:p w14:paraId="7CCFD676" w14:textId="1A903D1D" w:rsidR="00BB3F96" w:rsidRPr="00120830" w:rsidRDefault="00BB3F96"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w:t>
      </w:r>
      <w:r w:rsidR="00510A6F" w:rsidRPr="00120830">
        <w:rPr>
          <w:rFonts w:cs="Times New Roman"/>
        </w:rPr>
        <w:t xml:space="preserve">Written evidence from Judge Robert Spano, President of the European Court of Human Rights and Judge Tim </w:t>
      </w:r>
      <w:proofErr w:type="spellStart"/>
      <w:r w:rsidR="00510A6F" w:rsidRPr="00120830">
        <w:rPr>
          <w:rFonts w:cs="Times New Roman"/>
        </w:rPr>
        <w:t>Eicke</w:t>
      </w:r>
      <w:proofErr w:type="spellEnd"/>
      <w:r w:rsidR="00510A6F" w:rsidRPr="00120830">
        <w:rPr>
          <w:rFonts w:cs="Times New Roman"/>
        </w:rPr>
        <w:t xml:space="preserve"> to the JCHR (HRA0011), </w:t>
      </w:r>
      <w:r w:rsidR="00532C25" w:rsidRPr="00120830">
        <w:rPr>
          <w:rFonts w:cs="Times New Roman"/>
        </w:rPr>
        <w:t>p.3</w:t>
      </w:r>
      <w:r w:rsidR="00706FCC">
        <w:rPr>
          <w:rFonts w:cs="Times New Roman"/>
        </w:rPr>
        <w:t>.</w:t>
      </w:r>
    </w:p>
  </w:footnote>
  <w:footnote w:id="127">
    <w:p w14:paraId="5CC3F613" w14:textId="2A85469F" w:rsidR="00F9598C" w:rsidRPr="00120830" w:rsidRDefault="00F9598C"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See </w:t>
      </w:r>
      <w:r w:rsidR="000C038E" w:rsidRPr="00120830">
        <w:rPr>
          <w:rFonts w:cs="Times New Roman"/>
        </w:rPr>
        <w:t xml:space="preserve">Graham, “The Modern Mirror Principle”, </w:t>
      </w:r>
      <w:r w:rsidRPr="00120830">
        <w:rPr>
          <w:rFonts w:cs="Times New Roman"/>
        </w:rPr>
        <w:t>p.539</w:t>
      </w:r>
      <w:r w:rsidR="00706FCC">
        <w:rPr>
          <w:rFonts w:cs="Times New Roman"/>
        </w:rPr>
        <w:t>.</w:t>
      </w:r>
    </w:p>
  </w:footnote>
  <w:footnote w:id="128">
    <w:p w14:paraId="4E537CF4" w14:textId="55F3075E" w:rsidR="00FE3911" w:rsidRPr="00120830" w:rsidRDefault="00FE3911" w:rsidP="00BD6BC8">
      <w:pPr>
        <w:pStyle w:val="FootnoteText"/>
        <w:jc w:val="both"/>
        <w:rPr>
          <w:rFonts w:cs="Times New Roman"/>
        </w:rPr>
      </w:pPr>
      <w:r w:rsidRPr="00120830">
        <w:rPr>
          <w:rStyle w:val="FootnoteReference"/>
          <w:rFonts w:cs="Times New Roman"/>
        </w:rPr>
        <w:footnoteRef/>
      </w:r>
      <w:r w:rsidRPr="00120830">
        <w:rPr>
          <w:rFonts w:cs="Times New Roman"/>
        </w:rPr>
        <w:t xml:space="preserve"> Amos, “The Principle of Comity”, p.514</w:t>
      </w:r>
      <w:r w:rsidR="00706FCC">
        <w:rPr>
          <w:rFonts w:cs="Times New Roman"/>
        </w:rPr>
        <w:t>.</w:t>
      </w:r>
    </w:p>
  </w:footnote>
  <w:footnote w:id="129">
    <w:p w14:paraId="45691059" w14:textId="0EEE70C8" w:rsidR="00D40F3B" w:rsidRPr="00120830" w:rsidRDefault="00D40F3B" w:rsidP="00BD6BC8">
      <w:pPr>
        <w:pStyle w:val="FootnoteText"/>
        <w:jc w:val="both"/>
        <w:rPr>
          <w:rFonts w:cs="Times New Roman"/>
          <w:i/>
          <w:iCs/>
        </w:rPr>
      </w:pPr>
      <w:r w:rsidRPr="00120830">
        <w:rPr>
          <w:rStyle w:val="FootnoteReference"/>
        </w:rPr>
        <w:footnoteRef/>
      </w:r>
      <w:r w:rsidRPr="00120830">
        <w:t xml:space="preserve"> </w:t>
      </w:r>
      <w:r w:rsidRPr="00120830">
        <w:rPr>
          <w:rFonts w:cs="Times New Roman"/>
          <w:i/>
          <w:iCs/>
        </w:rPr>
        <w:t xml:space="preserve">Hutchinson </w:t>
      </w:r>
      <w:r w:rsidRPr="00120830">
        <w:rPr>
          <w:rFonts w:cs="Times New Roman"/>
        </w:rPr>
        <w:t xml:space="preserve">(57592/08); </w:t>
      </w:r>
      <w:proofErr w:type="spellStart"/>
      <w:r w:rsidRPr="00120830">
        <w:rPr>
          <w:rFonts w:cs="Times New Roman"/>
          <w:i/>
          <w:iCs/>
        </w:rPr>
        <w:t>Vinter</w:t>
      </w:r>
      <w:proofErr w:type="spellEnd"/>
      <w:r w:rsidRPr="00120830">
        <w:rPr>
          <w:rFonts w:cs="Times New Roman"/>
          <w:i/>
          <w:iCs/>
        </w:rPr>
        <w:t xml:space="preserve"> and Others v the United Kingdom </w:t>
      </w:r>
      <w:r w:rsidRPr="00120830">
        <w:rPr>
          <w:rFonts w:cs="Times New Roman"/>
        </w:rPr>
        <w:t xml:space="preserve">[GC] (66069/09, 130/10 and 3896/10), 9 July 2013; and </w:t>
      </w:r>
      <w:r w:rsidRPr="00120830">
        <w:rPr>
          <w:rFonts w:cs="Times New Roman"/>
          <w:i/>
          <w:iCs/>
        </w:rPr>
        <w:t xml:space="preserve">McLoughlin </w:t>
      </w:r>
      <w:r w:rsidRPr="00120830">
        <w:rPr>
          <w:rFonts w:cs="Times New Roman"/>
        </w:rPr>
        <w:t>[2014] EWCA Crim 188</w:t>
      </w:r>
      <w:r w:rsidR="00706FCC">
        <w:rPr>
          <w:rFonts w:cs="Times New Roman"/>
        </w:rPr>
        <w:t>.</w:t>
      </w:r>
    </w:p>
  </w:footnote>
  <w:footnote w:id="130">
    <w:p w14:paraId="6AA4ED23" w14:textId="6C696798" w:rsidR="00D40F3B" w:rsidRPr="00120830" w:rsidRDefault="00D40F3B" w:rsidP="00BD6BC8">
      <w:pPr>
        <w:pStyle w:val="FootnoteText"/>
        <w:jc w:val="both"/>
      </w:pPr>
      <w:r w:rsidRPr="00120830">
        <w:rPr>
          <w:rStyle w:val="FootnoteReference"/>
        </w:rPr>
        <w:footnoteRef/>
      </w:r>
      <w:r w:rsidRPr="00120830">
        <w:t xml:space="preserve"> </w:t>
      </w:r>
      <w:r w:rsidRPr="00120830">
        <w:rPr>
          <w:rFonts w:cs="Times New Roman"/>
          <w:i/>
          <w:iCs/>
        </w:rPr>
        <w:t xml:space="preserve">Hutchinson </w:t>
      </w:r>
      <w:r w:rsidRPr="00120830">
        <w:rPr>
          <w:rFonts w:cs="Times New Roman"/>
        </w:rPr>
        <w:t xml:space="preserve">(57592/08), dissenting judgment of judge Pinto de </w:t>
      </w:r>
      <w:r w:rsidRPr="00120830">
        <w:rPr>
          <w:color w:val="000000" w:themeColor="text1"/>
        </w:rPr>
        <w:t>Albuquerque, a</w:t>
      </w:r>
      <w:r w:rsidRPr="00120830">
        <w:t>t [35] and [37]</w:t>
      </w:r>
      <w:r w:rsidR="00706FCC">
        <w:t>.</w:t>
      </w:r>
    </w:p>
  </w:footnote>
  <w:footnote w:id="131">
    <w:p w14:paraId="542A4A81" w14:textId="22B8223D" w:rsidR="00D40F3B" w:rsidRPr="00120830" w:rsidRDefault="00D40F3B" w:rsidP="00BD6BC8">
      <w:pPr>
        <w:pStyle w:val="FootnoteText"/>
        <w:jc w:val="both"/>
      </w:pPr>
      <w:r w:rsidRPr="00120830">
        <w:rPr>
          <w:rStyle w:val="FootnoteReference"/>
        </w:rPr>
        <w:footnoteRef/>
      </w:r>
      <w:r w:rsidRPr="00120830">
        <w:t xml:space="preserve"> </w:t>
      </w:r>
      <w:r w:rsidRPr="00120830">
        <w:rPr>
          <w:rFonts w:cs="Times New Roman"/>
          <w:i/>
          <w:iCs/>
        </w:rPr>
        <w:t xml:space="preserve">Hutchinson </w:t>
      </w:r>
      <w:r w:rsidRPr="00120830">
        <w:rPr>
          <w:rFonts w:cs="Times New Roman"/>
        </w:rPr>
        <w:t xml:space="preserve">(57592/08), dissenting judgment of judge Pinto de </w:t>
      </w:r>
      <w:r w:rsidRPr="00120830">
        <w:rPr>
          <w:color w:val="000000" w:themeColor="text1"/>
        </w:rPr>
        <w:t>Albuquerque</w:t>
      </w:r>
      <w:r w:rsidRPr="00120830">
        <w:t>, at [38] and [43]</w:t>
      </w:r>
      <w:r w:rsidR="00706FCC">
        <w:t>.</w:t>
      </w:r>
    </w:p>
  </w:footnote>
  <w:footnote w:id="132">
    <w:p w14:paraId="75791B30" w14:textId="0D0646EB" w:rsidR="00D40F3B" w:rsidRPr="00120830" w:rsidRDefault="00D40F3B" w:rsidP="00BD6BC8">
      <w:pPr>
        <w:pStyle w:val="FootnoteText"/>
        <w:jc w:val="both"/>
      </w:pPr>
      <w:r w:rsidRPr="00120830">
        <w:rPr>
          <w:rStyle w:val="FootnoteReference"/>
        </w:rPr>
        <w:footnoteRef/>
      </w:r>
      <w:r w:rsidRPr="00120830">
        <w:t xml:space="preserve"> </w:t>
      </w:r>
      <w:r w:rsidRPr="00120830">
        <w:rPr>
          <w:i/>
          <w:iCs/>
        </w:rPr>
        <w:t xml:space="preserve">G.I.E.M. S.R.L. and Others v Italy </w:t>
      </w:r>
      <w:r w:rsidRPr="00120830">
        <w:t>[GC] (1828/06 and 2 others), 28 June 2018,</w:t>
      </w:r>
      <w:r w:rsidRPr="00120830">
        <w:rPr>
          <w:rFonts w:cs="Times New Roman"/>
        </w:rPr>
        <w:t xml:space="preserve"> dissenting judgment of judge Pinto de </w:t>
      </w:r>
      <w:r w:rsidRPr="00120830">
        <w:rPr>
          <w:color w:val="000000" w:themeColor="text1"/>
        </w:rPr>
        <w:t>Albuquerque</w:t>
      </w:r>
      <w:r w:rsidRPr="00120830">
        <w:t>, at [86] and [94]</w:t>
      </w:r>
      <w:r w:rsidR="00706FC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6307"/>
    <w:multiLevelType w:val="hybridMultilevel"/>
    <w:tmpl w:val="D49ABF4C"/>
    <w:lvl w:ilvl="0" w:tplc="F6969AAA">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75F08"/>
    <w:multiLevelType w:val="hybridMultilevel"/>
    <w:tmpl w:val="235A8956"/>
    <w:lvl w:ilvl="0" w:tplc="F2960D86">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90674"/>
    <w:multiLevelType w:val="hybridMultilevel"/>
    <w:tmpl w:val="D8D4D8B0"/>
    <w:lvl w:ilvl="0" w:tplc="D12C28A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C4B62"/>
    <w:multiLevelType w:val="hybridMultilevel"/>
    <w:tmpl w:val="49BE8E8A"/>
    <w:lvl w:ilvl="0" w:tplc="C624DA3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62473"/>
    <w:multiLevelType w:val="hybridMultilevel"/>
    <w:tmpl w:val="E8882C62"/>
    <w:lvl w:ilvl="0" w:tplc="671C030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550DB"/>
    <w:multiLevelType w:val="hybridMultilevel"/>
    <w:tmpl w:val="F228885E"/>
    <w:lvl w:ilvl="0" w:tplc="04BAA4A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D9144F"/>
    <w:multiLevelType w:val="hybridMultilevel"/>
    <w:tmpl w:val="7332E456"/>
    <w:lvl w:ilvl="0" w:tplc="6986C956">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953256"/>
    <w:multiLevelType w:val="hybridMultilevel"/>
    <w:tmpl w:val="A5460A44"/>
    <w:lvl w:ilvl="0" w:tplc="D062BA1E">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1693D"/>
    <w:multiLevelType w:val="hybridMultilevel"/>
    <w:tmpl w:val="A7306630"/>
    <w:lvl w:ilvl="0" w:tplc="F25411F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D187B"/>
    <w:multiLevelType w:val="hybridMultilevel"/>
    <w:tmpl w:val="B680C7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F354E5"/>
    <w:multiLevelType w:val="hybridMultilevel"/>
    <w:tmpl w:val="1E8402D6"/>
    <w:lvl w:ilvl="0" w:tplc="6986C956">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A46AF2"/>
    <w:multiLevelType w:val="hybridMultilevel"/>
    <w:tmpl w:val="709EBD6E"/>
    <w:lvl w:ilvl="0" w:tplc="0D6E809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A8217A"/>
    <w:multiLevelType w:val="hybridMultilevel"/>
    <w:tmpl w:val="6EC05D74"/>
    <w:lvl w:ilvl="0" w:tplc="A8A8C47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8A3394"/>
    <w:multiLevelType w:val="hybridMultilevel"/>
    <w:tmpl w:val="876A52F2"/>
    <w:lvl w:ilvl="0" w:tplc="5404A59A">
      <w:start w:val="20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C66F6"/>
    <w:multiLevelType w:val="hybridMultilevel"/>
    <w:tmpl w:val="E8D4CAAA"/>
    <w:lvl w:ilvl="0" w:tplc="D29AD8D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84103"/>
    <w:multiLevelType w:val="hybridMultilevel"/>
    <w:tmpl w:val="1E261998"/>
    <w:lvl w:ilvl="0" w:tplc="51BC1FB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0965E9"/>
    <w:multiLevelType w:val="hybridMultilevel"/>
    <w:tmpl w:val="D652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1C12EF"/>
    <w:multiLevelType w:val="hybridMultilevel"/>
    <w:tmpl w:val="77FEEA10"/>
    <w:lvl w:ilvl="0" w:tplc="0D500F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923D46"/>
    <w:multiLevelType w:val="hybridMultilevel"/>
    <w:tmpl w:val="8730DACC"/>
    <w:lvl w:ilvl="0" w:tplc="F9D6365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74F3E"/>
    <w:multiLevelType w:val="hybridMultilevel"/>
    <w:tmpl w:val="6756ED76"/>
    <w:lvl w:ilvl="0" w:tplc="67882C7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8F00AD"/>
    <w:multiLevelType w:val="hybridMultilevel"/>
    <w:tmpl w:val="3DC04A58"/>
    <w:lvl w:ilvl="0" w:tplc="1194C626">
      <w:start w:val="202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AC42AB"/>
    <w:multiLevelType w:val="hybridMultilevel"/>
    <w:tmpl w:val="3BC20BB2"/>
    <w:lvl w:ilvl="0" w:tplc="F11A3A40">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434222">
    <w:abstractNumId w:val="4"/>
  </w:num>
  <w:num w:numId="2" w16cid:durableId="543172572">
    <w:abstractNumId w:val="12"/>
  </w:num>
  <w:num w:numId="3" w16cid:durableId="666203617">
    <w:abstractNumId w:val="9"/>
  </w:num>
  <w:num w:numId="4" w16cid:durableId="1808401798">
    <w:abstractNumId w:val="1"/>
  </w:num>
  <w:num w:numId="5" w16cid:durableId="1834758796">
    <w:abstractNumId w:val="6"/>
  </w:num>
  <w:num w:numId="6" w16cid:durableId="830413510">
    <w:abstractNumId w:val="10"/>
  </w:num>
  <w:num w:numId="7" w16cid:durableId="184641099">
    <w:abstractNumId w:val="3"/>
  </w:num>
  <w:num w:numId="8" w16cid:durableId="1244147798">
    <w:abstractNumId w:val="11"/>
  </w:num>
  <w:num w:numId="9" w16cid:durableId="1343896538">
    <w:abstractNumId w:val="2"/>
  </w:num>
  <w:num w:numId="10" w16cid:durableId="911892440">
    <w:abstractNumId w:val="5"/>
  </w:num>
  <w:num w:numId="11" w16cid:durableId="1087727608">
    <w:abstractNumId w:val="16"/>
  </w:num>
  <w:num w:numId="12" w16cid:durableId="1551654165">
    <w:abstractNumId w:val="14"/>
  </w:num>
  <w:num w:numId="13" w16cid:durableId="1659655879">
    <w:abstractNumId w:val="21"/>
  </w:num>
  <w:num w:numId="14" w16cid:durableId="586966061">
    <w:abstractNumId w:val="7"/>
  </w:num>
  <w:num w:numId="15" w16cid:durableId="2060783744">
    <w:abstractNumId w:val="13"/>
  </w:num>
  <w:num w:numId="16" w16cid:durableId="1107576638">
    <w:abstractNumId w:val="20"/>
  </w:num>
  <w:num w:numId="17" w16cid:durableId="1078790739">
    <w:abstractNumId w:val="0"/>
  </w:num>
  <w:num w:numId="18" w16cid:durableId="1284534626">
    <w:abstractNumId w:val="8"/>
  </w:num>
  <w:num w:numId="19" w16cid:durableId="1314874746">
    <w:abstractNumId w:val="18"/>
  </w:num>
  <w:num w:numId="20" w16cid:durableId="308554815">
    <w:abstractNumId w:val="19"/>
  </w:num>
  <w:num w:numId="21" w16cid:durableId="1894804724">
    <w:abstractNumId w:val="15"/>
  </w:num>
  <w:num w:numId="22" w16cid:durableId="10822174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F8"/>
    <w:rsid w:val="000012E0"/>
    <w:rsid w:val="00001340"/>
    <w:rsid w:val="00001FB1"/>
    <w:rsid w:val="00002A50"/>
    <w:rsid w:val="00002DC9"/>
    <w:rsid w:val="0000332F"/>
    <w:rsid w:val="00004860"/>
    <w:rsid w:val="0000522F"/>
    <w:rsid w:val="00005DA1"/>
    <w:rsid w:val="00006835"/>
    <w:rsid w:val="000071E7"/>
    <w:rsid w:val="00010013"/>
    <w:rsid w:val="00010570"/>
    <w:rsid w:val="000111BF"/>
    <w:rsid w:val="00013206"/>
    <w:rsid w:val="00013725"/>
    <w:rsid w:val="00013F8C"/>
    <w:rsid w:val="000156A5"/>
    <w:rsid w:val="00015A97"/>
    <w:rsid w:val="00015CF9"/>
    <w:rsid w:val="0001618C"/>
    <w:rsid w:val="00016D99"/>
    <w:rsid w:val="0001761A"/>
    <w:rsid w:val="00017F98"/>
    <w:rsid w:val="00017F9D"/>
    <w:rsid w:val="000207F4"/>
    <w:rsid w:val="00020CE3"/>
    <w:rsid w:val="00020D45"/>
    <w:rsid w:val="000215DC"/>
    <w:rsid w:val="00021C93"/>
    <w:rsid w:val="00021D56"/>
    <w:rsid w:val="00022437"/>
    <w:rsid w:val="00022505"/>
    <w:rsid w:val="0002311C"/>
    <w:rsid w:val="0002383E"/>
    <w:rsid w:val="00023C42"/>
    <w:rsid w:val="00024161"/>
    <w:rsid w:val="000244A1"/>
    <w:rsid w:val="00024559"/>
    <w:rsid w:val="00024D9D"/>
    <w:rsid w:val="00026CE6"/>
    <w:rsid w:val="00027424"/>
    <w:rsid w:val="000278A6"/>
    <w:rsid w:val="00027B9C"/>
    <w:rsid w:val="00027BE2"/>
    <w:rsid w:val="00027D79"/>
    <w:rsid w:val="00027DD9"/>
    <w:rsid w:val="0003061E"/>
    <w:rsid w:val="00030817"/>
    <w:rsid w:val="00030E02"/>
    <w:rsid w:val="0003155E"/>
    <w:rsid w:val="000328EF"/>
    <w:rsid w:val="00033246"/>
    <w:rsid w:val="000334DD"/>
    <w:rsid w:val="00034E72"/>
    <w:rsid w:val="00034ED7"/>
    <w:rsid w:val="00035BB2"/>
    <w:rsid w:val="00035F83"/>
    <w:rsid w:val="000363EC"/>
    <w:rsid w:val="0003679D"/>
    <w:rsid w:val="00036DBB"/>
    <w:rsid w:val="00040169"/>
    <w:rsid w:val="00040A46"/>
    <w:rsid w:val="00041699"/>
    <w:rsid w:val="00041E63"/>
    <w:rsid w:val="0004276D"/>
    <w:rsid w:val="0004288B"/>
    <w:rsid w:val="00042CD8"/>
    <w:rsid w:val="00042D0C"/>
    <w:rsid w:val="00043448"/>
    <w:rsid w:val="00044187"/>
    <w:rsid w:val="000442CB"/>
    <w:rsid w:val="00044BB7"/>
    <w:rsid w:val="00045896"/>
    <w:rsid w:val="00045CBD"/>
    <w:rsid w:val="0004605F"/>
    <w:rsid w:val="00047DB8"/>
    <w:rsid w:val="0005035D"/>
    <w:rsid w:val="000507F6"/>
    <w:rsid w:val="00050BE9"/>
    <w:rsid w:val="000519D3"/>
    <w:rsid w:val="0005228F"/>
    <w:rsid w:val="000527A9"/>
    <w:rsid w:val="00052CF7"/>
    <w:rsid w:val="00052F96"/>
    <w:rsid w:val="000536DF"/>
    <w:rsid w:val="000536ED"/>
    <w:rsid w:val="00053FC5"/>
    <w:rsid w:val="0005440D"/>
    <w:rsid w:val="000546B8"/>
    <w:rsid w:val="00057E62"/>
    <w:rsid w:val="0006032C"/>
    <w:rsid w:val="00060587"/>
    <w:rsid w:val="0006285A"/>
    <w:rsid w:val="00062CDF"/>
    <w:rsid w:val="000630C9"/>
    <w:rsid w:val="00063D41"/>
    <w:rsid w:val="00064529"/>
    <w:rsid w:val="0006494D"/>
    <w:rsid w:val="00064A78"/>
    <w:rsid w:val="00065AEE"/>
    <w:rsid w:val="00065D15"/>
    <w:rsid w:val="00065D60"/>
    <w:rsid w:val="00066BD3"/>
    <w:rsid w:val="00066DCD"/>
    <w:rsid w:val="00066FE4"/>
    <w:rsid w:val="000713A7"/>
    <w:rsid w:val="00071F66"/>
    <w:rsid w:val="00072502"/>
    <w:rsid w:val="00072962"/>
    <w:rsid w:val="00072E88"/>
    <w:rsid w:val="0007355C"/>
    <w:rsid w:val="00074B46"/>
    <w:rsid w:val="0007544E"/>
    <w:rsid w:val="00075C52"/>
    <w:rsid w:val="00075F22"/>
    <w:rsid w:val="00076379"/>
    <w:rsid w:val="000779F8"/>
    <w:rsid w:val="00077ABC"/>
    <w:rsid w:val="00080FE4"/>
    <w:rsid w:val="00082DE5"/>
    <w:rsid w:val="00084290"/>
    <w:rsid w:val="000842FF"/>
    <w:rsid w:val="000844CB"/>
    <w:rsid w:val="00084679"/>
    <w:rsid w:val="0008482D"/>
    <w:rsid w:val="000851B8"/>
    <w:rsid w:val="00085691"/>
    <w:rsid w:val="00085C91"/>
    <w:rsid w:val="00087626"/>
    <w:rsid w:val="00090050"/>
    <w:rsid w:val="00091662"/>
    <w:rsid w:val="0009191E"/>
    <w:rsid w:val="0009194F"/>
    <w:rsid w:val="00091A12"/>
    <w:rsid w:val="00091CE0"/>
    <w:rsid w:val="00092FE1"/>
    <w:rsid w:val="00093AC2"/>
    <w:rsid w:val="00093B7D"/>
    <w:rsid w:val="000945AA"/>
    <w:rsid w:val="00095809"/>
    <w:rsid w:val="00095A01"/>
    <w:rsid w:val="00096A93"/>
    <w:rsid w:val="000977FA"/>
    <w:rsid w:val="00097A5B"/>
    <w:rsid w:val="00097BEA"/>
    <w:rsid w:val="000A032A"/>
    <w:rsid w:val="000A0667"/>
    <w:rsid w:val="000A06E0"/>
    <w:rsid w:val="000A0C36"/>
    <w:rsid w:val="000A14AD"/>
    <w:rsid w:val="000A14F5"/>
    <w:rsid w:val="000A1A7C"/>
    <w:rsid w:val="000A2091"/>
    <w:rsid w:val="000A3861"/>
    <w:rsid w:val="000A549F"/>
    <w:rsid w:val="000A55DB"/>
    <w:rsid w:val="000A63BE"/>
    <w:rsid w:val="000A679A"/>
    <w:rsid w:val="000A68AC"/>
    <w:rsid w:val="000A6A71"/>
    <w:rsid w:val="000A6B9D"/>
    <w:rsid w:val="000A6C5E"/>
    <w:rsid w:val="000A6DA8"/>
    <w:rsid w:val="000A7834"/>
    <w:rsid w:val="000A7AFE"/>
    <w:rsid w:val="000B005E"/>
    <w:rsid w:val="000B0B8C"/>
    <w:rsid w:val="000B0D21"/>
    <w:rsid w:val="000B14C0"/>
    <w:rsid w:val="000B1B39"/>
    <w:rsid w:val="000B2D5D"/>
    <w:rsid w:val="000B4C33"/>
    <w:rsid w:val="000B4DFA"/>
    <w:rsid w:val="000B6917"/>
    <w:rsid w:val="000B7140"/>
    <w:rsid w:val="000B7435"/>
    <w:rsid w:val="000B7705"/>
    <w:rsid w:val="000B7E81"/>
    <w:rsid w:val="000C038E"/>
    <w:rsid w:val="000C065F"/>
    <w:rsid w:val="000C0E36"/>
    <w:rsid w:val="000C153B"/>
    <w:rsid w:val="000C1BBC"/>
    <w:rsid w:val="000C1C71"/>
    <w:rsid w:val="000C1CC3"/>
    <w:rsid w:val="000C20A9"/>
    <w:rsid w:val="000C34DF"/>
    <w:rsid w:val="000C3CDF"/>
    <w:rsid w:val="000C4E1F"/>
    <w:rsid w:val="000C614F"/>
    <w:rsid w:val="000C74AE"/>
    <w:rsid w:val="000C7D22"/>
    <w:rsid w:val="000D0091"/>
    <w:rsid w:val="000D0363"/>
    <w:rsid w:val="000D05FC"/>
    <w:rsid w:val="000D122A"/>
    <w:rsid w:val="000D1772"/>
    <w:rsid w:val="000D4247"/>
    <w:rsid w:val="000D430E"/>
    <w:rsid w:val="000D4357"/>
    <w:rsid w:val="000D5BF8"/>
    <w:rsid w:val="000D7FF7"/>
    <w:rsid w:val="000E02A4"/>
    <w:rsid w:val="000E0AE6"/>
    <w:rsid w:val="000E27DF"/>
    <w:rsid w:val="000E298C"/>
    <w:rsid w:val="000E3122"/>
    <w:rsid w:val="000E3F75"/>
    <w:rsid w:val="000E475F"/>
    <w:rsid w:val="000E4C55"/>
    <w:rsid w:val="000E5DB5"/>
    <w:rsid w:val="000E6F0D"/>
    <w:rsid w:val="000E7136"/>
    <w:rsid w:val="000E7A3C"/>
    <w:rsid w:val="000E7C9C"/>
    <w:rsid w:val="000F02A1"/>
    <w:rsid w:val="000F0B5B"/>
    <w:rsid w:val="000F0E07"/>
    <w:rsid w:val="000F0E9D"/>
    <w:rsid w:val="000F1074"/>
    <w:rsid w:val="000F1151"/>
    <w:rsid w:val="000F19FC"/>
    <w:rsid w:val="000F1EC2"/>
    <w:rsid w:val="000F2928"/>
    <w:rsid w:val="000F292E"/>
    <w:rsid w:val="000F2C0D"/>
    <w:rsid w:val="000F40BC"/>
    <w:rsid w:val="000F45A2"/>
    <w:rsid w:val="000F46C1"/>
    <w:rsid w:val="000F4BC0"/>
    <w:rsid w:val="000F545B"/>
    <w:rsid w:val="000F5601"/>
    <w:rsid w:val="000F5BD8"/>
    <w:rsid w:val="000F5F63"/>
    <w:rsid w:val="000F699A"/>
    <w:rsid w:val="000F7402"/>
    <w:rsid w:val="0010081D"/>
    <w:rsid w:val="00100AEE"/>
    <w:rsid w:val="00100FDE"/>
    <w:rsid w:val="00101877"/>
    <w:rsid w:val="00101A5C"/>
    <w:rsid w:val="00101C59"/>
    <w:rsid w:val="00102776"/>
    <w:rsid w:val="00102E00"/>
    <w:rsid w:val="001041D5"/>
    <w:rsid w:val="001058B0"/>
    <w:rsid w:val="001065A3"/>
    <w:rsid w:val="00106B3A"/>
    <w:rsid w:val="00106C73"/>
    <w:rsid w:val="00107AE9"/>
    <w:rsid w:val="00111008"/>
    <w:rsid w:val="001113C4"/>
    <w:rsid w:val="00112306"/>
    <w:rsid w:val="00112969"/>
    <w:rsid w:val="00113342"/>
    <w:rsid w:val="001134EE"/>
    <w:rsid w:val="001146FC"/>
    <w:rsid w:val="00115FB2"/>
    <w:rsid w:val="001161CB"/>
    <w:rsid w:val="00116876"/>
    <w:rsid w:val="001169FD"/>
    <w:rsid w:val="00120830"/>
    <w:rsid w:val="00120F21"/>
    <w:rsid w:val="0012107E"/>
    <w:rsid w:val="00121B92"/>
    <w:rsid w:val="00121DB6"/>
    <w:rsid w:val="00121F1F"/>
    <w:rsid w:val="001222FC"/>
    <w:rsid w:val="001229BB"/>
    <w:rsid w:val="00123217"/>
    <w:rsid w:val="0012383C"/>
    <w:rsid w:val="00123F62"/>
    <w:rsid w:val="0012440C"/>
    <w:rsid w:val="00124508"/>
    <w:rsid w:val="00124513"/>
    <w:rsid w:val="001246B3"/>
    <w:rsid w:val="00124B3A"/>
    <w:rsid w:val="00125641"/>
    <w:rsid w:val="0012609D"/>
    <w:rsid w:val="0012729D"/>
    <w:rsid w:val="0012748A"/>
    <w:rsid w:val="001275C3"/>
    <w:rsid w:val="00130B55"/>
    <w:rsid w:val="00130B80"/>
    <w:rsid w:val="00130F9B"/>
    <w:rsid w:val="001311B9"/>
    <w:rsid w:val="001316A9"/>
    <w:rsid w:val="0013188C"/>
    <w:rsid w:val="001318E8"/>
    <w:rsid w:val="0013283B"/>
    <w:rsid w:val="00133E7F"/>
    <w:rsid w:val="0013473A"/>
    <w:rsid w:val="00134EEB"/>
    <w:rsid w:val="00135354"/>
    <w:rsid w:val="00135C66"/>
    <w:rsid w:val="00135F49"/>
    <w:rsid w:val="0013668E"/>
    <w:rsid w:val="00136ADD"/>
    <w:rsid w:val="00136DD8"/>
    <w:rsid w:val="00137ADB"/>
    <w:rsid w:val="001410CE"/>
    <w:rsid w:val="00141D6C"/>
    <w:rsid w:val="00142348"/>
    <w:rsid w:val="001427D1"/>
    <w:rsid w:val="00142C90"/>
    <w:rsid w:val="001435F2"/>
    <w:rsid w:val="00143B10"/>
    <w:rsid w:val="00145768"/>
    <w:rsid w:val="0014745B"/>
    <w:rsid w:val="0015007D"/>
    <w:rsid w:val="0015178A"/>
    <w:rsid w:val="00151F49"/>
    <w:rsid w:val="00152320"/>
    <w:rsid w:val="00152DDE"/>
    <w:rsid w:val="00152E66"/>
    <w:rsid w:val="001532B1"/>
    <w:rsid w:val="001533A6"/>
    <w:rsid w:val="00154547"/>
    <w:rsid w:val="001545F4"/>
    <w:rsid w:val="00154916"/>
    <w:rsid w:val="00154FCB"/>
    <w:rsid w:val="0015629B"/>
    <w:rsid w:val="001562AE"/>
    <w:rsid w:val="00156DE4"/>
    <w:rsid w:val="001571AA"/>
    <w:rsid w:val="0015774B"/>
    <w:rsid w:val="00157A68"/>
    <w:rsid w:val="00157D1C"/>
    <w:rsid w:val="001603C8"/>
    <w:rsid w:val="001606A9"/>
    <w:rsid w:val="00161683"/>
    <w:rsid w:val="001618EB"/>
    <w:rsid w:val="00161B92"/>
    <w:rsid w:val="00163042"/>
    <w:rsid w:val="001631DC"/>
    <w:rsid w:val="00163561"/>
    <w:rsid w:val="00163F63"/>
    <w:rsid w:val="00165446"/>
    <w:rsid w:val="00166472"/>
    <w:rsid w:val="00166A80"/>
    <w:rsid w:val="00166F15"/>
    <w:rsid w:val="0016749C"/>
    <w:rsid w:val="001704B2"/>
    <w:rsid w:val="001715B8"/>
    <w:rsid w:val="0017205B"/>
    <w:rsid w:val="00172817"/>
    <w:rsid w:val="00173085"/>
    <w:rsid w:val="0017358D"/>
    <w:rsid w:val="00174E5B"/>
    <w:rsid w:val="00176A41"/>
    <w:rsid w:val="001805FE"/>
    <w:rsid w:val="00182695"/>
    <w:rsid w:val="001826B5"/>
    <w:rsid w:val="001838A7"/>
    <w:rsid w:val="001845FF"/>
    <w:rsid w:val="00184ED6"/>
    <w:rsid w:val="00185242"/>
    <w:rsid w:val="0018592D"/>
    <w:rsid w:val="0018597C"/>
    <w:rsid w:val="001869E0"/>
    <w:rsid w:val="001901E8"/>
    <w:rsid w:val="0019045E"/>
    <w:rsid w:val="0019077A"/>
    <w:rsid w:val="0019098C"/>
    <w:rsid w:val="00190F17"/>
    <w:rsid w:val="00193042"/>
    <w:rsid w:val="001950B8"/>
    <w:rsid w:val="00195175"/>
    <w:rsid w:val="00195DEE"/>
    <w:rsid w:val="00196C5D"/>
    <w:rsid w:val="00196F5F"/>
    <w:rsid w:val="0019759D"/>
    <w:rsid w:val="00197AAA"/>
    <w:rsid w:val="001A07AB"/>
    <w:rsid w:val="001A0EEC"/>
    <w:rsid w:val="001A17E7"/>
    <w:rsid w:val="001A26FA"/>
    <w:rsid w:val="001A29E4"/>
    <w:rsid w:val="001A2A5C"/>
    <w:rsid w:val="001A42E3"/>
    <w:rsid w:val="001A42EF"/>
    <w:rsid w:val="001A4331"/>
    <w:rsid w:val="001A4928"/>
    <w:rsid w:val="001A5E77"/>
    <w:rsid w:val="001A6B04"/>
    <w:rsid w:val="001A6B24"/>
    <w:rsid w:val="001A7BFD"/>
    <w:rsid w:val="001A7E43"/>
    <w:rsid w:val="001B0ACB"/>
    <w:rsid w:val="001B0C98"/>
    <w:rsid w:val="001B2282"/>
    <w:rsid w:val="001B31B1"/>
    <w:rsid w:val="001B31D3"/>
    <w:rsid w:val="001B42BE"/>
    <w:rsid w:val="001B5EFC"/>
    <w:rsid w:val="001B79D1"/>
    <w:rsid w:val="001C052B"/>
    <w:rsid w:val="001C0BA6"/>
    <w:rsid w:val="001C0C24"/>
    <w:rsid w:val="001C0FB8"/>
    <w:rsid w:val="001C14E9"/>
    <w:rsid w:val="001C17CB"/>
    <w:rsid w:val="001C2076"/>
    <w:rsid w:val="001C24CC"/>
    <w:rsid w:val="001C2927"/>
    <w:rsid w:val="001C352C"/>
    <w:rsid w:val="001C398D"/>
    <w:rsid w:val="001C3D6F"/>
    <w:rsid w:val="001C3D75"/>
    <w:rsid w:val="001C4869"/>
    <w:rsid w:val="001C52DC"/>
    <w:rsid w:val="001C564E"/>
    <w:rsid w:val="001C6342"/>
    <w:rsid w:val="001C6988"/>
    <w:rsid w:val="001C6F13"/>
    <w:rsid w:val="001D075A"/>
    <w:rsid w:val="001D0762"/>
    <w:rsid w:val="001D0771"/>
    <w:rsid w:val="001D1446"/>
    <w:rsid w:val="001D1EBF"/>
    <w:rsid w:val="001D22F4"/>
    <w:rsid w:val="001D2378"/>
    <w:rsid w:val="001D2581"/>
    <w:rsid w:val="001D55CD"/>
    <w:rsid w:val="001D5823"/>
    <w:rsid w:val="001D5A12"/>
    <w:rsid w:val="001D6D8D"/>
    <w:rsid w:val="001D71CD"/>
    <w:rsid w:val="001D7A8A"/>
    <w:rsid w:val="001E0E01"/>
    <w:rsid w:val="001E1530"/>
    <w:rsid w:val="001E2063"/>
    <w:rsid w:val="001E3165"/>
    <w:rsid w:val="001E347E"/>
    <w:rsid w:val="001E35C3"/>
    <w:rsid w:val="001E48A7"/>
    <w:rsid w:val="001E4A7A"/>
    <w:rsid w:val="001E5725"/>
    <w:rsid w:val="001E69E7"/>
    <w:rsid w:val="001E6FC2"/>
    <w:rsid w:val="001F0E0F"/>
    <w:rsid w:val="001F0EDE"/>
    <w:rsid w:val="001F0F0C"/>
    <w:rsid w:val="001F11D1"/>
    <w:rsid w:val="001F1A9B"/>
    <w:rsid w:val="001F2352"/>
    <w:rsid w:val="001F25A6"/>
    <w:rsid w:val="001F30EF"/>
    <w:rsid w:val="001F4429"/>
    <w:rsid w:val="001F5757"/>
    <w:rsid w:val="001F5994"/>
    <w:rsid w:val="001F5B5F"/>
    <w:rsid w:val="001F69C0"/>
    <w:rsid w:val="001F7100"/>
    <w:rsid w:val="001F7222"/>
    <w:rsid w:val="001F7391"/>
    <w:rsid w:val="001F7E10"/>
    <w:rsid w:val="0020002E"/>
    <w:rsid w:val="002010EF"/>
    <w:rsid w:val="00201C03"/>
    <w:rsid w:val="00204771"/>
    <w:rsid w:val="00204BB5"/>
    <w:rsid w:val="00204F92"/>
    <w:rsid w:val="0020545D"/>
    <w:rsid w:val="00205CAE"/>
    <w:rsid w:val="002064D3"/>
    <w:rsid w:val="00206812"/>
    <w:rsid w:val="00206842"/>
    <w:rsid w:val="002076B5"/>
    <w:rsid w:val="002101B0"/>
    <w:rsid w:val="0021031E"/>
    <w:rsid w:val="00211306"/>
    <w:rsid w:val="002113D9"/>
    <w:rsid w:val="00212CD6"/>
    <w:rsid w:val="00212FE1"/>
    <w:rsid w:val="00213993"/>
    <w:rsid w:val="00214258"/>
    <w:rsid w:val="00215121"/>
    <w:rsid w:val="00216915"/>
    <w:rsid w:val="00216BCE"/>
    <w:rsid w:val="002175C2"/>
    <w:rsid w:val="00217985"/>
    <w:rsid w:val="002211F3"/>
    <w:rsid w:val="0022134D"/>
    <w:rsid w:val="00221B72"/>
    <w:rsid w:val="002224C5"/>
    <w:rsid w:val="00222991"/>
    <w:rsid w:val="00222B42"/>
    <w:rsid w:val="00223857"/>
    <w:rsid w:val="00224C88"/>
    <w:rsid w:val="00224D5D"/>
    <w:rsid w:val="00224F96"/>
    <w:rsid w:val="00225C6C"/>
    <w:rsid w:val="002264E3"/>
    <w:rsid w:val="00226762"/>
    <w:rsid w:val="002270AD"/>
    <w:rsid w:val="002279ED"/>
    <w:rsid w:val="00230091"/>
    <w:rsid w:val="002308E9"/>
    <w:rsid w:val="002309A0"/>
    <w:rsid w:val="00230E5C"/>
    <w:rsid w:val="0023117A"/>
    <w:rsid w:val="00231B47"/>
    <w:rsid w:val="00232F08"/>
    <w:rsid w:val="00232FC1"/>
    <w:rsid w:val="0023441F"/>
    <w:rsid w:val="002344E9"/>
    <w:rsid w:val="00234E2E"/>
    <w:rsid w:val="00236870"/>
    <w:rsid w:val="00236DCF"/>
    <w:rsid w:val="00237E48"/>
    <w:rsid w:val="0024147B"/>
    <w:rsid w:val="0024158A"/>
    <w:rsid w:val="002415AE"/>
    <w:rsid w:val="002415FA"/>
    <w:rsid w:val="0024186B"/>
    <w:rsid w:val="00241E12"/>
    <w:rsid w:val="0024207F"/>
    <w:rsid w:val="002422D0"/>
    <w:rsid w:val="00242766"/>
    <w:rsid w:val="0024326D"/>
    <w:rsid w:val="00243F5F"/>
    <w:rsid w:val="00244718"/>
    <w:rsid w:val="00244928"/>
    <w:rsid w:val="00245181"/>
    <w:rsid w:val="002479FF"/>
    <w:rsid w:val="00250F70"/>
    <w:rsid w:val="00251FAF"/>
    <w:rsid w:val="002527FE"/>
    <w:rsid w:val="0025284B"/>
    <w:rsid w:val="00252AFC"/>
    <w:rsid w:val="00253CB3"/>
    <w:rsid w:val="00253FA0"/>
    <w:rsid w:val="00253FE1"/>
    <w:rsid w:val="0025404F"/>
    <w:rsid w:val="0025461A"/>
    <w:rsid w:val="00254750"/>
    <w:rsid w:val="00254EB8"/>
    <w:rsid w:val="00254FA7"/>
    <w:rsid w:val="00255B54"/>
    <w:rsid w:val="002564AB"/>
    <w:rsid w:val="002566A3"/>
    <w:rsid w:val="002570C6"/>
    <w:rsid w:val="0025736A"/>
    <w:rsid w:val="002578A3"/>
    <w:rsid w:val="00257FC8"/>
    <w:rsid w:val="002606ED"/>
    <w:rsid w:val="00260791"/>
    <w:rsid w:val="0026179E"/>
    <w:rsid w:val="00262A82"/>
    <w:rsid w:val="00263C7F"/>
    <w:rsid w:val="00263EFE"/>
    <w:rsid w:val="002655E7"/>
    <w:rsid w:val="0026573C"/>
    <w:rsid w:val="00265BB3"/>
    <w:rsid w:val="002703FF"/>
    <w:rsid w:val="00270754"/>
    <w:rsid w:val="00270796"/>
    <w:rsid w:val="00270944"/>
    <w:rsid w:val="002715B2"/>
    <w:rsid w:val="002715F6"/>
    <w:rsid w:val="00273A7A"/>
    <w:rsid w:val="00273AE3"/>
    <w:rsid w:val="0027415F"/>
    <w:rsid w:val="002760D6"/>
    <w:rsid w:val="00276CF7"/>
    <w:rsid w:val="002773AD"/>
    <w:rsid w:val="00277C4C"/>
    <w:rsid w:val="00280153"/>
    <w:rsid w:val="00281603"/>
    <w:rsid w:val="002819CF"/>
    <w:rsid w:val="00281D87"/>
    <w:rsid w:val="00282694"/>
    <w:rsid w:val="002832D6"/>
    <w:rsid w:val="00283459"/>
    <w:rsid w:val="00283B62"/>
    <w:rsid w:val="00283D9D"/>
    <w:rsid w:val="0028409E"/>
    <w:rsid w:val="00284102"/>
    <w:rsid w:val="002855B2"/>
    <w:rsid w:val="00285693"/>
    <w:rsid w:val="0028589E"/>
    <w:rsid w:val="00285CF8"/>
    <w:rsid w:val="002865EB"/>
    <w:rsid w:val="00287714"/>
    <w:rsid w:val="00287C9D"/>
    <w:rsid w:val="00287E82"/>
    <w:rsid w:val="00291035"/>
    <w:rsid w:val="00291151"/>
    <w:rsid w:val="00291C66"/>
    <w:rsid w:val="00293276"/>
    <w:rsid w:val="00293341"/>
    <w:rsid w:val="00293BDC"/>
    <w:rsid w:val="0029419A"/>
    <w:rsid w:val="00294257"/>
    <w:rsid w:val="00294B7F"/>
    <w:rsid w:val="00294DB3"/>
    <w:rsid w:val="002957B4"/>
    <w:rsid w:val="00296017"/>
    <w:rsid w:val="002966ED"/>
    <w:rsid w:val="00297B08"/>
    <w:rsid w:val="00297F2D"/>
    <w:rsid w:val="002A06AD"/>
    <w:rsid w:val="002A1812"/>
    <w:rsid w:val="002A191B"/>
    <w:rsid w:val="002A31B3"/>
    <w:rsid w:val="002A4305"/>
    <w:rsid w:val="002A5E16"/>
    <w:rsid w:val="002A5EA6"/>
    <w:rsid w:val="002A70E4"/>
    <w:rsid w:val="002A7FDB"/>
    <w:rsid w:val="002B1AEB"/>
    <w:rsid w:val="002B28F6"/>
    <w:rsid w:val="002B2E2C"/>
    <w:rsid w:val="002B2F2B"/>
    <w:rsid w:val="002B2F9F"/>
    <w:rsid w:val="002B3573"/>
    <w:rsid w:val="002B3ADA"/>
    <w:rsid w:val="002B425F"/>
    <w:rsid w:val="002B517C"/>
    <w:rsid w:val="002B5444"/>
    <w:rsid w:val="002B5AD4"/>
    <w:rsid w:val="002B6F9C"/>
    <w:rsid w:val="002B7ABE"/>
    <w:rsid w:val="002B7B9B"/>
    <w:rsid w:val="002B7BC5"/>
    <w:rsid w:val="002B7D32"/>
    <w:rsid w:val="002C0864"/>
    <w:rsid w:val="002C102D"/>
    <w:rsid w:val="002C1206"/>
    <w:rsid w:val="002C231C"/>
    <w:rsid w:val="002C2E34"/>
    <w:rsid w:val="002C34C0"/>
    <w:rsid w:val="002C3B95"/>
    <w:rsid w:val="002C415D"/>
    <w:rsid w:val="002C4564"/>
    <w:rsid w:val="002C4800"/>
    <w:rsid w:val="002C4BB6"/>
    <w:rsid w:val="002C4E38"/>
    <w:rsid w:val="002C4F61"/>
    <w:rsid w:val="002C542A"/>
    <w:rsid w:val="002C5E08"/>
    <w:rsid w:val="002C68A6"/>
    <w:rsid w:val="002C698F"/>
    <w:rsid w:val="002C712F"/>
    <w:rsid w:val="002C71C1"/>
    <w:rsid w:val="002C7C0B"/>
    <w:rsid w:val="002C7C28"/>
    <w:rsid w:val="002C7E8B"/>
    <w:rsid w:val="002D01AA"/>
    <w:rsid w:val="002D08BE"/>
    <w:rsid w:val="002D0CFF"/>
    <w:rsid w:val="002D0F9B"/>
    <w:rsid w:val="002D172A"/>
    <w:rsid w:val="002D17BD"/>
    <w:rsid w:val="002D1EEF"/>
    <w:rsid w:val="002D2917"/>
    <w:rsid w:val="002D2C4E"/>
    <w:rsid w:val="002D338A"/>
    <w:rsid w:val="002D33FD"/>
    <w:rsid w:val="002D3539"/>
    <w:rsid w:val="002D3D1E"/>
    <w:rsid w:val="002D4087"/>
    <w:rsid w:val="002D44BB"/>
    <w:rsid w:val="002D4E4A"/>
    <w:rsid w:val="002D4F5F"/>
    <w:rsid w:val="002D5329"/>
    <w:rsid w:val="002D5CD8"/>
    <w:rsid w:val="002D61B3"/>
    <w:rsid w:val="002D6541"/>
    <w:rsid w:val="002E0D5D"/>
    <w:rsid w:val="002E1272"/>
    <w:rsid w:val="002E1630"/>
    <w:rsid w:val="002E1C0B"/>
    <w:rsid w:val="002E1C47"/>
    <w:rsid w:val="002E22E5"/>
    <w:rsid w:val="002E29C5"/>
    <w:rsid w:val="002E404F"/>
    <w:rsid w:val="002E4303"/>
    <w:rsid w:val="002E5E3F"/>
    <w:rsid w:val="002E6631"/>
    <w:rsid w:val="002E6D84"/>
    <w:rsid w:val="002E7088"/>
    <w:rsid w:val="002E7423"/>
    <w:rsid w:val="002F019B"/>
    <w:rsid w:val="002F1247"/>
    <w:rsid w:val="002F13DF"/>
    <w:rsid w:val="002F18F3"/>
    <w:rsid w:val="002F1A86"/>
    <w:rsid w:val="002F2373"/>
    <w:rsid w:val="002F25A3"/>
    <w:rsid w:val="002F2851"/>
    <w:rsid w:val="002F2C1D"/>
    <w:rsid w:val="002F2D38"/>
    <w:rsid w:val="002F384D"/>
    <w:rsid w:val="002F4105"/>
    <w:rsid w:val="002F4125"/>
    <w:rsid w:val="002F4A9E"/>
    <w:rsid w:val="002F500C"/>
    <w:rsid w:val="002F50D8"/>
    <w:rsid w:val="002F5961"/>
    <w:rsid w:val="002F61F2"/>
    <w:rsid w:val="002F76A2"/>
    <w:rsid w:val="002F7A8E"/>
    <w:rsid w:val="003003B6"/>
    <w:rsid w:val="003005A3"/>
    <w:rsid w:val="00300DA5"/>
    <w:rsid w:val="003015DB"/>
    <w:rsid w:val="00302238"/>
    <w:rsid w:val="0030410E"/>
    <w:rsid w:val="00304673"/>
    <w:rsid w:val="00304874"/>
    <w:rsid w:val="0030679A"/>
    <w:rsid w:val="00306CFE"/>
    <w:rsid w:val="00307C7E"/>
    <w:rsid w:val="00307CDE"/>
    <w:rsid w:val="003104E0"/>
    <w:rsid w:val="0031057F"/>
    <w:rsid w:val="00310D25"/>
    <w:rsid w:val="00311358"/>
    <w:rsid w:val="003118DC"/>
    <w:rsid w:val="00311D64"/>
    <w:rsid w:val="003126E6"/>
    <w:rsid w:val="00312820"/>
    <w:rsid w:val="0031295F"/>
    <w:rsid w:val="00313A28"/>
    <w:rsid w:val="003147A2"/>
    <w:rsid w:val="00315B36"/>
    <w:rsid w:val="00315FDF"/>
    <w:rsid w:val="00317090"/>
    <w:rsid w:val="003206B3"/>
    <w:rsid w:val="00320B19"/>
    <w:rsid w:val="00320B4F"/>
    <w:rsid w:val="00321F49"/>
    <w:rsid w:val="00322584"/>
    <w:rsid w:val="003248AF"/>
    <w:rsid w:val="00324A40"/>
    <w:rsid w:val="00324AF2"/>
    <w:rsid w:val="00324D60"/>
    <w:rsid w:val="00325412"/>
    <w:rsid w:val="0032562E"/>
    <w:rsid w:val="00326626"/>
    <w:rsid w:val="00326B06"/>
    <w:rsid w:val="00326B92"/>
    <w:rsid w:val="00326CA3"/>
    <w:rsid w:val="003273B5"/>
    <w:rsid w:val="00327719"/>
    <w:rsid w:val="003302D0"/>
    <w:rsid w:val="003304CC"/>
    <w:rsid w:val="00331345"/>
    <w:rsid w:val="00331DB1"/>
    <w:rsid w:val="00332309"/>
    <w:rsid w:val="003324B4"/>
    <w:rsid w:val="00332E3C"/>
    <w:rsid w:val="00332E83"/>
    <w:rsid w:val="00332F85"/>
    <w:rsid w:val="003332CE"/>
    <w:rsid w:val="00333A40"/>
    <w:rsid w:val="00333E7C"/>
    <w:rsid w:val="00334232"/>
    <w:rsid w:val="0033425A"/>
    <w:rsid w:val="00334C44"/>
    <w:rsid w:val="00335D6C"/>
    <w:rsid w:val="00336609"/>
    <w:rsid w:val="00336C58"/>
    <w:rsid w:val="00336E83"/>
    <w:rsid w:val="0033711F"/>
    <w:rsid w:val="00337BE3"/>
    <w:rsid w:val="00337E02"/>
    <w:rsid w:val="0034030A"/>
    <w:rsid w:val="00341FBF"/>
    <w:rsid w:val="00342185"/>
    <w:rsid w:val="003422DA"/>
    <w:rsid w:val="00342E1E"/>
    <w:rsid w:val="00343EFF"/>
    <w:rsid w:val="00344A7A"/>
    <w:rsid w:val="00345C49"/>
    <w:rsid w:val="00346714"/>
    <w:rsid w:val="00346733"/>
    <w:rsid w:val="00347DFE"/>
    <w:rsid w:val="0035091E"/>
    <w:rsid w:val="00350A00"/>
    <w:rsid w:val="00350E30"/>
    <w:rsid w:val="00351602"/>
    <w:rsid w:val="0035236B"/>
    <w:rsid w:val="0035299A"/>
    <w:rsid w:val="00352B09"/>
    <w:rsid w:val="0035365A"/>
    <w:rsid w:val="00353E97"/>
    <w:rsid w:val="00354BC5"/>
    <w:rsid w:val="003556BA"/>
    <w:rsid w:val="003569B0"/>
    <w:rsid w:val="00356F7F"/>
    <w:rsid w:val="0035789E"/>
    <w:rsid w:val="003615B2"/>
    <w:rsid w:val="00361B01"/>
    <w:rsid w:val="00361F62"/>
    <w:rsid w:val="00362261"/>
    <w:rsid w:val="003626C0"/>
    <w:rsid w:val="003627FF"/>
    <w:rsid w:val="00362C36"/>
    <w:rsid w:val="00363085"/>
    <w:rsid w:val="00363BF5"/>
    <w:rsid w:val="00364670"/>
    <w:rsid w:val="0036504E"/>
    <w:rsid w:val="00365649"/>
    <w:rsid w:val="00365860"/>
    <w:rsid w:val="00365ED8"/>
    <w:rsid w:val="00367409"/>
    <w:rsid w:val="0036765E"/>
    <w:rsid w:val="003677DD"/>
    <w:rsid w:val="003706CD"/>
    <w:rsid w:val="00371009"/>
    <w:rsid w:val="003714D8"/>
    <w:rsid w:val="00372C9D"/>
    <w:rsid w:val="00372D9D"/>
    <w:rsid w:val="003730B6"/>
    <w:rsid w:val="00373B8D"/>
    <w:rsid w:val="00374150"/>
    <w:rsid w:val="00376CFA"/>
    <w:rsid w:val="00377236"/>
    <w:rsid w:val="0038116F"/>
    <w:rsid w:val="00381336"/>
    <w:rsid w:val="003817E1"/>
    <w:rsid w:val="00382072"/>
    <w:rsid w:val="00382183"/>
    <w:rsid w:val="0038277F"/>
    <w:rsid w:val="00382A9E"/>
    <w:rsid w:val="00382AC2"/>
    <w:rsid w:val="00383117"/>
    <w:rsid w:val="00383621"/>
    <w:rsid w:val="00383C16"/>
    <w:rsid w:val="00384260"/>
    <w:rsid w:val="00384433"/>
    <w:rsid w:val="00384BED"/>
    <w:rsid w:val="00385892"/>
    <w:rsid w:val="00386302"/>
    <w:rsid w:val="00386BEC"/>
    <w:rsid w:val="00386FA6"/>
    <w:rsid w:val="00387088"/>
    <w:rsid w:val="00387927"/>
    <w:rsid w:val="00390098"/>
    <w:rsid w:val="00390878"/>
    <w:rsid w:val="00391887"/>
    <w:rsid w:val="00392418"/>
    <w:rsid w:val="003932BE"/>
    <w:rsid w:val="0039347F"/>
    <w:rsid w:val="00393572"/>
    <w:rsid w:val="00393D3C"/>
    <w:rsid w:val="003942DE"/>
    <w:rsid w:val="00394E97"/>
    <w:rsid w:val="0039543C"/>
    <w:rsid w:val="00395B14"/>
    <w:rsid w:val="00395C8B"/>
    <w:rsid w:val="00396333"/>
    <w:rsid w:val="00396ED6"/>
    <w:rsid w:val="00396F11"/>
    <w:rsid w:val="00397618"/>
    <w:rsid w:val="003A04FC"/>
    <w:rsid w:val="003A0D31"/>
    <w:rsid w:val="003A18C6"/>
    <w:rsid w:val="003A23CA"/>
    <w:rsid w:val="003A2AA1"/>
    <w:rsid w:val="003A2BED"/>
    <w:rsid w:val="003A396E"/>
    <w:rsid w:val="003A4B88"/>
    <w:rsid w:val="003A51DE"/>
    <w:rsid w:val="003A5309"/>
    <w:rsid w:val="003A6421"/>
    <w:rsid w:val="003A6638"/>
    <w:rsid w:val="003A6DFA"/>
    <w:rsid w:val="003A7223"/>
    <w:rsid w:val="003A7460"/>
    <w:rsid w:val="003B008C"/>
    <w:rsid w:val="003B12A9"/>
    <w:rsid w:val="003B1767"/>
    <w:rsid w:val="003B193D"/>
    <w:rsid w:val="003B1C28"/>
    <w:rsid w:val="003B265B"/>
    <w:rsid w:val="003B2D33"/>
    <w:rsid w:val="003B31E4"/>
    <w:rsid w:val="003B33A3"/>
    <w:rsid w:val="003B3746"/>
    <w:rsid w:val="003B39B1"/>
    <w:rsid w:val="003B3B47"/>
    <w:rsid w:val="003B3D78"/>
    <w:rsid w:val="003B49B1"/>
    <w:rsid w:val="003B5D04"/>
    <w:rsid w:val="003B5D2A"/>
    <w:rsid w:val="003B5F5E"/>
    <w:rsid w:val="003B649A"/>
    <w:rsid w:val="003B77EA"/>
    <w:rsid w:val="003B78D0"/>
    <w:rsid w:val="003B78E8"/>
    <w:rsid w:val="003B78E9"/>
    <w:rsid w:val="003B7F25"/>
    <w:rsid w:val="003C00CD"/>
    <w:rsid w:val="003C0B2C"/>
    <w:rsid w:val="003C0F27"/>
    <w:rsid w:val="003C11AF"/>
    <w:rsid w:val="003C1D9A"/>
    <w:rsid w:val="003C2202"/>
    <w:rsid w:val="003C3155"/>
    <w:rsid w:val="003C320D"/>
    <w:rsid w:val="003C3AD3"/>
    <w:rsid w:val="003C3D91"/>
    <w:rsid w:val="003C5AAC"/>
    <w:rsid w:val="003C5B64"/>
    <w:rsid w:val="003C5DEB"/>
    <w:rsid w:val="003C5F55"/>
    <w:rsid w:val="003C62B9"/>
    <w:rsid w:val="003C66DD"/>
    <w:rsid w:val="003C70A5"/>
    <w:rsid w:val="003D2177"/>
    <w:rsid w:val="003D2AC3"/>
    <w:rsid w:val="003D4C4E"/>
    <w:rsid w:val="003D5011"/>
    <w:rsid w:val="003D5BB3"/>
    <w:rsid w:val="003D64B3"/>
    <w:rsid w:val="003D7755"/>
    <w:rsid w:val="003D79AB"/>
    <w:rsid w:val="003E05CF"/>
    <w:rsid w:val="003E08C9"/>
    <w:rsid w:val="003E0E50"/>
    <w:rsid w:val="003E24BE"/>
    <w:rsid w:val="003E3380"/>
    <w:rsid w:val="003E3DF1"/>
    <w:rsid w:val="003E4F24"/>
    <w:rsid w:val="003E512A"/>
    <w:rsid w:val="003E5362"/>
    <w:rsid w:val="003E578A"/>
    <w:rsid w:val="003E6555"/>
    <w:rsid w:val="003E6C8B"/>
    <w:rsid w:val="003E7166"/>
    <w:rsid w:val="003F047D"/>
    <w:rsid w:val="003F0727"/>
    <w:rsid w:val="003F0B9D"/>
    <w:rsid w:val="003F0C20"/>
    <w:rsid w:val="003F0C50"/>
    <w:rsid w:val="003F0DE2"/>
    <w:rsid w:val="003F0F18"/>
    <w:rsid w:val="003F15B2"/>
    <w:rsid w:val="003F28FA"/>
    <w:rsid w:val="003F3EF9"/>
    <w:rsid w:val="003F540C"/>
    <w:rsid w:val="003F5C80"/>
    <w:rsid w:val="003F5CF8"/>
    <w:rsid w:val="003F74AC"/>
    <w:rsid w:val="003F76BB"/>
    <w:rsid w:val="003F7872"/>
    <w:rsid w:val="003F7CF2"/>
    <w:rsid w:val="003F7EDF"/>
    <w:rsid w:val="004001FB"/>
    <w:rsid w:val="004005C8"/>
    <w:rsid w:val="00401204"/>
    <w:rsid w:val="004021AE"/>
    <w:rsid w:val="0040284A"/>
    <w:rsid w:val="0040299D"/>
    <w:rsid w:val="00402BAD"/>
    <w:rsid w:val="00403468"/>
    <w:rsid w:val="00403F73"/>
    <w:rsid w:val="00404F59"/>
    <w:rsid w:val="00405567"/>
    <w:rsid w:val="00405768"/>
    <w:rsid w:val="004064C8"/>
    <w:rsid w:val="0040672B"/>
    <w:rsid w:val="00407545"/>
    <w:rsid w:val="00410910"/>
    <w:rsid w:val="00410D90"/>
    <w:rsid w:val="00411376"/>
    <w:rsid w:val="004137C2"/>
    <w:rsid w:val="00413815"/>
    <w:rsid w:val="00414C18"/>
    <w:rsid w:val="00415A6E"/>
    <w:rsid w:val="00415E75"/>
    <w:rsid w:val="0041614E"/>
    <w:rsid w:val="0041624E"/>
    <w:rsid w:val="004162AD"/>
    <w:rsid w:val="00416945"/>
    <w:rsid w:val="00416DD3"/>
    <w:rsid w:val="004170D5"/>
    <w:rsid w:val="00417975"/>
    <w:rsid w:val="00421001"/>
    <w:rsid w:val="004222A7"/>
    <w:rsid w:val="00422453"/>
    <w:rsid w:val="004240B7"/>
    <w:rsid w:val="00424166"/>
    <w:rsid w:val="0042425C"/>
    <w:rsid w:val="004248F4"/>
    <w:rsid w:val="00424997"/>
    <w:rsid w:val="00424E1F"/>
    <w:rsid w:val="00425473"/>
    <w:rsid w:val="00425E3D"/>
    <w:rsid w:val="00426A67"/>
    <w:rsid w:val="00426AEF"/>
    <w:rsid w:val="00427293"/>
    <w:rsid w:val="00430484"/>
    <w:rsid w:val="00430760"/>
    <w:rsid w:val="0043112E"/>
    <w:rsid w:val="004317D7"/>
    <w:rsid w:val="004319EC"/>
    <w:rsid w:val="00431AC9"/>
    <w:rsid w:val="00432A04"/>
    <w:rsid w:val="00433AF5"/>
    <w:rsid w:val="00434180"/>
    <w:rsid w:val="00434998"/>
    <w:rsid w:val="004356C5"/>
    <w:rsid w:val="00435E3F"/>
    <w:rsid w:val="00436330"/>
    <w:rsid w:val="004368E5"/>
    <w:rsid w:val="00436CDC"/>
    <w:rsid w:val="00436E66"/>
    <w:rsid w:val="0043743A"/>
    <w:rsid w:val="0043789A"/>
    <w:rsid w:val="00437FEE"/>
    <w:rsid w:val="00440218"/>
    <w:rsid w:val="00440527"/>
    <w:rsid w:val="00440783"/>
    <w:rsid w:val="004407B6"/>
    <w:rsid w:val="00440C9C"/>
    <w:rsid w:val="0044246A"/>
    <w:rsid w:val="00442CB8"/>
    <w:rsid w:val="0044354C"/>
    <w:rsid w:val="0044461A"/>
    <w:rsid w:val="00444AF2"/>
    <w:rsid w:val="00444E61"/>
    <w:rsid w:val="00446723"/>
    <w:rsid w:val="00446DED"/>
    <w:rsid w:val="0044749C"/>
    <w:rsid w:val="00447738"/>
    <w:rsid w:val="00447DF9"/>
    <w:rsid w:val="00450A19"/>
    <w:rsid w:val="0045123A"/>
    <w:rsid w:val="00451324"/>
    <w:rsid w:val="00453D04"/>
    <w:rsid w:val="0045487B"/>
    <w:rsid w:val="00454DB8"/>
    <w:rsid w:val="004552BB"/>
    <w:rsid w:val="00455321"/>
    <w:rsid w:val="004558F3"/>
    <w:rsid w:val="00455934"/>
    <w:rsid w:val="00456B76"/>
    <w:rsid w:val="00457315"/>
    <w:rsid w:val="004577DD"/>
    <w:rsid w:val="00460468"/>
    <w:rsid w:val="0046077A"/>
    <w:rsid w:val="004608A7"/>
    <w:rsid w:val="00460B02"/>
    <w:rsid w:val="004615B3"/>
    <w:rsid w:val="004617F5"/>
    <w:rsid w:val="00461C00"/>
    <w:rsid w:val="00461CA3"/>
    <w:rsid w:val="00461ECC"/>
    <w:rsid w:val="00462479"/>
    <w:rsid w:val="00462A26"/>
    <w:rsid w:val="00462A31"/>
    <w:rsid w:val="00463F2A"/>
    <w:rsid w:val="00464314"/>
    <w:rsid w:val="00464701"/>
    <w:rsid w:val="004648FF"/>
    <w:rsid w:val="004656DB"/>
    <w:rsid w:val="004668A6"/>
    <w:rsid w:val="004669DF"/>
    <w:rsid w:val="00466A65"/>
    <w:rsid w:val="00466F15"/>
    <w:rsid w:val="0046736B"/>
    <w:rsid w:val="00467DA8"/>
    <w:rsid w:val="00467DE4"/>
    <w:rsid w:val="004702FB"/>
    <w:rsid w:val="004709E9"/>
    <w:rsid w:val="00471FFB"/>
    <w:rsid w:val="00473E76"/>
    <w:rsid w:val="00474EB7"/>
    <w:rsid w:val="00474F56"/>
    <w:rsid w:val="00475C5E"/>
    <w:rsid w:val="00477F34"/>
    <w:rsid w:val="004803A2"/>
    <w:rsid w:val="004806AE"/>
    <w:rsid w:val="00480E8C"/>
    <w:rsid w:val="0048139F"/>
    <w:rsid w:val="00481A12"/>
    <w:rsid w:val="00481F47"/>
    <w:rsid w:val="004821EB"/>
    <w:rsid w:val="004843C4"/>
    <w:rsid w:val="00484519"/>
    <w:rsid w:val="00485298"/>
    <w:rsid w:val="004856D0"/>
    <w:rsid w:val="00486C3B"/>
    <w:rsid w:val="004879F2"/>
    <w:rsid w:val="00487B95"/>
    <w:rsid w:val="00487F59"/>
    <w:rsid w:val="0049054B"/>
    <w:rsid w:val="00490627"/>
    <w:rsid w:val="00490629"/>
    <w:rsid w:val="00490A58"/>
    <w:rsid w:val="004913A6"/>
    <w:rsid w:val="00491FBB"/>
    <w:rsid w:val="004921BE"/>
    <w:rsid w:val="00493204"/>
    <w:rsid w:val="00494103"/>
    <w:rsid w:val="004943CD"/>
    <w:rsid w:val="00494E9B"/>
    <w:rsid w:val="0049617E"/>
    <w:rsid w:val="00496E71"/>
    <w:rsid w:val="004970C9"/>
    <w:rsid w:val="004A0270"/>
    <w:rsid w:val="004A0C87"/>
    <w:rsid w:val="004A0E1F"/>
    <w:rsid w:val="004A1113"/>
    <w:rsid w:val="004A24B2"/>
    <w:rsid w:val="004A26E7"/>
    <w:rsid w:val="004A2DF7"/>
    <w:rsid w:val="004A396D"/>
    <w:rsid w:val="004A4172"/>
    <w:rsid w:val="004A5043"/>
    <w:rsid w:val="004A52A4"/>
    <w:rsid w:val="004A5809"/>
    <w:rsid w:val="004A5B64"/>
    <w:rsid w:val="004A5E90"/>
    <w:rsid w:val="004A61DC"/>
    <w:rsid w:val="004A6389"/>
    <w:rsid w:val="004B2E54"/>
    <w:rsid w:val="004B2EF3"/>
    <w:rsid w:val="004B2FB6"/>
    <w:rsid w:val="004B42F7"/>
    <w:rsid w:val="004B4B05"/>
    <w:rsid w:val="004B5916"/>
    <w:rsid w:val="004B5CF5"/>
    <w:rsid w:val="004B5D4E"/>
    <w:rsid w:val="004B5E70"/>
    <w:rsid w:val="004B5E88"/>
    <w:rsid w:val="004B62F1"/>
    <w:rsid w:val="004B638F"/>
    <w:rsid w:val="004B6910"/>
    <w:rsid w:val="004B6AF6"/>
    <w:rsid w:val="004B7408"/>
    <w:rsid w:val="004B74F5"/>
    <w:rsid w:val="004B7A4A"/>
    <w:rsid w:val="004B7C1C"/>
    <w:rsid w:val="004B7D6B"/>
    <w:rsid w:val="004C041B"/>
    <w:rsid w:val="004C0733"/>
    <w:rsid w:val="004C0AC7"/>
    <w:rsid w:val="004C157B"/>
    <w:rsid w:val="004C1C65"/>
    <w:rsid w:val="004C1D34"/>
    <w:rsid w:val="004C2406"/>
    <w:rsid w:val="004C33C0"/>
    <w:rsid w:val="004C40C1"/>
    <w:rsid w:val="004C57E6"/>
    <w:rsid w:val="004C5CAD"/>
    <w:rsid w:val="004C6078"/>
    <w:rsid w:val="004C6BDA"/>
    <w:rsid w:val="004C6DFF"/>
    <w:rsid w:val="004C6F82"/>
    <w:rsid w:val="004C713D"/>
    <w:rsid w:val="004D04EC"/>
    <w:rsid w:val="004D1082"/>
    <w:rsid w:val="004D1A2C"/>
    <w:rsid w:val="004D23C1"/>
    <w:rsid w:val="004D28A5"/>
    <w:rsid w:val="004D3B2B"/>
    <w:rsid w:val="004D3CDD"/>
    <w:rsid w:val="004D4870"/>
    <w:rsid w:val="004D514B"/>
    <w:rsid w:val="004D5547"/>
    <w:rsid w:val="004D559F"/>
    <w:rsid w:val="004D56C6"/>
    <w:rsid w:val="004D6015"/>
    <w:rsid w:val="004D60CE"/>
    <w:rsid w:val="004D63C4"/>
    <w:rsid w:val="004D6B4F"/>
    <w:rsid w:val="004D6CA3"/>
    <w:rsid w:val="004D6CBA"/>
    <w:rsid w:val="004D7B67"/>
    <w:rsid w:val="004E01AE"/>
    <w:rsid w:val="004E04B4"/>
    <w:rsid w:val="004E09B5"/>
    <w:rsid w:val="004E0CBA"/>
    <w:rsid w:val="004E0D90"/>
    <w:rsid w:val="004E19DC"/>
    <w:rsid w:val="004E1B2A"/>
    <w:rsid w:val="004E2B33"/>
    <w:rsid w:val="004E4ABF"/>
    <w:rsid w:val="004E50CB"/>
    <w:rsid w:val="004E53F7"/>
    <w:rsid w:val="004E59DC"/>
    <w:rsid w:val="004E5EA9"/>
    <w:rsid w:val="004E6505"/>
    <w:rsid w:val="004E65C6"/>
    <w:rsid w:val="004E72A7"/>
    <w:rsid w:val="004F019E"/>
    <w:rsid w:val="004F0627"/>
    <w:rsid w:val="004F1949"/>
    <w:rsid w:val="004F2208"/>
    <w:rsid w:val="004F2AF6"/>
    <w:rsid w:val="004F4E6C"/>
    <w:rsid w:val="004F513E"/>
    <w:rsid w:val="004F5140"/>
    <w:rsid w:val="004F53ED"/>
    <w:rsid w:val="004F5F15"/>
    <w:rsid w:val="004F626B"/>
    <w:rsid w:val="004F66DE"/>
    <w:rsid w:val="004F675E"/>
    <w:rsid w:val="004F6CC1"/>
    <w:rsid w:val="004F6D47"/>
    <w:rsid w:val="004F76E8"/>
    <w:rsid w:val="005009D0"/>
    <w:rsid w:val="0050143F"/>
    <w:rsid w:val="00501739"/>
    <w:rsid w:val="00501CBB"/>
    <w:rsid w:val="0050233C"/>
    <w:rsid w:val="00502D54"/>
    <w:rsid w:val="005030DB"/>
    <w:rsid w:val="0050313B"/>
    <w:rsid w:val="00505E3B"/>
    <w:rsid w:val="00506598"/>
    <w:rsid w:val="00506829"/>
    <w:rsid w:val="00506B1B"/>
    <w:rsid w:val="00506D0F"/>
    <w:rsid w:val="00506D1B"/>
    <w:rsid w:val="00507BDD"/>
    <w:rsid w:val="00510A6F"/>
    <w:rsid w:val="00510F33"/>
    <w:rsid w:val="0051132A"/>
    <w:rsid w:val="00511B3E"/>
    <w:rsid w:val="00512124"/>
    <w:rsid w:val="0051353D"/>
    <w:rsid w:val="005143C1"/>
    <w:rsid w:val="00515702"/>
    <w:rsid w:val="005159ED"/>
    <w:rsid w:val="005161C8"/>
    <w:rsid w:val="0051674A"/>
    <w:rsid w:val="0051680C"/>
    <w:rsid w:val="00516E91"/>
    <w:rsid w:val="0051716C"/>
    <w:rsid w:val="00517499"/>
    <w:rsid w:val="00517602"/>
    <w:rsid w:val="00517A8E"/>
    <w:rsid w:val="00520E73"/>
    <w:rsid w:val="00522015"/>
    <w:rsid w:val="005220A9"/>
    <w:rsid w:val="00522A93"/>
    <w:rsid w:val="00523B22"/>
    <w:rsid w:val="00524D8A"/>
    <w:rsid w:val="00525674"/>
    <w:rsid w:val="00525983"/>
    <w:rsid w:val="00526571"/>
    <w:rsid w:val="00526674"/>
    <w:rsid w:val="00526ED6"/>
    <w:rsid w:val="00527279"/>
    <w:rsid w:val="005276C1"/>
    <w:rsid w:val="00527926"/>
    <w:rsid w:val="0052798C"/>
    <w:rsid w:val="00527E06"/>
    <w:rsid w:val="0053079F"/>
    <w:rsid w:val="005317BA"/>
    <w:rsid w:val="005328A6"/>
    <w:rsid w:val="00532C25"/>
    <w:rsid w:val="005330CA"/>
    <w:rsid w:val="00533579"/>
    <w:rsid w:val="00533C4D"/>
    <w:rsid w:val="00533FB9"/>
    <w:rsid w:val="00534D69"/>
    <w:rsid w:val="00535AF7"/>
    <w:rsid w:val="0053797F"/>
    <w:rsid w:val="00537C3B"/>
    <w:rsid w:val="00537C6E"/>
    <w:rsid w:val="00537C97"/>
    <w:rsid w:val="00540165"/>
    <w:rsid w:val="005403FA"/>
    <w:rsid w:val="00540468"/>
    <w:rsid w:val="00540EDF"/>
    <w:rsid w:val="00543130"/>
    <w:rsid w:val="005433C4"/>
    <w:rsid w:val="00543420"/>
    <w:rsid w:val="005436A0"/>
    <w:rsid w:val="00544472"/>
    <w:rsid w:val="005445BA"/>
    <w:rsid w:val="0054470A"/>
    <w:rsid w:val="00544798"/>
    <w:rsid w:val="005452F1"/>
    <w:rsid w:val="00545A67"/>
    <w:rsid w:val="00545C94"/>
    <w:rsid w:val="00545F2D"/>
    <w:rsid w:val="005461DB"/>
    <w:rsid w:val="005474FA"/>
    <w:rsid w:val="005504C8"/>
    <w:rsid w:val="005509A3"/>
    <w:rsid w:val="00551A24"/>
    <w:rsid w:val="0055202A"/>
    <w:rsid w:val="005527B9"/>
    <w:rsid w:val="00553014"/>
    <w:rsid w:val="0055382A"/>
    <w:rsid w:val="00553A27"/>
    <w:rsid w:val="00553B69"/>
    <w:rsid w:val="00554389"/>
    <w:rsid w:val="0055460F"/>
    <w:rsid w:val="00554AC0"/>
    <w:rsid w:val="005558C3"/>
    <w:rsid w:val="005576DB"/>
    <w:rsid w:val="00560B66"/>
    <w:rsid w:val="00561D9A"/>
    <w:rsid w:val="0056219F"/>
    <w:rsid w:val="0056284E"/>
    <w:rsid w:val="00563186"/>
    <w:rsid w:val="005634B1"/>
    <w:rsid w:val="00563806"/>
    <w:rsid w:val="00563A86"/>
    <w:rsid w:val="00563E75"/>
    <w:rsid w:val="00564A5D"/>
    <w:rsid w:val="005657F9"/>
    <w:rsid w:val="00566F8B"/>
    <w:rsid w:val="005673E0"/>
    <w:rsid w:val="005708D9"/>
    <w:rsid w:val="005709D5"/>
    <w:rsid w:val="005712D7"/>
    <w:rsid w:val="00571447"/>
    <w:rsid w:val="005715A9"/>
    <w:rsid w:val="00571C2D"/>
    <w:rsid w:val="005731F0"/>
    <w:rsid w:val="00573499"/>
    <w:rsid w:val="00573629"/>
    <w:rsid w:val="00573886"/>
    <w:rsid w:val="00575567"/>
    <w:rsid w:val="00576BE0"/>
    <w:rsid w:val="00577D7A"/>
    <w:rsid w:val="00580558"/>
    <w:rsid w:val="00581386"/>
    <w:rsid w:val="00581AA1"/>
    <w:rsid w:val="00582AAF"/>
    <w:rsid w:val="00583034"/>
    <w:rsid w:val="00583880"/>
    <w:rsid w:val="00583F80"/>
    <w:rsid w:val="005840D6"/>
    <w:rsid w:val="00584780"/>
    <w:rsid w:val="005847B3"/>
    <w:rsid w:val="00585C6E"/>
    <w:rsid w:val="0058615E"/>
    <w:rsid w:val="00586AD8"/>
    <w:rsid w:val="00586B96"/>
    <w:rsid w:val="00587AAF"/>
    <w:rsid w:val="00590567"/>
    <w:rsid w:val="00590EF4"/>
    <w:rsid w:val="00590FAA"/>
    <w:rsid w:val="00591390"/>
    <w:rsid w:val="00591396"/>
    <w:rsid w:val="005917E8"/>
    <w:rsid w:val="00591980"/>
    <w:rsid w:val="00591FA5"/>
    <w:rsid w:val="00592021"/>
    <w:rsid w:val="00594149"/>
    <w:rsid w:val="00594276"/>
    <w:rsid w:val="005949F0"/>
    <w:rsid w:val="00595002"/>
    <w:rsid w:val="005959F0"/>
    <w:rsid w:val="00595BFA"/>
    <w:rsid w:val="00596960"/>
    <w:rsid w:val="005A05F3"/>
    <w:rsid w:val="005A0732"/>
    <w:rsid w:val="005A0930"/>
    <w:rsid w:val="005A11F1"/>
    <w:rsid w:val="005A121B"/>
    <w:rsid w:val="005A1783"/>
    <w:rsid w:val="005A17A2"/>
    <w:rsid w:val="005A21EC"/>
    <w:rsid w:val="005A2A41"/>
    <w:rsid w:val="005A2EBC"/>
    <w:rsid w:val="005A3423"/>
    <w:rsid w:val="005A3A8C"/>
    <w:rsid w:val="005A3AB0"/>
    <w:rsid w:val="005A3AD5"/>
    <w:rsid w:val="005A3D03"/>
    <w:rsid w:val="005A3ECF"/>
    <w:rsid w:val="005A483F"/>
    <w:rsid w:val="005A4C97"/>
    <w:rsid w:val="005A50B0"/>
    <w:rsid w:val="005A5397"/>
    <w:rsid w:val="005A58DD"/>
    <w:rsid w:val="005A5C63"/>
    <w:rsid w:val="005A5DD4"/>
    <w:rsid w:val="005A5E70"/>
    <w:rsid w:val="005A6056"/>
    <w:rsid w:val="005A69A5"/>
    <w:rsid w:val="005A6BEB"/>
    <w:rsid w:val="005B2809"/>
    <w:rsid w:val="005B2AD6"/>
    <w:rsid w:val="005B42A2"/>
    <w:rsid w:val="005B4F18"/>
    <w:rsid w:val="005B4F38"/>
    <w:rsid w:val="005B58FC"/>
    <w:rsid w:val="005B5B40"/>
    <w:rsid w:val="005B62AE"/>
    <w:rsid w:val="005B71FE"/>
    <w:rsid w:val="005B759A"/>
    <w:rsid w:val="005C0A81"/>
    <w:rsid w:val="005C0BEE"/>
    <w:rsid w:val="005C1725"/>
    <w:rsid w:val="005C1888"/>
    <w:rsid w:val="005C1C23"/>
    <w:rsid w:val="005C22CA"/>
    <w:rsid w:val="005C2B00"/>
    <w:rsid w:val="005C2BD0"/>
    <w:rsid w:val="005C32D3"/>
    <w:rsid w:val="005C341F"/>
    <w:rsid w:val="005C36CC"/>
    <w:rsid w:val="005C41A1"/>
    <w:rsid w:val="005C4D77"/>
    <w:rsid w:val="005C556F"/>
    <w:rsid w:val="005C55FC"/>
    <w:rsid w:val="005C5742"/>
    <w:rsid w:val="005C5EE3"/>
    <w:rsid w:val="005C6356"/>
    <w:rsid w:val="005C635A"/>
    <w:rsid w:val="005C6533"/>
    <w:rsid w:val="005C7097"/>
    <w:rsid w:val="005D01EA"/>
    <w:rsid w:val="005D0AAB"/>
    <w:rsid w:val="005D1053"/>
    <w:rsid w:val="005D1BFB"/>
    <w:rsid w:val="005D25BF"/>
    <w:rsid w:val="005D27AC"/>
    <w:rsid w:val="005D34E9"/>
    <w:rsid w:val="005D3F95"/>
    <w:rsid w:val="005D426A"/>
    <w:rsid w:val="005D519D"/>
    <w:rsid w:val="005D5304"/>
    <w:rsid w:val="005D653F"/>
    <w:rsid w:val="005D6989"/>
    <w:rsid w:val="005D6E35"/>
    <w:rsid w:val="005D6FF6"/>
    <w:rsid w:val="005D715B"/>
    <w:rsid w:val="005E0353"/>
    <w:rsid w:val="005E0472"/>
    <w:rsid w:val="005E0626"/>
    <w:rsid w:val="005E09F7"/>
    <w:rsid w:val="005E10CA"/>
    <w:rsid w:val="005E12A2"/>
    <w:rsid w:val="005E146B"/>
    <w:rsid w:val="005E1FC0"/>
    <w:rsid w:val="005E2AC9"/>
    <w:rsid w:val="005E373A"/>
    <w:rsid w:val="005E3896"/>
    <w:rsid w:val="005E428F"/>
    <w:rsid w:val="005E4D4C"/>
    <w:rsid w:val="005E4EF6"/>
    <w:rsid w:val="005E5A7E"/>
    <w:rsid w:val="005E5A99"/>
    <w:rsid w:val="005E62B7"/>
    <w:rsid w:val="005E7360"/>
    <w:rsid w:val="005E7439"/>
    <w:rsid w:val="005E7585"/>
    <w:rsid w:val="005E760E"/>
    <w:rsid w:val="005E7774"/>
    <w:rsid w:val="005F08AF"/>
    <w:rsid w:val="005F0A22"/>
    <w:rsid w:val="005F0CFB"/>
    <w:rsid w:val="005F1202"/>
    <w:rsid w:val="005F33AB"/>
    <w:rsid w:val="005F3F6E"/>
    <w:rsid w:val="005F405E"/>
    <w:rsid w:val="005F43DD"/>
    <w:rsid w:val="005F4D52"/>
    <w:rsid w:val="005F53C1"/>
    <w:rsid w:val="005F589B"/>
    <w:rsid w:val="005F5D62"/>
    <w:rsid w:val="005F5F85"/>
    <w:rsid w:val="005F635B"/>
    <w:rsid w:val="005F6373"/>
    <w:rsid w:val="005F6587"/>
    <w:rsid w:val="005F748E"/>
    <w:rsid w:val="00600051"/>
    <w:rsid w:val="00600820"/>
    <w:rsid w:val="006011F7"/>
    <w:rsid w:val="00601867"/>
    <w:rsid w:val="00601A19"/>
    <w:rsid w:val="00601AAC"/>
    <w:rsid w:val="00601D45"/>
    <w:rsid w:val="00601F7F"/>
    <w:rsid w:val="00601F97"/>
    <w:rsid w:val="00602156"/>
    <w:rsid w:val="006025F1"/>
    <w:rsid w:val="00602647"/>
    <w:rsid w:val="0060271D"/>
    <w:rsid w:val="006029E3"/>
    <w:rsid w:val="006040AB"/>
    <w:rsid w:val="00604FF5"/>
    <w:rsid w:val="006053BC"/>
    <w:rsid w:val="00605701"/>
    <w:rsid w:val="00605E38"/>
    <w:rsid w:val="00606497"/>
    <w:rsid w:val="006069FD"/>
    <w:rsid w:val="00607826"/>
    <w:rsid w:val="006079F4"/>
    <w:rsid w:val="00607A0D"/>
    <w:rsid w:val="006111E0"/>
    <w:rsid w:val="006111ED"/>
    <w:rsid w:val="00611835"/>
    <w:rsid w:val="006118AF"/>
    <w:rsid w:val="00612E88"/>
    <w:rsid w:val="00613363"/>
    <w:rsid w:val="00613857"/>
    <w:rsid w:val="00613A15"/>
    <w:rsid w:val="006141DD"/>
    <w:rsid w:val="00614ADF"/>
    <w:rsid w:val="00616830"/>
    <w:rsid w:val="00617121"/>
    <w:rsid w:val="00617D0C"/>
    <w:rsid w:val="00617E10"/>
    <w:rsid w:val="00623376"/>
    <w:rsid w:val="00623EBE"/>
    <w:rsid w:val="006245DC"/>
    <w:rsid w:val="006248DF"/>
    <w:rsid w:val="00624A1E"/>
    <w:rsid w:val="00624E7F"/>
    <w:rsid w:val="00625585"/>
    <w:rsid w:val="00625CAC"/>
    <w:rsid w:val="00626093"/>
    <w:rsid w:val="006268D7"/>
    <w:rsid w:val="00626B3F"/>
    <w:rsid w:val="00627FFD"/>
    <w:rsid w:val="0063011D"/>
    <w:rsid w:val="00630185"/>
    <w:rsid w:val="006303EA"/>
    <w:rsid w:val="0063129B"/>
    <w:rsid w:val="00631FA2"/>
    <w:rsid w:val="006325E3"/>
    <w:rsid w:val="0063273D"/>
    <w:rsid w:val="00635F8B"/>
    <w:rsid w:val="00636588"/>
    <w:rsid w:val="00636CFA"/>
    <w:rsid w:val="00636FEB"/>
    <w:rsid w:val="00637FD8"/>
    <w:rsid w:val="00641016"/>
    <w:rsid w:val="0064162C"/>
    <w:rsid w:val="006436A4"/>
    <w:rsid w:val="0064373A"/>
    <w:rsid w:val="00643795"/>
    <w:rsid w:val="00643BE3"/>
    <w:rsid w:val="00643E5F"/>
    <w:rsid w:val="00646A31"/>
    <w:rsid w:val="006470DF"/>
    <w:rsid w:val="0064736A"/>
    <w:rsid w:val="00647987"/>
    <w:rsid w:val="006500C4"/>
    <w:rsid w:val="0065044C"/>
    <w:rsid w:val="00650AE3"/>
    <w:rsid w:val="00650FDB"/>
    <w:rsid w:val="0065147C"/>
    <w:rsid w:val="00651600"/>
    <w:rsid w:val="00651783"/>
    <w:rsid w:val="00651C56"/>
    <w:rsid w:val="00652216"/>
    <w:rsid w:val="0065231C"/>
    <w:rsid w:val="006526D6"/>
    <w:rsid w:val="00653359"/>
    <w:rsid w:val="00653AC3"/>
    <w:rsid w:val="00654A54"/>
    <w:rsid w:val="006551A8"/>
    <w:rsid w:val="0065580C"/>
    <w:rsid w:val="00655AA4"/>
    <w:rsid w:val="00655DB3"/>
    <w:rsid w:val="006565CB"/>
    <w:rsid w:val="0065689A"/>
    <w:rsid w:val="00656A6E"/>
    <w:rsid w:val="00660069"/>
    <w:rsid w:val="006604A4"/>
    <w:rsid w:val="00660508"/>
    <w:rsid w:val="00660F8A"/>
    <w:rsid w:val="006615FE"/>
    <w:rsid w:val="00663566"/>
    <w:rsid w:val="0066392C"/>
    <w:rsid w:val="00664BCA"/>
    <w:rsid w:val="00665C23"/>
    <w:rsid w:val="0066682A"/>
    <w:rsid w:val="00666D95"/>
    <w:rsid w:val="00667BC0"/>
    <w:rsid w:val="00670160"/>
    <w:rsid w:val="00670415"/>
    <w:rsid w:val="0067108B"/>
    <w:rsid w:val="00671C98"/>
    <w:rsid w:val="00671DE3"/>
    <w:rsid w:val="00672332"/>
    <w:rsid w:val="006724EE"/>
    <w:rsid w:val="00672B9B"/>
    <w:rsid w:val="00673741"/>
    <w:rsid w:val="00673B17"/>
    <w:rsid w:val="0067434F"/>
    <w:rsid w:val="00674473"/>
    <w:rsid w:val="006744EE"/>
    <w:rsid w:val="00674CF3"/>
    <w:rsid w:val="0067500A"/>
    <w:rsid w:val="00675A6E"/>
    <w:rsid w:val="00675C8A"/>
    <w:rsid w:val="00676F20"/>
    <w:rsid w:val="00676F2B"/>
    <w:rsid w:val="00677A43"/>
    <w:rsid w:val="00680864"/>
    <w:rsid w:val="00680F24"/>
    <w:rsid w:val="006810CC"/>
    <w:rsid w:val="00681795"/>
    <w:rsid w:val="00681984"/>
    <w:rsid w:val="006820C9"/>
    <w:rsid w:val="006821A8"/>
    <w:rsid w:val="00683119"/>
    <w:rsid w:val="00683F01"/>
    <w:rsid w:val="00684BA9"/>
    <w:rsid w:val="00684CA9"/>
    <w:rsid w:val="006853AF"/>
    <w:rsid w:val="00685CED"/>
    <w:rsid w:val="00685E60"/>
    <w:rsid w:val="00686397"/>
    <w:rsid w:val="006869B0"/>
    <w:rsid w:val="00686B75"/>
    <w:rsid w:val="00686DD6"/>
    <w:rsid w:val="00687251"/>
    <w:rsid w:val="00690228"/>
    <w:rsid w:val="00690791"/>
    <w:rsid w:val="006909EB"/>
    <w:rsid w:val="0069105F"/>
    <w:rsid w:val="00691B0A"/>
    <w:rsid w:val="00692235"/>
    <w:rsid w:val="00692B05"/>
    <w:rsid w:val="00693CB3"/>
    <w:rsid w:val="006940C9"/>
    <w:rsid w:val="00695807"/>
    <w:rsid w:val="006959D7"/>
    <w:rsid w:val="00697005"/>
    <w:rsid w:val="00697993"/>
    <w:rsid w:val="00697C32"/>
    <w:rsid w:val="00697CC2"/>
    <w:rsid w:val="006A017B"/>
    <w:rsid w:val="006A0556"/>
    <w:rsid w:val="006A0BDA"/>
    <w:rsid w:val="006A14B1"/>
    <w:rsid w:val="006A153B"/>
    <w:rsid w:val="006A185B"/>
    <w:rsid w:val="006A2160"/>
    <w:rsid w:val="006A2808"/>
    <w:rsid w:val="006A29A5"/>
    <w:rsid w:val="006A29C4"/>
    <w:rsid w:val="006A307B"/>
    <w:rsid w:val="006A54E3"/>
    <w:rsid w:val="006A5802"/>
    <w:rsid w:val="006A5F6F"/>
    <w:rsid w:val="006A635F"/>
    <w:rsid w:val="006A6CA1"/>
    <w:rsid w:val="006A7117"/>
    <w:rsid w:val="006A7E19"/>
    <w:rsid w:val="006B0723"/>
    <w:rsid w:val="006B0884"/>
    <w:rsid w:val="006B0C62"/>
    <w:rsid w:val="006B1144"/>
    <w:rsid w:val="006B19EC"/>
    <w:rsid w:val="006B1ABD"/>
    <w:rsid w:val="006B1C31"/>
    <w:rsid w:val="006B201D"/>
    <w:rsid w:val="006B2F85"/>
    <w:rsid w:val="006B3204"/>
    <w:rsid w:val="006B3C2B"/>
    <w:rsid w:val="006B3DEE"/>
    <w:rsid w:val="006B3F70"/>
    <w:rsid w:val="006B6058"/>
    <w:rsid w:val="006B625E"/>
    <w:rsid w:val="006C269F"/>
    <w:rsid w:val="006C2B75"/>
    <w:rsid w:val="006C2C07"/>
    <w:rsid w:val="006C31E1"/>
    <w:rsid w:val="006C35EF"/>
    <w:rsid w:val="006C3CE2"/>
    <w:rsid w:val="006C5814"/>
    <w:rsid w:val="006C5935"/>
    <w:rsid w:val="006C6A36"/>
    <w:rsid w:val="006C74D7"/>
    <w:rsid w:val="006C75C5"/>
    <w:rsid w:val="006C7BA3"/>
    <w:rsid w:val="006D005B"/>
    <w:rsid w:val="006D08D5"/>
    <w:rsid w:val="006D0AC6"/>
    <w:rsid w:val="006D208D"/>
    <w:rsid w:val="006D288B"/>
    <w:rsid w:val="006D33C2"/>
    <w:rsid w:val="006D3691"/>
    <w:rsid w:val="006D3B0E"/>
    <w:rsid w:val="006D3D71"/>
    <w:rsid w:val="006D3DDF"/>
    <w:rsid w:val="006D3E00"/>
    <w:rsid w:val="006D4CA7"/>
    <w:rsid w:val="006D51C0"/>
    <w:rsid w:val="006D5343"/>
    <w:rsid w:val="006D5434"/>
    <w:rsid w:val="006D63E2"/>
    <w:rsid w:val="006D6651"/>
    <w:rsid w:val="006D71A8"/>
    <w:rsid w:val="006D7823"/>
    <w:rsid w:val="006E0EA8"/>
    <w:rsid w:val="006E2755"/>
    <w:rsid w:val="006E3597"/>
    <w:rsid w:val="006E3D9A"/>
    <w:rsid w:val="006E47D1"/>
    <w:rsid w:val="006E4ED1"/>
    <w:rsid w:val="006E53C5"/>
    <w:rsid w:val="006E6628"/>
    <w:rsid w:val="006E665E"/>
    <w:rsid w:val="006E778C"/>
    <w:rsid w:val="006F056E"/>
    <w:rsid w:val="006F09E6"/>
    <w:rsid w:val="006F18DF"/>
    <w:rsid w:val="006F2285"/>
    <w:rsid w:val="006F234C"/>
    <w:rsid w:val="006F261C"/>
    <w:rsid w:val="006F2F78"/>
    <w:rsid w:val="006F513C"/>
    <w:rsid w:val="006F560A"/>
    <w:rsid w:val="006F6826"/>
    <w:rsid w:val="006F6E62"/>
    <w:rsid w:val="006F7749"/>
    <w:rsid w:val="006F7AF0"/>
    <w:rsid w:val="006F7F0F"/>
    <w:rsid w:val="0070098A"/>
    <w:rsid w:val="00700C68"/>
    <w:rsid w:val="00700D26"/>
    <w:rsid w:val="00700EED"/>
    <w:rsid w:val="007012A1"/>
    <w:rsid w:val="00701A97"/>
    <w:rsid w:val="0070202E"/>
    <w:rsid w:val="00702588"/>
    <w:rsid w:val="00703088"/>
    <w:rsid w:val="00703783"/>
    <w:rsid w:val="00703C8E"/>
    <w:rsid w:val="007041CC"/>
    <w:rsid w:val="0070452C"/>
    <w:rsid w:val="00704783"/>
    <w:rsid w:val="00704C70"/>
    <w:rsid w:val="00705887"/>
    <w:rsid w:val="007059B7"/>
    <w:rsid w:val="00706004"/>
    <w:rsid w:val="007064D0"/>
    <w:rsid w:val="007069E5"/>
    <w:rsid w:val="00706FCC"/>
    <w:rsid w:val="00707509"/>
    <w:rsid w:val="00707DCF"/>
    <w:rsid w:val="00710028"/>
    <w:rsid w:val="007106B1"/>
    <w:rsid w:val="0071077C"/>
    <w:rsid w:val="00710CF6"/>
    <w:rsid w:val="00710FFB"/>
    <w:rsid w:val="00711102"/>
    <w:rsid w:val="00712425"/>
    <w:rsid w:val="00712B6D"/>
    <w:rsid w:val="00714F7A"/>
    <w:rsid w:val="00716300"/>
    <w:rsid w:val="007165E3"/>
    <w:rsid w:val="00717046"/>
    <w:rsid w:val="00717375"/>
    <w:rsid w:val="0071792B"/>
    <w:rsid w:val="007179BA"/>
    <w:rsid w:val="0072128D"/>
    <w:rsid w:val="007214AD"/>
    <w:rsid w:val="00721845"/>
    <w:rsid w:val="007225D3"/>
    <w:rsid w:val="00722617"/>
    <w:rsid w:val="0072285C"/>
    <w:rsid w:val="0072349E"/>
    <w:rsid w:val="00724278"/>
    <w:rsid w:val="00724549"/>
    <w:rsid w:val="00724FF7"/>
    <w:rsid w:val="007266D1"/>
    <w:rsid w:val="00726C4D"/>
    <w:rsid w:val="00726C61"/>
    <w:rsid w:val="00727C59"/>
    <w:rsid w:val="00730A9D"/>
    <w:rsid w:val="0073213F"/>
    <w:rsid w:val="0073261B"/>
    <w:rsid w:val="00733259"/>
    <w:rsid w:val="00733C06"/>
    <w:rsid w:val="0073485B"/>
    <w:rsid w:val="00734D82"/>
    <w:rsid w:val="00735407"/>
    <w:rsid w:val="007359DC"/>
    <w:rsid w:val="00735E90"/>
    <w:rsid w:val="00735F36"/>
    <w:rsid w:val="007360DA"/>
    <w:rsid w:val="00736340"/>
    <w:rsid w:val="00736732"/>
    <w:rsid w:val="00736768"/>
    <w:rsid w:val="007378EA"/>
    <w:rsid w:val="007403E8"/>
    <w:rsid w:val="00742263"/>
    <w:rsid w:val="0074271C"/>
    <w:rsid w:val="00742946"/>
    <w:rsid w:val="00742B10"/>
    <w:rsid w:val="00743B1D"/>
    <w:rsid w:val="007443FF"/>
    <w:rsid w:val="00744429"/>
    <w:rsid w:val="00744D9F"/>
    <w:rsid w:val="007453AF"/>
    <w:rsid w:val="0074547B"/>
    <w:rsid w:val="007457CC"/>
    <w:rsid w:val="007468B6"/>
    <w:rsid w:val="00746FE5"/>
    <w:rsid w:val="0074754A"/>
    <w:rsid w:val="00747EA0"/>
    <w:rsid w:val="0075108B"/>
    <w:rsid w:val="007511F2"/>
    <w:rsid w:val="00751EC4"/>
    <w:rsid w:val="00752C59"/>
    <w:rsid w:val="0075365D"/>
    <w:rsid w:val="00754C26"/>
    <w:rsid w:val="007551CA"/>
    <w:rsid w:val="0075525C"/>
    <w:rsid w:val="00755A5F"/>
    <w:rsid w:val="00755D99"/>
    <w:rsid w:val="00756B58"/>
    <w:rsid w:val="00756E8D"/>
    <w:rsid w:val="00760338"/>
    <w:rsid w:val="007614AA"/>
    <w:rsid w:val="007621A1"/>
    <w:rsid w:val="00762A62"/>
    <w:rsid w:val="007636DA"/>
    <w:rsid w:val="0076394E"/>
    <w:rsid w:val="00763B85"/>
    <w:rsid w:val="00764744"/>
    <w:rsid w:val="007648B9"/>
    <w:rsid w:val="00764A67"/>
    <w:rsid w:val="00764DED"/>
    <w:rsid w:val="007659B9"/>
    <w:rsid w:val="00765AAD"/>
    <w:rsid w:val="00765D15"/>
    <w:rsid w:val="00766365"/>
    <w:rsid w:val="00767DC1"/>
    <w:rsid w:val="00770A6C"/>
    <w:rsid w:val="00770FB0"/>
    <w:rsid w:val="007722D6"/>
    <w:rsid w:val="007726BA"/>
    <w:rsid w:val="00772804"/>
    <w:rsid w:val="00772AD4"/>
    <w:rsid w:val="007747CC"/>
    <w:rsid w:val="00774805"/>
    <w:rsid w:val="00775435"/>
    <w:rsid w:val="007758F2"/>
    <w:rsid w:val="00775999"/>
    <w:rsid w:val="00775B96"/>
    <w:rsid w:val="00775ED2"/>
    <w:rsid w:val="00777747"/>
    <w:rsid w:val="007779EF"/>
    <w:rsid w:val="00777BA4"/>
    <w:rsid w:val="007803B3"/>
    <w:rsid w:val="007804F5"/>
    <w:rsid w:val="007811D2"/>
    <w:rsid w:val="007816A1"/>
    <w:rsid w:val="00781D85"/>
    <w:rsid w:val="00781F87"/>
    <w:rsid w:val="0078303C"/>
    <w:rsid w:val="00783B8F"/>
    <w:rsid w:val="00783EC7"/>
    <w:rsid w:val="0078429B"/>
    <w:rsid w:val="00784908"/>
    <w:rsid w:val="00787786"/>
    <w:rsid w:val="0079029A"/>
    <w:rsid w:val="00790B74"/>
    <w:rsid w:val="00791C62"/>
    <w:rsid w:val="007925E7"/>
    <w:rsid w:val="007929E6"/>
    <w:rsid w:val="00792AA1"/>
    <w:rsid w:val="0079529B"/>
    <w:rsid w:val="00795AB0"/>
    <w:rsid w:val="007973F7"/>
    <w:rsid w:val="007977BE"/>
    <w:rsid w:val="007979D4"/>
    <w:rsid w:val="00797F51"/>
    <w:rsid w:val="007A19CC"/>
    <w:rsid w:val="007A22B6"/>
    <w:rsid w:val="007A24ED"/>
    <w:rsid w:val="007A2678"/>
    <w:rsid w:val="007A3150"/>
    <w:rsid w:val="007A3824"/>
    <w:rsid w:val="007A3ACB"/>
    <w:rsid w:val="007A490F"/>
    <w:rsid w:val="007A54B3"/>
    <w:rsid w:val="007A61DD"/>
    <w:rsid w:val="007A6528"/>
    <w:rsid w:val="007B0B65"/>
    <w:rsid w:val="007B0D50"/>
    <w:rsid w:val="007B2106"/>
    <w:rsid w:val="007B28A8"/>
    <w:rsid w:val="007B3008"/>
    <w:rsid w:val="007B3B09"/>
    <w:rsid w:val="007B4516"/>
    <w:rsid w:val="007B5B6A"/>
    <w:rsid w:val="007B5C13"/>
    <w:rsid w:val="007B6447"/>
    <w:rsid w:val="007B7021"/>
    <w:rsid w:val="007B70D2"/>
    <w:rsid w:val="007B7B10"/>
    <w:rsid w:val="007C118B"/>
    <w:rsid w:val="007C1D45"/>
    <w:rsid w:val="007C2370"/>
    <w:rsid w:val="007C269C"/>
    <w:rsid w:val="007C3598"/>
    <w:rsid w:val="007C4024"/>
    <w:rsid w:val="007C433E"/>
    <w:rsid w:val="007C5291"/>
    <w:rsid w:val="007C544B"/>
    <w:rsid w:val="007C62CA"/>
    <w:rsid w:val="007C6A37"/>
    <w:rsid w:val="007C7712"/>
    <w:rsid w:val="007D003F"/>
    <w:rsid w:val="007D1234"/>
    <w:rsid w:val="007D167F"/>
    <w:rsid w:val="007D1963"/>
    <w:rsid w:val="007D1FF7"/>
    <w:rsid w:val="007D2E1B"/>
    <w:rsid w:val="007D4074"/>
    <w:rsid w:val="007D408E"/>
    <w:rsid w:val="007D4568"/>
    <w:rsid w:val="007D4B17"/>
    <w:rsid w:val="007D4CCA"/>
    <w:rsid w:val="007D5980"/>
    <w:rsid w:val="007D6D51"/>
    <w:rsid w:val="007D7448"/>
    <w:rsid w:val="007D7D2D"/>
    <w:rsid w:val="007D7FEB"/>
    <w:rsid w:val="007E042B"/>
    <w:rsid w:val="007E0A4E"/>
    <w:rsid w:val="007E0A7B"/>
    <w:rsid w:val="007E1B56"/>
    <w:rsid w:val="007E2274"/>
    <w:rsid w:val="007E2AC7"/>
    <w:rsid w:val="007E2E48"/>
    <w:rsid w:val="007E3918"/>
    <w:rsid w:val="007E47EF"/>
    <w:rsid w:val="007E49A5"/>
    <w:rsid w:val="007E4E9C"/>
    <w:rsid w:val="007E5336"/>
    <w:rsid w:val="007E53E8"/>
    <w:rsid w:val="007E5ADD"/>
    <w:rsid w:val="007E5D7A"/>
    <w:rsid w:val="007E621A"/>
    <w:rsid w:val="007E6AD9"/>
    <w:rsid w:val="007E7052"/>
    <w:rsid w:val="007E79D2"/>
    <w:rsid w:val="007E7E7A"/>
    <w:rsid w:val="007F0451"/>
    <w:rsid w:val="007F09B0"/>
    <w:rsid w:val="007F0D04"/>
    <w:rsid w:val="007F1792"/>
    <w:rsid w:val="007F1C40"/>
    <w:rsid w:val="007F1D36"/>
    <w:rsid w:val="007F2248"/>
    <w:rsid w:val="007F251A"/>
    <w:rsid w:val="007F4E16"/>
    <w:rsid w:val="007F5198"/>
    <w:rsid w:val="007F55D1"/>
    <w:rsid w:val="007F6D68"/>
    <w:rsid w:val="007F7BC5"/>
    <w:rsid w:val="0080058D"/>
    <w:rsid w:val="008005BC"/>
    <w:rsid w:val="00801662"/>
    <w:rsid w:val="00801878"/>
    <w:rsid w:val="00801D6E"/>
    <w:rsid w:val="0080352C"/>
    <w:rsid w:val="00804419"/>
    <w:rsid w:val="00806E23"/>
    <w:rsid w:val="008103F5"/>
    <w:rsid w:val="00812205"/>
    <w:rsid w:val="00813E7F"/>
    <w:rsid w:val="00814ED5"/>
    <w:rsid w:val="00815145"/>
    <w:rsid w:val="00815E85"/>
    <w:rsid w:val="00815FBB"/>
    <w:rsid w:val="00816420"/>
    <w:rsid w:val="00816EF0"/>
    <w:rsid w:val="008174F2"/>
    <w:rsid w:val="008201C0"/>
    <w:rsid w:val="008206E7"/>
    <w:rsid w:val="00820D70"/>
    <w:rsid w:val="00820F74"/>
    <w:rsid w:val="0082161B"/>
    <w:rsid w:val="0082196E"/>
    <w:rsid w:val="00821ABA"/>
    <w:rsid w:val="00821B56"/>
    <w:rsid w:val="00822706"/>
    <w:rsid w:val="00822C97"/>
    <w:rsid w:val="00822D82"/>
    <w:rsid w:val="008230C1"/>
    <w:rsid w:val="008230CC"/>
    <w:rsid w:val="008230CD"/>
    <w:rsid w:val="008232B4"/>
    <w:rsid w:val="0082370C"/>
    <w:rsid w:val="00823D41"/>
    <w:rsid w:val="00823DF3"/>
    <w:rsid w:val="00823EDB"/>
    <w:rsid w:val="00825262"/>
    <w:rsid w:val="00826F81"/>
    <w:rsid w:val="00831F49"/>
    <w:rsid w:val="00834205"/>
    <w:rsid w:val="00834275"/>
    <w:rsid w:val="00834942"/>
    <w:rsid w:val="008351AD"/>
    <w:rsid w:val="0083535C"/>
    <w:rsid w:val="008360E2"/>
    <w:rsid w:val="008374BB"/>
    <w:rsid w:val="00837EB4"/>
    <w:rsid w:val="00840A12"/>
    <w:rsid w:val="00841362"/>
    <w:rsid w:val="00843658"/>
    <w:rsid w:val="00844341"/>
    <w:rsid w:val="00844E04"/>
    <w:rsid w:val="008451D8"/>
    <w:rsid w:val="008452B9"/>
    <w:rsid w:val="008459E5"/>
    <w:rsid w:val="00846463"/>
    <w:rsid w:val="0084696C"/>
    <w:rsid w:val="00846A03"/>
    <w:rsid w:val="00846FDE"/>
    <w:rsid w:val="008474CB"/>
    <w:rsid w:val="00847BA9"/>
    <w:rsid w:val="00850A23"/>
    <w:rsid w:val="00851240"/>
    <w:rsid w:val="00853B17"/>
    <w:rsid w:val="00854283"/>
    <w:rsid w:val="00854798"/>
    <w:rsid w:val="00854FB7"/>
    <w:rsid w:val="0085524B"/>
    <w:rsid w:val="0085571C"/>
    <w:rsid w:val="008558C8"/>
    <w:rsid w:val="0085618E"/>
    <w:rsid w:val="00856673"/>
    <w:rsid w:val="008568BD"/>
    <w:rsid w:val="00856E40"/>
    <w:rsid w:val="008570F0"/>
    <w:rsid w:val="0085753E"/>
    <w:rsid w:val="00861073"/>
    <w:rsid w:val="0086113C"/>
    <w:rsid w:val="008611FE"/>
    <w:rsid w:val="00861552"/>
    <w:rsid w:val="0086231C"/>
    <w:rsid w:val="00863F95"/>
    <w:rsid w:val="0086460E"/>
    <w:rsid w:val="00864933"/>
    <w:rsid w:val="00864A7D"/>
    <w:rsid w:val="0086535E"/>
    <w:rsid w:val="00865D11"/>
    <w:rsid w:val="00865D83"/>
    <w:rsid w:val="00865FF2"/>
    <w:rsid w:val="00867520"/>
    <w:rsid w:val="00867ED4"/>
    <w:rsid w:val="00870346"/>
    <w:rsid w:val="00870631"/>
    <w:rsid w:val="008707C7"/>
    <w:rsid w:val="00870F8C"/>
    <w:rsid w:val="00871770"/>
    <w:rsid w:val="00871E4A"/>
    <w:rsid w:val="00872488"/>
    <w:rsid w:val="00872555"/>
    <w:rsid w:val="0087257B"/>
    <w:rsid w:val="0087280F"/>
    <w:rsid w:val="00872E49"/>
    <w:rsid w:val="00873A5E"/>
    <w:rsid w:val="0087450B"/>
    <w:rsid w:val="00874CFB"/>
    <w:rsid w:val="0087582D"/>
    <w:rsid w:val="00876888"/>
    <w:rsid w:val="0087738F"/>
    <w:rsid w:val="00877710"/>
    <w:rsid w:val="00877A26"/>
    <w:rsid w:val="00877F81"/>
    <w:rsid w:val="008802E4"/>
    <w:rsid w:val="00880706"/>
    <w:rsid w:val="008817E7"/>
    <w:rsid w:val="00882022"/>
    <w:rsid w:val="0088221B"/>
    <w:rsid w:val="00882293"/>
    <w:rsid w:val="008827B5"/>
    <w:rsid w:val="00882AE3"/>
    <w:rsid w:val="00882F31"/>
    <w:rsid w:val="00883901"/>
    <w:rsid w:val="00883B75"/>
    <w:rsid w:val="00885025"/>
    <w:rsid w:val="00885600"/>
    <w:rsid w:val="00885AFC"/>
    <w:rsid w:val="00885F6D"/>
    <w:rsid w:val="0088640C"/>
    <w:rsid w:val="00886962"/>
    <w:rsid w:val="0088797F"/>
    <w:rsid w:val="00887A81"/>
    <w:rsid w:val="00887D7D"/>
    <w:rsid w:val="00891B53"/>
    <w:rsid w:val="00892694"/>
    <w:rsid w:val="008937B8"/>
    <w:rsid w:val="0089426C"/>
    <w:rsid w:val="00894558"/>
    <w:rsid w:val="00895124"/>
    <w:rsid w:val="00895809"/>
    <w:rsid w:val="00896EC4"/>
    <w:rsid w:val="0089739A"/>
    <w:rsid w:val="00897FCA"/>
    <w:rsid w:val="008A1369"/>
    <w:rsid w:val="008A1999"/>
    <w:rsid w:val="008A2086"/>
    <w:rsid w:val="008A20CB"/>
    <w:rsid w:val="008A21B9"/>
    <w:rsid w:val="008A2C11"/>
    <w:rsid w:val="008A2E15"/>
    <w:rsid w:val="008A3877"/>
    <w:rsid w:val="008A3FCC"/>
    <w:rsid w:val="008A3FF7"/>
    <w:rsid w:val="008A46C8"/>
    <w:rsid w:val="008A4C5B"/>
    <w:rsid w:val="008A50DE"/>
    <w:rsid w:val="008A57FA"/>
    <w:rsid w:val="008A5B18"/>
    <w:rsid w:val="008A5B75"/>
    <w:rsid w:val="008A6931"/>
    <w:rsid w:val="008A713C"/>
    <w:rsid w:val="008A76D6"/>
    <w:rsid w:val="008B11BA"/>
    <w:rsid w:val="008B2739"/>
    <w:rsid w:val="008B486B"/>
    <w:rsid w:val="008B49F9"/>
    <w:rsid w:val="008B50D0"/>
    <w:rsid w:val="008B5280"/>
    <w:rsid w:val="008B6608"/>
    <w:rsid w:val="008B69AD"/>
    <w:rsid w:val="008B6F94"/>
    <w:rsid w:val="008B7A33"/>
    <w:rsid w:val="008C0329"/>
    <w:rsid w:val="008C12EE"/>
    <w:rsid w:val="008C21CF"/>
    <w:rsid w:val="008C2F5E"/>
    <w:rsid w:val="008C35C2"/>
    <w:rsid w:val="008C39FB"/>
    <w:rsid w:val="008C3CFC"/>
    <w:rsid w:val="008C471C"/>
    <w:rsid w:val="008C4A7F"/>
    <w:rsid w:val="008C4DA0"/>
    <w:rsid w:val="008C50C6"/>
    <w:rsid w:val="008C55CC"/>
    <w:rsid w:val="008C56C9"/>
    <w:rsid w:val="008C5AC6"/>
    <w:rsid w:val="008C6997"/>
    <w:rsid w:val="008C6B4B"/>
    <w:rsid w:val="008C6D14"/>
    <w:rsid w:val="008C781E"/>
    <w:rsid w:val="008C7FEA"/>
    <w:rsid w:val="008D0149"/>
    <w:rsid w:val="008D0F5F"/>
    <w:rsid w:val="008D1072"/>
    <w:rsid w:val="008D1300"/>
    <w:rsid w:val="008D1DDA"/>
    <w:rsid w:val="008D1DFE"/>
    <w:rsid w:val="008D229F"/>
    <w:rsid w:val="008D2AC6"/>
    <w:rsid w:val="008D2E9D"/>
    <w:rsid w:val="008D2F05"/>
    <w:rsid w:val="008D3A74"/>
    <w:rsid w:val="008D4124"/>
    <w:rsid w:val="008D45BB"/>
    <w:rsid w:val="008D4681"/>
    <w:rsid w:val="008D4AED"/>
    <w:rsid w:val="008D4D9A"/>
    <w:rsid w:val="008D4EB8"/>
    <w:rsid w:val="008D5B65"/>
    <w:rsid w:val="008D5C95"/>
    <w:rsid w:val="008D5E61"/>
    <w:rsid w:val="008D604B"/>
    <w:rsid w:val="008D6114"/>
    <w:rsid w:val="008D6C2B"/>
    <w:rsid w:val="008D6D5B"/>
    <w:rsid w:val="008D6E53"/>
    <w:rsid w:val="008D7B6E"/>
    <w:rsid w:val="008E0599"/>
    <w:rsid w:val="008E1546"/>
    <w:rsid w:val="008E1996"/>
    <w:rsid w:val="008E1B56"/>
    <w:rsid w:val="008E2766"/>
    <w:rsid w:val="008E2EF9"/>
    <w:rsid w:val="008E34E5"/>
    <w:rsid w:val="008E34FC"/>
    <w:rsid w:val="008E3524"/>
    <w:rsid w:val="008E364B"/>
    <w:rsid w:val="008E51D1"/>
    <w:rsid w:val="008E56D9"/>
    <w:rsid w:val="008E5EDB"/>
    <w:rsid w:val="008E5F04"/>
    <w:rsid w:val="008E6CBA"/>
    <w:rsid w:val="008E7864"/>
    <w:rsid w:val="008E7D28"/>
    <w:rsid w:val="008E7DD2"/>
    <w:rsid w:val="008E7DF4"/>
    <w:rsid w:val="008F1094"/>
    <w:rsid w:val="008F197A"/>
    <w:rsid w:val="008F2363"/>
    <w:rsid w:val="008F2B87"/>
    <w:rsid w:val="008F31F9"/>
    <w:rsid w:val="008F3B96"/>
    <w:rsid w:val="008F4072"/>
    <w:rsid w:val="008F4858"/>
    <w:rsid w:val="008F4A5C"/>
    <w:rsid w:val="008F517F"/>
    <w:rsid w:val="008F52E8"/>
    <w:rsid w:val="008F57DB"/>
    <w:rsid w:val="008F5836"/>
    <w:rsid w:val="008F6CAA"/>
    <w:rsid w:val="009006D6"/>
    <w:rsid w:val="00900ECF"/>
    <w:rsid w:val="009012CA"/>
    <w:rsid w:val="0090177B"/>
    <w:rsid w:val="009025EF"/>
    <w:rsid w:val="00902F67"/>
    <w:rsid w:val="009032C8"/>
    <w:rsid w:val="00904527"/>
    <w:rsid w:val="00904E5B"/>
    <w:rsid w:val="0090584B"/>
    <w:rsid w:val="0090634E"/>
    <w:rsid w:val="00907965"/>
    <w:rsid w:val="00907FB2"/>
    <w:rsid w:val="00910A6C"/>
    <w:rsid w:val="009114CB"/>
    <w:rsid w:val="009115DD"/>
    <w:rsid w:val="009120A0"/>
    <w:rsid w:val="009122B8"/>
    <w:rsid w:val="0091359A"/>
    <w:rsid w:val="00913AAF"/>
    <w:rsid w:val="00914CED"/>
    <w:rsid w:val="0091554D"/>
    <w:rsid w:val="00916416"/>
    <w:rsid w:val="00916AD1"/>
    <w:rsid w:val="00916C79"/>
    <w:rsid w:val="00916DB6"/>
    <w:rsid w:val="00916E45"/>
    <w:rsid w:val="009172D9"/>
    <w:rsid w:val="00917316"/>
    <w:rsid w:val="00917CFE"/>
    <w:rsid w:val="00920783"/>
    <w:rsid w:val="00920E97"/>
    <w:rsid w:val="00921840"/>
    <w:rsid w:val="0092248C"/>
    <w:rsid w:val="00923051"/>
    <w:rsid w:val="00923145"/>
    <w:rsid w:val="00923979"/>
    <w:rsid w:val="00923A84"/>
    <w:rsid w:val="00924309"/>
    <w:rsid w:val="0092449F"/>
    <w:rsid w:val="00924FAA"/>
    <w:rsid w:val="00925EF1"/>
    <w:rsid w:val="009260AB"/>
    <w:rsid w:val="00927560"/>
    <w:rsid w:val="00927B64"/>
    <w:rsid w:val="00930EE0"/>
    <w:rsid w:val="00930F2A"/>
    <w:rsid w:val="00931497"/>
    <w:rsid w:val="009318E9"/>
    <w:rsid w:val="00931D63"/>
    <w:rsid w:val="00931E17"/>
    <w:rsid w:val="00932124"/>
    <w:rsid w:val="0093220F"/>
    <w:rsid w:val="0093269C"/>
    <w:rsid w:val="00932814"/>
    <w:rsid w:val="00933C31"/>
    <w:rsid w:val="009346AE"/>
    <w:rsid w:val="00935421"/>
    <w:rsid w:val="0093627C"/>
    <w:rsid w:val="0093644B"/>
    <w:rsid w:val="0093742A"/>
    <w:rsid w:val="00937A20"/>
    <w:rsid w:val="00940150"/>
    <w:rsid w:val="0094024D"/>
    <w:rsid w:val="00940335"/>
    <w:rsid w:val="00940EB6"/>
    <w:rsid w:val="009418C6"/>
    <w:rsid w:val="00941C8C"/>
    <w:rsid w:val="009426B9"/>
    <w:rsid w:val="00942A1D"/>
    <w:rsid w:val="00942AD7"/>
    <w:rsid w:val="00944D49"/>
    <w:rsid w:val="00944EE5"/>
    <w:rsid w:val="0094592C"/>
    <w:rsid w:val="009459EF"/>
    <w:rsid w:val="0094614A"/>
    <w:rsid w:val="00946E6C"/>
    <w:rsid w:val="00946E93"/>
    <w:rsid w:val="009504BB"/>
    <w:rsid w:val="00950A38"/>
    <w:rsid w:val="009512D7"/>
    <w:rsid w:val="009525C5"/>
    <w:rsid w:val="00953FFB"/>
    <w:rsid w:val="00955C64"/>
    <w:rsid w:val="0095678B"/>
    <w:rsid w:val="00957379"/>
    <w:rsid w:val="00957835"/>
    <w:rsid w:val="0096031D"/>
    <w:rsid w:val="00960ABF"/>
    <w:rsid w:val="0096108F"/>
    <w:rsid w:val="009615BB"/>
    <w:rsid w:val="009624BD"/>
    <w:rsid w:val="00962B5A"/>
    <w:rsid w:val="00963454"/>
    <w:rsid w:val="009636D0"/>
    <w:rsid w:val="00964CE4"/>
    <w:rsid w:val="0096502D"/>
    <w:rsid w:val="009659C1"/>
    <w:rsid w:val="00965EA5"/>
    <w:rsid w:val="0096611A"/>
    <w:rsid w:val="009721C7"/>
    <w:rsid w:val="00972981"/>
    <w:rsid w:val="00972E42"/>
    <w:rsid w:val="00973EFA"/>
    <w:rsid w:val="0097513F"/>
    <w:rsid w:val="00976A38"/>
    <w:rsid w:val="009777FE"/>
    <w:rsid w:val="00977CD7"/>
    <w:rsid w:val="00980714"/>
    <w:rsid w:val="00980905"/>
    <w:rsid w:val="00980B0E"/>
    <w:rsid w:val="0098116D"/>
    <w:rsid w:val="009811D2"/>
    <w:rsid w:val="00981688"/>
    <w:rsid w:val="009825E7"/>
    <w:rsid w:val="00982790"/>
    <w:rsid w:val="00983045"/>
    <w:rsid w:val="0098323B"/>
    <w:rsid w:val="009847B2"/>
    <w:rsid w:val="00984B18"/>
    <w:rsid w:val="00985346"/>
    <w:rsid w:val="00985C66"/>
    <w:rsid w:val="00986159"/>
    <w:rsid w:val="0098633C"/>
    <w:rsid w:val="00986BDD"/>
    <w:rsid w:val="009900F5"/>
    <w:rsid w:val="0099109C"/>
    <w:rsid w:val="0099133C"/>
    <w:rsid w:val="00991E1A"/>
    <w:rsid w:val="00992F74"/>
    <w:rsid w:val="00993936"/>
    <w:rsid w:val="00994BD7"/>
    <w:rsid w:val="00995450"/>
    <w:rsid w:val="00996A1A"/>
    <w:rsid w:val="009A0A4D"/>
    <w:rsid w:val="009A0ADF"/>
    <w:rsid w:val="009A1AB2"/>
    <w:rsid w:val="009A1D15"/>
    <w:rsid w:val="009A2563"/>
    <w:rsid w:val="009A29E6"/>
    <w:rsid w:val="009A3D07"/>
    <w:rsid w:val="009A4696"/>
    <w:rsid w:val="009A5174"/>
    <w:rsid w:val="009A51CE"/>
    <w:rsid w:val="009A5AF4"/>
    <w:rsid w:val="009A5D93"/>
    <w:rsid w:val="009A661C"/>
    <w:rsid w:val="009A664A"/>
    <w:rsid w:val="009A77B5"/>
    <w:rsid w:val="009A7D1C"/>
    <w:rsid w:val="009B19FF"/>
    <w:rsid w:val="009B1F5F"/>
    <w:rsid w:val="009B24A7"/>
    <w:rsid w:val="009B2C82"/>
    <w:rsid w:val="009B422C"/>
    <w:rsid w:val="009B4277"/>
    <w:rsid w:val="009B456F"/>
    <w:rsid w:val="009B4844"/>
    <w:rsid w:val="009B5686"/>
    <w:rsid w:val="009B56BF"/>
    <w:rsid w:val="009B5774"/>
    <w:rsid w:val="009B5D1E"/>
    <w:rsid w:val="009B6732"/>
    <w:rsid w:val="009C02EF"/>
    <w:rsid w:val="009C1ABC"/>
    <w:rsid w:val="009C1E56"/>
    <w:rsid w:val="009C24BF"/>
    <w:rsid w:val="009C2721"/>
    <w:rsid w:val="009C2831"/>
    <w:rsid w:val="009C290A"/>
    <w:rsid w:val="009C34F9"/>
    <w:rsid w:val="009C352E"/>
    <w:rsid w:val="009C3571"/>
    <w:rsid w:val="009C4450"/>
    <w:rsid w:val="009C4FCE"/>
    <w:rsid w:val="009C5585"/>
    <w:rsid w:val="009C5EC6"/>
    <w:rsid w:val="009C6074"/>
    <w:rsid w:val="009C647E"/>
    <w:rsid w:val="009C66B6"/>
    <w:rsid w:val="009C6DF2"/>
    <w:rsid w:val="009D107D"/>
    <w:rsid w:val="009D131A"/>
    <w:rsid w:val="009D1E89"/>
    <w:rsid w:val="009D24A6"/>
    <w:rsid w:val="009D2E1E"/>
    <w:rsid w:val="009D30AA"/>
    <w:rsid w:val="009D4DB4"/>
    <w:rsid w:val="009D5489"/>
    <w:rsid w:val="009D549C"/>
    <w:rsid w:val="009D621A"/>
    <w:rsid w:val="009D66CA"/>
    <w:rsid w:val="009D70B8"/>
    <w:rsid w:val="009D7261"/>
    <w:rsid w:val="009E0221"/>
    <w:rsid w:val="009E16AF"/>
    <w:rsid w:val="009E2754"/>
    <w:rsid w:val="009E3CC9"/>
    <w:rsid w:val="009E4CC2"/>
    <w:rsid w:val="009E5665"/>
    <w:rsid w:val="009E661D"/>
    <w:rsid w:val="009E6E93"/>
    <w:rsid w:val="009E769F"/>
    <w:rsid w:val="009E7EAB"/>
    <w:rsid w:val="009F10E3"/>
    <w:rsid w:val="009F14B7"/>
    <w:rsid w:val="009F1A1D"/>
    <w:rsid w:val="009F1C20"/>
    <w:rsid w:val="009F2620"/>
    <w:rsid w:val="009F2676"/>
    <w:rsid w:val="009F33C5"/>
    <w:rsid w:val="009F3743"/>
    <w:rsid w:val="009F47F5"/>
    <w:rsid w:val="009F4C95"/>
    <w:rsid w:val="009F5670"/>
    <w:rsid w:val="009F5A83"/>
    <w:rsid w:val="009F5AFB"/>
    <w:rsid w:val="009F690B"/>
    <w:rsid w:val="009F6957"/>
    <w:rsid w:val="009F6BCC"/>
    <w:rsid w:val="009F6D45"/>
    <w:rsid w:val="009F6FE1"/>
    <w:rsid w:val="009F7A01"/>
    <w:rsid w:val="00A0007A"/>
    <w:rsid w:val="00A0122D"/>
    <w:rsid w:val="00A012A6"/>
    <w:rsid w:val="00A01405"/>
    <w:rsid w:val="00A01428"/>
    <w:rsid w:val="00A01730"/>
    <w:rsid w:val="00A01A87"/>
    <w:rsid w:val="00A02090"/>
    <w:rsid w:val="00A02DF8"/>
    <w:rsid w:val="00A02F77"/>
    <w:rsid w:val="00A0320A"/>
    <w:rsid w:val="00A03808"/>
    <w:rsid w:val="00A03C08"/>
    <w:rsid w:val="00A04FAB"/>
    <w:rsid w:val="00A04FB2"/>
    <w:rsid w:val="00A05989"/>
    <w:rsid w:val="00A05CA1"/>
    <w:rsid w:val="00A06067"/>
    <w:rsid w:val="00A063AE"/>
    <w:rsid w:val="00A06FEE"/>
    <w:rsid w:val="00A0716C"/>
    <w:rsid w:val="00A076E1"/>
    <w:rsid w:val="00A07A25"/>
    <w:rsid w:val="00A112A3"/>
    <w:rsid w:val="00A11416"/>
    <w:rsid w:val="00A11496"/>
    <w:rsid w:val="00A12ADB"/>
    <w:rsid w:val="00A13FB1"/>
    <w:rsid w:val="00A14F6B"/>
    <w:rsid w:val="00A16393"/>
    <w:rsid w:val="00A20E43"/>
    <w:rsid w:val="00A21933"/>
    <w:rsid w:val="00A22A1C"/>
    <w:rsid w:val="00A23DA1"/>
    <w:rsid w:val="00A24627"/>
    <w:rsid w:val="00A248F7"/>
    <w:rsid w:val="00A2538D"/>
    <w:rsid w:val="00A25A20"/>
    <w:rsid w:val="00A25C9B"/>
    <w:rsid w:val="00A267C5"/>
    <w:rsid w:val="00A27496"/>
    <w:rsid w:val="00A27871"/>
    <w:rsid w:val="00A27EDE"/>
    <w:rsid w:val="00A30BD8"/>
    <w:rsid w:val="00A31910"/>
    <w:rsid w:val="00A32484"/>
    <w:rsid w:val="00A32C67"/>
    <w:rsid w:val="00A33878"/>
    <w:rsid w:val="00A33D20"/>
    <w:rsid w:val="00A3436F"/>
    <w:rsid w:val="00A34BCA"/>
    <w:rsid w:val="00A34D09"/>
    <w:rsid w:val="00A34F38"/>
    <w:rsid w:val="00A34F99"/>
    <w:rsid w:val="00A35272"/>
    <w:rsid w:val="00A35566"/>
    <w:rsid w:val="00A35570"/>
    <w:rsid w:val="00A358AF"/>
    <w:rsid w:val="00A358EC"/>
    <w:rsid w:val="00A36304"/>
    <w:rsid w:val="00A367AF"/>
    <w:rsid w:val="00A3717F"/>
    <w:rsid w:val="00A37284"/>
    <w:rsid w:val="00A400A5"/>
    <w:rsid w:val="00A40329"/>
    <w:rsid w:val="00A40461"/>
    <w:rsid w:val="00A40700"/>
    <w:rsid w:val="00A40A9A"/>
    <w:rsid w:val="00A41218"/>
    <w:rsid w:val="00A41230"/>
    <w:rsid w:val="00A41DBF"/>
    <w:rsid w:val="00A430F6"/>
    <w:rsid w:val="00A434BB"/>
    <w:rsid w:val="00A4464F"/>
    <w:rsid w:val="00A452C8"/>
    <w:rsid w:val="00A457BA"/>
    <w:rsid w:val="00A45A68"/>
    <w:rsid w:val="00A45C25"/>
    <w:rsid w:val="00A45D98"/>
    <w:rsid w:val="00A46A30"/>
    <w:rsid w:val="00A46F5D"/>
    <w:rsid w:val="00A472D9"/>
    <w:rsid w:val="00A47859"/>
    <w:rsid w:val="00A47C6C"/>
    <w:rsid w:val="00A47FA7"/>
    <w:rsid w:val="00A47FFC"/>
    <w:rsid w:val="00A501AC"/>
    <w:rsid w:val="00A506C9"/>
    <w:rsid w:val="00A50842"/>
    <w:rsid w:val="00A52925"/>
    <w:rsid w:val="00A54C1E"/>
    <w:rsid w:val="00A54EB6"/>
    <w:rsid w:val="00A54F3A"/>
    <w:rsid w:val="00A5511C"/>
    <w:rsid w:val="00A55F9B"/>
    <w:rsid w:val="00A56563"/>
    <w:rsid w:val="00A5692C"/>
    <w:rsid w:val="00A57D9C"/>
    <w:rsid w:val="00A606BD"/>
    <w:rsid w:val="00A61652"/>
    <w:rsid w:val="00A616E9"/>
    <w:rsid w:val="00A6196C"/>
    <w:rsid w:val="00A6198D"/>
    <w:rsid w:val="00A61F27"/>
    <w:rsid w:val="00A62151"/>
    <w:rsid w:val="00A622BB"/>
    <w:rsid w:val="00A6252A"/>
    <w:rsid w:val="00A62B04"/>
    <w:rsid w:val="00A62D24"/>
    <w:rsid w:val="00A62E08"/>
    <w:rsid w:val="00A63B6D"/>
    <w:rsid w:val="00A642EF"/>
    <w:rsid w:val="00A64567"/>
    <w:rsid w:val="00A6477C"/>
    <w:rsid w:val="00A64A65"/>
    <w:rsid w:val="00A64CD4"/>
    <w:rsid w:val="00A665C9"/>
    <w:rsid w:val="00A66F6B"/>
    <w:rsid w:val="00A67498"/>
    <w:rsid w:val="00A67F53"/>
    <w:rsid w:val="00A7366A"/>
    <w:rsid w:val="00A75AC8"/>
    <w:rsid w:val="00A76AE7"/>
    <w:rsid w:val="00A76D80"/>
    <w:rsid w:val="00A774E8"/>
    <w:rsid w:val="00A81F3B"/>
    <w:rsid w:val="00A8231D"/>
    <w:rsid w:val="00A825A3"/>
    <w:rsid w:val="00A82E3F"/>
    <w:rsid w:val="00A83DD4"/>
    <w:rsid w:val="00A83DD8"/>
    <w:rsid w:val="00A84574"/>
    <w:rsid w:val="00A86E75"/>
    <w:rsid w:val="00A90002"/>
    <w:rsid w:val="00A90410"/>
    <w:rsid w:val="00A9149F"/>
    <w:rsid w:val="00A91514"/>
    <w:rsid w:val="00A9193D"/>
    <w:rsid w:val="00A92918"/>
    <w:rsid w:val="00A936C9"/>
    <w:rsid w:val="00A93AB3"/>
    <w:rsid w:val="00A94C18"/>
    <w:rsid w:val="00A95858"/>
    <w:rsid w:val="00A95A5E"/>
    <w:rsid w:val="00A96728"/>
    <w:rsid w:val="00A967EB"/>
    <w:rsid w:val="00A968C8"/>
    <w:rsid w:val="00A96C98"/>
    <w:rsid w:val="00A971B4"/>
    <w:rsid w:val="00A971E2"/>
    <w:rsid w:val="00A9743A"/>
    <w:rsid w:val="00A97660"/>
    <w:rsid w:val="00AA00BE"/>
    <w:rsid w:val="00AA1D84"/>
    <w:rsid w:val="00AA25D3"/>
    <w:rsid w:val="00AA2B9F"/>
    <w:rsid w:val="00AA2BC2"/>
    <w:rsid w:val="00AA30D5"/>
    <w:rsid w:val="00AA3481"/>
    <w:rsid w:val="00AA3616"/>
    <w:rsid w:val="00AA3757"/>
    <w:rsid w:val="00AA3ABA"/>
    <w:rsid w:val="00AA3C8B"/>
    <w:rsid w:val="00AA42C6"/>
    <w:rsid w:val="00AA4E75"/>
    <w:rsid w:val="00AA5337"/>
    <w:rsid w:val="00AA57E3"/>
    <w:rsid w:val="00AA69B3"/>
    <w:rsid w:val="00AA6A7A"/>
    <w:rsid w:val="00AA6BB9"/>
    <w:rsid w:val="00AA7557"/>
    <w:rsid w:val="00AB0043"/>
    <w:rsid w:val="00AB041E"/>
    <w:rsid w:val="00AB0F8B"/>
    <w:rsid w:val="00AB1C85"/>
    <w:rsid w:val="00AB2005"/>
    <w:rsid w:val="00AB2326"/>
    <w:rsid w:val="00AB2370"/>
    <w:rsid w:val="00AB2845"/>
    <w:rsid w:val="00AB2FD3"/>
    <w:rsid w:val="00AB33AF"/>
    <w:rsid w:val="00AB3A9B"/>
    <w:rsid w:val="00AB4444"/>
    <w:rsid w:val="00AB4479"/>
    <w:rsid w:val="00AB4798"/>
    <w:rsid w:val="00AB4D9F"/>
    <w:rsid w:val="00AB6810"/>
    <w:rsid w:val="00AB7821"/>
    <w:rsid w:val="00AC0D51"/>
    <w:rsid w:val="00AC0FA9"/>
    <w:rsid w:val="00AC2F66"/>
    <w:rsid w:val="00AC3CD2"/>
    <w:rsid w:val="00AC45B3"/>
    <w:rsid w:val="00AC4C58"/>
    <w:rsid w:val="00AC555F"/>
    <w:rsid w:val="00AC557E"/>
    <w:rsid w:val="00AC59EC"/>
    <w:rsid w:val="00AC5E2D"/>
    <w:rsid w:val="00AC5F80"/>
    <w:rsid w:val="00AC6776"/>
    <w:rsid w:val="00AC72C7"/>
    <w:rsid w:val="00AC7967"/>
    <w:rsid w:val="00AD0BFB"/>
    <w:rsid w:val="00AD141C"/>
    <w:rsid w:val="00AD1F38"/>
    <w:rsid w:val="00AD27A1"/>
    <w:rsid w:val="00AD3C08"/>
    <w:rsid w:val="00AD3C8F"/>
    <w:rsid w:val="00AD4149"/>
    <w:rsid w:val="00AD47DC"/>
    <w:rsid w:val="00AD5587"/>
    <w:rsid w:val="00AD606D"/>
    <w:rsid w:val="00AD617D"/>
    <w:rsid w:val="00AD6568"/>
    <w:rsid w:val="00AD79C6"/>
    <w:rsid w:val="00AE03ED"/>
    <w:rsid w:val="00AE0A79"/>
    <w:rsid w:val="00AE134E"/>
    <w:rsid w:val="00AE2283"/>
    <w:rsid w:val="00AE237A"/>
    <w:rsid w:val="00AE324F"/>
    <w:rsid w:val="00AE43FD"/>
    <w:rsid w:val="00AE44CF"/>
    <w:rsid w:val="00AE48BF"/>
    <w:rsid w:val="00AE578C"/>
    <w:rsid w:val="00AE597D"/>
    <w:rsid w:val="00AE67DD"/>
    <w:rsid w:val="00AE688D"/>
    <w:rsid w:val="00AE6E6C"/>
    <w:rsid w:val="00AE74CF"/>
    <w:rsid w:val="00AE7F2A"/>
    <w:rsid w:val="00AF1499"/>
    <w:rsid w:val="00AF1E1E"/>
    <w:rsid w:val="00AF26F1"/>
    <w:rsid w:val="00AF2B13"/>
    <w:rsid w:val="00AF328C"/>
    <w:rsid w:val="00AF3DB6"/>
    <w:rsid w:val="00AF4FAA"/>
    <w:rsid w:val="00AF559B"/>
    <w:rsid w:val="00AF5B7E"/>
    <w:rsid w:val="00AF5E88"/>
    <w:rsid w:val="00AF625D"/>
    <w:rsid w:val="00AF67B9"/>
    <w:rsid w:val="00AF6E07"/>
    <w:rsid w:val="00AF700A"/>
    <w:rsid w:val="00AF7717"/>
    <w:rsid w:val="00AF77EF"/>
    <w:rsid w:val="00AF7EE5"/>
    <w:rsid w:val="00B014EE"/>
    <w:rsid w:val="00B01FE2"/>
    <w:rsid w:val="00B0272A"/>
    <w:rsid w:val="00B029E6"/>
    <w:rsid w:val="00B02F2E"/>
    <w:rsid w:val="00B033DE"/>
    <w:rsid w:val="00B04DA8"/>
    <w:rsid w:val="00B05316"/>
    <w:rsid w:val="00B06196"/>
    <w:rsid w:val="00B06938"/>
    <w:rsid w:val="00B06FFD"/>
    <w:rsid w:val="00B111E3"/>
    <w:rsid w:val="00B1190F"/>
    <w:rsid w:val="00B1256C"/>
    <w:rsid w:val="00B13B4E"/>
    <w:rsid w:val="00B13F5C"/>
    <w:rsid w:val="00B13FEB"/>
    <w:rsid w:val="00B156AE"/>
    <w:rsid w:val="00B158E9"/>
    <w:rsid w:val="00B15B1F"/>
    <w:rsid w:val="00B16375"/>
    <w:rsid w:val="00B16D4F"/>
    <w:rsid w:val="00B16E5B"/>
    <w:rsid w:val="00B17117"/>
    <w:rsid w:val="00B20273"/>
    <w:rsid w:val="00B20A63"/>
    <w:rsid w:val="00B21245"/>
    <w:rsid w:val="00B21DCD"/>
    <w:rsid w:val="00B22F50"/>
    <w:rsid w:val="00B23F2E"/>
    <w:rsid w:val="00B244A6"/>
    <w:rsid w:val="00B25878"/>
    <w:rsid w:val="00B262A8"/>
    <w:rsid w:val="00B26885"/>
    <w:rsid w:val="00B27020"/>
    <w:rsid w:val="00B2730A"/>
    <w:rsid w:val="00B30D58"/>
    <w:rsid w:val="00B30F2C"/>
    <w:rsid w:val="00B31597"/>
    <w:rsid w:val="00B3228F"/>
    <w:rsid w:val="00B32295"/>
    <w:rsid w:val="00B32913"/>
    <w:rsid w:val="00B32D9F"/>
    <w:rsid w:val="00B34195"/>
    <w:rsid w:val="00B34F64"/>
    <w:rsid w:val="00B3726D"/>
    <w:rsid w:val="00B37798"/>
    <w:rsid w:val="00B414E5"/>
    <w:rsid w:val="00B42321"/>
    <w:rsid w:val="00B43785"/>
    <w:rsid w:val="00B43AFC"/>
    <w:rsid w:val="00B441DC"/>
    <w:rsid w:val="00B44285"/>
    <w:rsid w:val="00B44661"/>
    <w:rsid w:val="00B456F8"/>
    <w:rsid w:val="00B457E1"/>
    <w:rsid w:val="00B4624E"/>
    <w:rsid w:val="00B46CA9"/>
    <w:rsid w:val="00B506AF"/>
    <w:rsid w:val="00B50847"/>
    <w:rsid w:val="00B50D44"/>
    <w:rsid w:val="00B51644"/>
    <w:rsid w:val="00B520B7"/>
    <w:rsid w:val="00B526BA"/>
    <w:rsid w:val="00B52ABA"/>
    <w:rsid w:val="00B53491"/>
    <w:rsid w:val="00B54180"/>
    <w:rsid w:val="00B542D1"/>
    <w:rsid w:val="00B54A15"/>
    <w:rsid w:val="00B54C67"/>
    <w:rsid w:val="00B54FE4"/>
    <w:rsid w:val="00B559DE"/>
    <w:rsid w:val="00B5699C"/>
    <w:rsid w:val="00B606C4"/>
    <w:rsid w:val="00B63448"/>
    <w:rsid w:val="00B635E7"/>
    <w:rsid w:val="00B63972"/>
    <w:rsid w:val="00B63C20"/>
    <w:rsid w:val="00B64533"/>
    <w:rsid w:val="00B64DD4"/>
    <w:rsid w:val="00B64EA6"/>
    <w:rsid w:val="00B660DF"/>
    <w:rsid w:val="00B663E4"/>
    <w:rsid w:val="00B703E8"/>
    <w:rsid w:val="00B705DD"/>
    <w:rsid w:val="00B70C17"/>
    <w:rsid w:val="00B71536"/>
    <w:rsid w:val="00B734BE"/>
    <w:rsid w:val="00B73A6E"/>
    <w:rsid w:val="00B73B8F"/>
    <w:rsid w:val="00B75B55"/>
    <w:rsid w:val="00B76386"/>
    <w:rsid w:val="00B771D5"/>
    <w:rsid w:val="00B80231"/>
    <w:rsid w:val="00B80E95"/>
    <w:rsid w:val="00B81275"/>
    <w:rsid w:val="00B814AA"/>
    <w:rsid w:val="00B8160F"/>
    <w:rsid w:val="00B81A33"/>
    <w:rsid w:val="00B81AB0"/>
    <w:rsid w:val="00B8270B"/>
    <w:rsid w:val="00B82989"/>
    <w:rsid w:val="00B82D56"/>
    <w:rsid w:val="00B83906"/>
    <w:rsid w:val="00B83E67"/>
    <w:rsid w:val="00B84E3A"/>
    <w:rsid w:val="00B868CC"/>
    <w:rsid w:val="00B8694B"/>
    <w:rsid w:val="00B870C7"/>
    <w:rsid w:val="00B877F4"/>
    <w:rsid w:val="00B87E45"/>
    <w:rsid w:val="00B91129"/>
    <w:rsid w:val="00B914E8"/>
    <w:rsid w:val="00B928EB"/>
    <w:rsid w:val="00B92E3B"/>
    <w:rsid w:val="00B93001"/>
    <w:rsid w:val="00B93E11"/>
    <w:rsid w:val="00B96FA1"/>
    <w:rsid w:val="00B97013"/>
    <w:rsid w:val="00B970E4"/>
    <w:rsid w:val="00B9729F"/>
    <w:rsid w:val="00B972C8"/>
    <w:rsid w:val="00BA0A7A"/>
    <w:rsid w:val="00BA1D95"/>
    <w:rsid w:val="00BA1FAA"/>
    <w:rsid w:val="00BA1FCA"/>
    <w:rsid w:val="00BA2382"/>
    <w:rsid w:val="00BA25E7"/>
    <w:rsid w:val="00BA2CD8"/>
    <w:rsid w:val="00BA2D5C"/>
    <w:rsid w:val="00BA2EC6"/>
    <w:rsid w:val="00BA55AB"/>
    <w:rsid w:val="00BA5680"/>
    <w:rsid w:val="00BA6A1B"/>
    <w:rsid w:val="00BB0122"/>
    <w:rsid w:val="00BB062E"/>
    <w:rsid w:val="00BB13FD"/>
    <w:rsid w:val="00BB19FE"/>
    <w:rsid w:val="00BB3070"/>
    <w:rsid w:val="00BB3CC3"/>
    <w:rsid w:val="00BB3F96"/>
    <w:rsid w:val="00BB3FE2"/>
    <w:rsid w:val="00BB4222"/>
    <w:rsid w:val="00BB515E"/>
    <w:rsid w:val="00BB65C0"/>
    <w:rsid w:val="00BB74BE"/>
    <w:rsid w:val="00BB77D5"/>
    <w:rsid w:val="00BC03B9"/>
    <w:rsid w:val="00BC209D"/>
    <w:rsid w:val="00BC210E"/>
    <w:rsid w:val="00BC2DAD"/>
    <w:rsid w:val="00BC3CF6"/>
    <w:rsid w:val="00BC401D"/>
    <w:rsid w:val="00BC4077"/>
    <w:rsid w:val="00BC41AD"/>
    <w:rsid w:val="00BC49B2"/>
    <w:rsid w:val="00BC52FF"/>
    <w:rsid w:val="00BC5ABD"/>
    <w:rsid w:val="00BC6C61"/>
    <w:rsid w:val="00BC7AC3"/>
    <w:rsid w:val="00BC7C91"/>
    <w:rsid w:val="00BC7D05"/>
    <w:rsid w:val="00BD09B0"/>
    <w:rsid w:val="00BD0F8D"/>
    <w:rsid w:val="00BD1662"/>
    <w:rsid w:val="00BD1C89"/>
    <w:rsid w:val="00BD207F"/>
    <w:rsid w:val="00BD3D1B"/>
    <w:rsid w:val="00BD4153"/>
    <w:rsid w:val="00BD4565"/>
    <w:rsid w:val="00BD4916"/>
    <w:rsid w:val="00BD528B"/>
    <w:rsid w:val="00BD5368"/>
    <w:rsid w:val="00BD53AB"/>
    <w:rsid w:val="00BD5D3C"/>
    <w:rsid w:val="00BD6030"/>
    <w:rsid w:val="00BD6303"/>
    <w:rsid w:val="00BD6BC8"/>
    <w:rsid w:val="00BD6E6A"/>
    <w:rsid w:val="00BD71F2"/>
    <w:rsid w:val="00BD7D88"/>
    <w:rsid w:val="00BE0D84"/>
    <w:rsid w:val="00BE0F9D"/>
    <w:rsid w:val="00BE15C5"/>
    <w:rsid w:val="00BE1662"/>
    <w:rsid w:val="00BE1ACC"/>
    <w:rsid w:val="00BE2100"/>
    <w:rsid w:val="00BE2467"/>
    <w:rsid w:val="00BE2AC0"/>
    <w:rsid w:val="00BE2E38"/>
    <w:rsid w:val="00BE3645"/>
    <w:rsid w:val="00BE36C2"/>
    <w:rsid w:val="00BE67BF"/>
    <w:rsid w:val="00BE7304"/>
    <w:rsid w:val="00BE75C4"/>
    <w:rsid w:val="00BE7819"/>
    <w:rsid w:val="00BE7C8B"/>
    <w:rsid w:val="00BF09A1"/>
    <w:rsid w:val="00BF0A21"/>
    <w:rsid w:val="00BF1CFC"/>
    <w:rsid w:val="00BF24C8"/>
    <w:rsid w:val="00BF2D5F"/>
    <w:rsid w:val="00BF3197"/>
    <w:rsid w:val="00BF3BCB"/>
    <w:rsid w:val="00BF4657"/>
    <w:rsid w:val="00BF510B"/>
    <w:rsid w:val="00BF6061"/>
    <w:rsid w:val="00BF6767"/>
    <w:rsid w:val="00BF6A8E"/>
    <w:rsid w:val="00BF724C"/>
    <w:rsid w:val="00C01116"/>
    <w:rsid w:val="00C01C28"/>
    <w:rsid w:val="00C01D26"/>
    <w:rsid w:val="00C021D0"/>
    <w:rsid w:val="00C0303A"/>
    <w:rsid w:val="00C03266"/>
    <w:rsid w:val="00C03678"/>
    <w:rsid w:val="00C03775"/>
    <w:rsid w:val="00C03EC7"/>
    <w:rsid w:val="00C04AF4"/>
    <w:rsid w:val="00C04DDA"/>
    <w:rsid w:val="00C05092"/>
    <w:rsid w:val="00C05E3B"/>
    <w:rsid w:val="00C05EBA"/>
    <w:rsid w:val="00C0666A"/>
    <w:rsid w:val="00C07244"/>
    <w:rsid w:val="00C07880"/>
    <w:rsid w:val="00C07C86"/>
    <w:rsid w:val="00C10A90"/>
    <w:rsid w:val="00C120A1"/>
    <w:rsid w:val="00C12633"/>
    <w:rsid w:val="00C128B0"/>
    <w:rsid w:val="00C14556"/>
    <w:rsid w:val="00C15442"/>
    <w:rsid w:val="00C1549B"/>
    <w:rsid w:val="00C15E2F"/>
    <w:rsid w:val="00C1613B"/>
    <w:rsid w:val="00C161ED"/>
    <w:rsid w:val="00C1711C"/>
    <w:rsid w:val="00C1758A"/>
    <w:rsid w:val="00C178C7"/>
    <w:rsid w:val="00C2060D"/>
    <w:rsid w:val="00C20CD7"/>
    <w:rsid w:val="00C2100E"/>
    <w:rsid w:val="00C22198"/>
    <w:rsid w:val="00C23A3D"/>
    <w:rsid w:val="00C23C74"/>
    <w:rsid w:val="00C24307"/>
    <w:rsid w:val="00C243F4"/>
    <w:rsid w:val="00C24585"/>
    <w:rsid w:val="00C24F8C"/>
    <w:rsid w:val="00C24F93"/>
    <w:rsid w:val="00C25008"/>
    <w:rsid w:val="00C25578"/>
    <w:rsid w:val="00C27D15"/>
    <w:rsid w:val="00C27F36"/>
    <w:rsid w:val="00C30B89"/>
    <w:rsid w:val="00C30F28"/>
    <w:rsid w:val="00C313F1"/>
    <w:rsid w:val="00C314BC"/>
    <w:rsid w:val="00C32331"/>
    <w:rsid w:val="00C331D0"/>
    <w:rsid w:val="00C34204"/>
    <w:rsid w:val="00C34A03"/>
    <w:rsid w:val="00C34D3C"/>
    <w:rsid w:val="00C35003"/>
    <w:rsid w:val="00C35359"/>
    <w:rsid w:val="00C36F50"/>
    <w:rsid w:val="00C37526"/>
    <w:rsid w:val="00C377F5"/>
    <w:rsid w:val="00C402E0"/>
    <w:rsid w:val="00C40435"/>
    <w:rsid w:val="00C407AA"/>
    <w:rsid w:val="00C40F2B"/>
    <w:rsid w:val="00C41C3C"/>
    <w:rsid w:val="00C429BA"/>
    <w:rsid w:val="00C43849"/>
    <w:rsid w:val="00C43D1C"/>
    <w:rsid w:val="00C44483"/>
    <w:rsid w:val="00C4496A"/>
    <w:rsid w:val="00C44AD9"/>
    <w:rsid w:val="00C45551"/>
    <w:rsid w:val="00C45A00"/>
    <w:rsid w:val="00C45A64"/>
    <w:rsid w:val="00C45AC3"/>
    <w:rsid w:val="00C4659A"/>
    <w:rsid w:val="00C479DE"/>
    <w:rsid w:val="00C50372"/>
    <w:rsid w:val="00C51157"/>
    <w:rsid w:val="00C51B10"/>
    <w:rsid w:val="00C51D34"/>
    <w:rsid w:val="00C52B1D"/>
    <w:rsid w:val="00C533F4"/>
    <w:rsid w:val="00C5350A"/>
    <w:rsid w:val="00C53637"/>
    <w:rsid w:val="00C5369A"/>
    <w:rsid w:val="00C5565D"/>
    <w:rsid w:val="00C55D0F"/>
    <w:rsid w:val="00C57126"/>
    <w:rsid w:val="00C600C1"/>
    <w:rsid w:val="00C60A63"/>
    <w:rsid w:val="00C60EBE"/>
    <w:rsid w:val="00C6162F"/>
    <w:rsid w:val="00C62132"/>
    <w:rsid w:val="00C63106"/>
    <w:rsid w:val="00C63261"/>
    <w:rsid w:val="00C644ED"/>
    <w:rsid w:val="00C64FE6"/>
    <w:rsid w:val="00C6521F"/>
    <w:rsid w:val="00C6529B"/>
    <w:rsid w:val="00C70862"/>
    <w:rsid w:val="00C71317"/>
    <w:rsid w:val="00C71C57"/>
    <w:rsid w:val="00C72548"/>
    <w:rsid w:val="00C725F7"/>
    <w:rsid w:val="00C73B94"/>
    <w:rsid w:val="00C74018"/>
    <w:rsid w:val="00C742DD"/>
    <w:rsid w:val="00C74803"/>
    <w:rsid w:val="00C75392"/>
    <w:rsid w:val="00C75787"/>
    <w:rsid w:val="00C75F20"/>
    <w:rsid w:val="00C769CD"/>
    <w:rsid w:val="00C77DA6"/>
    <w:rsid w:val="00C8011C"/>
    <w:rsid w:val="00C8063C"/>
    <w:rsid w:val="00C8092A"/>
    <w:rsid w:val="00C812B6"/>
    <w:rsid w:val="00C814EF"/>
    <w:rsid w:val="00C81A63"/>
    <w:rsid w:val="00C84590"/>
    <w:rsid w:val="00C84F8E"/>
    <w:rsid w:val="00C850D1"/>
    <w:rsid w:val="00C857C4"/>
    <w:rsid w:val="00C86055"/>
    <w:rsid w:val="00C86608"/>
    <w:rsid w:val="00C87A45"/>
    <w:rsid w:val="00C91018"/>
    <w:rsid w:val="00C91573"/>
    <w:rsid w:val="00C92E95"/>
    <w:rsid w:val="00C9380A"/>
    <w:rsid w:val="00C946C3"/>
    <w:rsid w:val="00C9487D"/>
    <w:rsid w:val="00C94C8C"/>
    <w:rsid w:val="00C957AF"/>
    <w:rsid w:val="00CA045F"/>
    <w:rsid w:val="00CA21EB"/>
    <w:rsid w:val="00CA28AD"/>
    <w:rsid w:val="00CA2BDA"/>
    <w:rsid w:val="00CA2EC3"/>
    <w:rsid w:val="00CA320F"/>
    <w:rsid w:val="00CA3ABD"/>
    <w:rsid w:val="00CA3BBC"/>
    <w:rsid w:val="00CA55DD"/>
    <w:rsid w:val="00CA561D"/>
    <w:rsid w:val="00CA5ADE"/>
    <w:rsid w:val="00CA7338"/>
    <w:rsid w:val="00CB0122"/>
    <w:rsid w:val="00CB0691"/>
    <w:rsid w:val="00CB122B"/>
    <w:rsid w:val="00CB1381"/>
    <w:rsid w:val="00CB14F8"/>
    <w:rsid w:val="00CB184A"/>
    <w:rsid w:val="00CB2040"/>
    <w:rsid w:val="00CB27B3"/>
    <w:rsid w:val="00CB2936"/>
    <w:rsid w:val="00CB2D38"/>
    <w:rsid w:val="00CB3266"/>
    <w:rsid w:val="00CB3864"/>
    <w:rsid w:val="00CB567A"/>
    <w:rsid w:val="00CB6641"/>
    <w:rsid w:val="00CB6785"/>
    <w:rsid w:val="00CB6ECC"/>
    <w:rsid w:val="00CB7239"/>
    <w:rsid w:val="00CC1ABA"/>
    <w:rsid w:val="00CC3939"/>
    <w:rsid w:val="00CC3D70"/>
    <w:rsid w:val="00CC441F"/>
    <w:rsid w:val="00CC55A2"/>
    <w:rsid w:val="00CC6B28"/>
    <w:rsid w:val="00CC6F75"/>
    <w:rsid w:val="00CC7A1F"/>
    <w:rsid w:val="00CD0A01"/>
    <w:rsid w:val="00CD1225"/>
    <w:rsid w:val="00CD1F80"/>
    <w:rsid w:val="00CD2261"/>
    <w:rsid w:val="00CD2BA4"/>
    <w:rsid w:val="00CD46A1"/>
    <w:rsid w:val="00CD4CA3"/>
    <w:rsid w:val="00CD5512"/>
    <w:rsid w:val="00CD5C76"/>
    <w:rsid w:val="00CD5D5C"/>
    <w:rsid w:val="00CD6F3B"/>
    <w:rsid w:val="00CD739B"/>
    <w:rsid w:val="00CD7AC1"/>
    <w:rsid w:val="00CE11AB"/>
    <w:rsid w:val="00CE23BC"/>
    <w:rsid w:val="00CE2EEA"/>
    <w:rsid w:val="00CE2EF5"/>
    <w:rsid w:val="00CE4340"/>
    <w:rsid w:val="00CE53B2"/>
    <w:rsid w:val="00CE5989"/>
    <w:rsid w:val="00CE5AF7"/>
    <w:rsid w:val="00CE5CFA"/>
    <w:rsid w:val="00CE6724"/>
    <w:rsid w:val="00CE7456"/>
    <w:rsid w:val="00CF10DC"/>
    <w:rsid w:val="00CF118B"/>
    <w:rsid w:val="00CF1AE0"/>
    <w:rsid w:val="00CF2FBB"/>
    <w:rsid w:val="00CF3048"/>
    <w:rsid w:val="00CF30E2"/>
    <w:rsid w:val="00CF41D2"/>
    <w:rsid w:val="00CF4224"/>
    <w:rsid w:val="00CF562B"/>
    <w:rsid w:val="00CF5DB3"/>
    <w:rsid w:val="00CF69CC"/>
    <w:rsid w:val="00CF708C"/>
    <w:rsid w:val="00CF7A47"/>
    <w:rsid w:val="00CF7D3B"/>
    <w:rsid w:val="00CF7DC8"/>
    <w:rsid w:val="00D00308"/>
    <w:rsid w:val="00D01297"/>
    <w:rsid w:val="00D0134A"/>
    <w:rsid w:val="00D01F09"/>
    <w:rsid w:val="00D020CF"/>
    <w:rsid w:val="00D02C59"/>
    <w:rsid w:val="00D0303E"/>
    <w:rsid w:val="00D03188"/>
    <w:rsid w:val="00D03B52"/>
    <w:rsid w:val="00D04FA5"/>
    <w:rsid w:val="00D04FC9"/>
    <w:rsid w:val="00D06C12"/>
    <w:rsid w:val="00D06CED"/>
    <w:rsid w:val="00D06E5E"/>
    <w:rsid w:val="00D070B4"/>
    <w:rsid w:val="00D10013"/>
    <w:rsid w:val="00D10067"/>
    <w:rsid w:val="00D1037F"/>
    <w:rsid w:val="00D10CCA"/>
    <w:rsid w:val="00D11D8D"/>
    <w:rsid w:val="00D1282E"/>
    <w:rsid w:val="00D12C92"/>
    <w:rsid w:val="00D1355D"/>
    <w:rsid w:val="00D1437C"/>
    <w:rsid w:val="00D15481"/>
    <w:rsid w:val="00D16435"/>
    <w:rsid w:val="00D16E23"/>
    <w:rsid w:val="00D174F0"/>
    <w:rsid w:val="00D17EAD"/>
    <w:rsid w:val="00D20077"/>
    <w:rsid w:val="00D202B2"/>
    <w:rsid w:val="00D205AB"/>
    <w:rsid w:val="00D2093A"/>
    <w:rsid w:val="00D20D7A"/>
    <w:rsid w:val="00D21540"/>
    <w:rsid w:val="00D21623"/>
    <w:rsid w:val="00D219D0"/>
    <w:rsid w:val="00D21E4C"/>
    <w:rsid w:val="00D22660"/>
    <w:rsid w:val="00D22745"/>
    <w:rsid w:val="00D237FF"/>
    <w:rsid w:val="00D23CC8"/>
    <w:rsid w:val="00D24258"/>
    <w:rsid w:val="00D24EB9"/>
    <w:rsid w:val="00D252A3"/>
    <w:rsid w:val="00D26EF1"/>
    <w:rsid w:val="00D27577"/>
    <w:rsid w:val="00D278CC"/>
    <w:rsid w:val="00D27D1F"/>
    <w:rsid w:val="00D315A0"/>
    <w:rsid w:val="00D324EC"/>
    <w:rsid w:val="00D32CA0"/>
    <w:rsid w:val="00D33896"/>
    <w:rsid w:val="00D346A8"/>
    <w:rsid w:val="00D34787"/>
    <w:rsid w:val="00D34AF4"/>
    <w:rsid w:val="00D3502F"/>
    <w:rsid w:val="00D355E5"/>
    <w:rsid w:val="00D35F64"/>
    <w:rsid w:val="00D36041"/>
    <w:rsid w:val="00D360D8"/>
    <w:rsid w:val="00D36514"/>
    <w:rsid w:val="00D37D9B"/>
    <w:rsid w:val="00D40C96"/>
    <w:rsid w:val="00D40F3B"/>
    <w:rsid w:val="00D41C04"/>
    <w:rsid w:val="00D450B7"/>
    <w:rsid w:val="00D45793"/>
    <w:rsid w:val="00D45EFF"/>
    <w:rsid w:val="00D46CF8"/>
    <w:rsid w:val="00D46D88"/>
    <w:rsid w:val="00D470A0"/>
    <w:rsid w:val="00D47EE8"/>
    <w:rsid w:val="00D505B5"/>
    <w:rsid w:val="00D50A9C"/>
    <w:rsid w:val="00D50B4D"/>
    <w:rsid w:val="00D50F6A"/>
    <w:rsid w:val="00D513E0"/>
    <w:rsid w:val="00D51623"/>
    <w:rsid w:val="00D51FA1"/>
    <w:rsid w:val="00D524BB"/>
    <w:rsid w:val="00D525B1"/>
    <w:rsid w:val="00D536C0"/>
    <w:rsid w:val="00D55AB2"/>
    <w:rsid w:val="00D568B4"/>
    <w:rsid w:val="00D57018"/>
    <w:rsid w:val="00D571F3"/>
    <w:rsid w:val="00D57CE9"/>
    <w:rsid w:val="00D60582"/>
    <w:rsid w:val="00D60A01"/>
    <w:rsid w:val="00D610CF"/>
    <w:rsid w:val="00D61485"/>
    <w:rsid w:val="00D6223F"/>
    <w:rsid w:val="00D634B7"/>
    <w:rsid w:val="00D65258"/>
    <w:rsid w:val="00D65EC7"/>
    <w:rsid w:val="00D66479"/>
    <w:rsid w:val="00D67695"/>
    <w:rsid w:val="00D706CD"/>
    <w:rsid w:val="00D708D0"/>
    <w:rsid w:val="00D70C95"/>
    <w:rsid w:val="00D70DD1"/>
    <w:rsid w:val="00D71124"/>
    <w:rsid w:val="00D713BF"/>
    <w:rsid w:val="00D71ECA"/>
    <w:rsid w:val="00D7220B"/>
    <w:rsid w:val="00D7286E"/>
    <w:rsid w:val="00D73001"/>
    <w:rsid w:val="00D73217"/>
    <w:rsid w:val="00D7371B"/>
    <w:rsid w:val="00D7386E"/>
    <w:rsid w:val="00D7537E"/>
    <w:rsid w:val="00D75536"/>
    <w:rsid w:val="00D7562F"/>
    <w:rsid w:val="00D75C5A"/>
    <w:rsid w:val="00D75CEF"/>
    <w:rsid w:val="00D75E4D"/>
    <w:rsid w:val="00D75F48"/>
    <w:rsid w:val="00D769E9"/>
    <w:rsid w:val="00D76B32"/>
    <w:rsid w:val="00D77881"/>
    <w:rsid w:val="00D77995"/>
    <w:rsid w:val="00D77B88"/>
    <w:rsid w:val="00D80216"/>
    <w:rsid w:val="00D80604"/>
    <w:rsid w:val="00D8126B"/>
    <w:rsid w:val="00D820B4"/>
    <w:rsid w:val="00D82D7D"/>
    <w:rsid w:val="00D83231"/>
    <w:rsid w:val="00D83349"/>
    <w:rsid w:val="00D83C62"/>
    <w:rsid w:val="00D841C7"/>
    <w:rsid w:val="00D84ECB"/>
    <w:rsid w:val="00D84FD3"/>
    <w:rsid w:val="00D85882"/>
    <w:rsid w:val="00D86FE2"/>
    <w:rsid w:val="00D902BC"/>
    <w:rsid w:val="00D9033D"/>
    <w:rsid w:val="00D903BA"/>
    <w:rsid w:val="00D90DC5"/>
    <w:rsid w:val="00D90F01"/>
    <w:rsid w:val="00D914DF"/>
    <w:rsid w:val="00D91621"/>
    <w:rsid w:val="00D91B41"/>
    <w:rsid w:val="00D92507"/>
    <w:rsid w:val="00D938E3"/>
    <w:rsid w:val="00D951AE"/>
    <w:rsid w:val="00D95F4F"/>
    <w:rsid w:val="00D9683A"/>
    <w:rsid w:val="00D96C57"/>
    <w:rsid w:val="00DA08C0"/>
    <w:rsid w:val="00DA0D9D"/>
    <w:rsid w:val="00DA176F"/>
    <w:rsid w:val="00DA1BAB"/>
    <w:rsid w:val="00DA2452"/>
    <w:rsid w:val="00DA5912"/>
    <w:rsid w:val="00DA5F88"/>
    <w:rsid w:val="00DA6040"/>
    <w:rsid w:val="00DA699C"/>
    <w:rsid w:val="00DA6C67"/>
    <w:rsid w:val="00DA6E66"/>
    <w:rsid w:val="00DA7C40"/>
    <w:rsid w:val="00DB04F8"/>
    <w:rsid w:val="00DB08E8"/>
    <w:rsid w:val="00DB2432"/>
    <w:rsid w:val="00DB293D"/>
    <w:rsid w:val="00DB3060"/>
    <w:rsid w:val="00DB328E"/>
    <w:rsid w:val="00DB5E5D"/>
    <w:rsid w:val="00DB5F72"/>
    <w:rsid w:val="00DB64DE"/>
    <w:rsid w:val="00DB7211"/>
    <w:rsid w:val="00DB7F0E"/>
    <w:rsid w:val="00DC03E2"/>
    <w:rsid w:val="00DC0928"/>
    <w:rsid w:val="00DC0B96"/>
    <w:rsid w:val="00DC0BDF"/>
    <w:rsid w:val="00DC1B4F"/>
    <w:rsid w:val="00DC1FAA"/>
    <w:rsid w:val="00DC21DF"/>
    <w:rsid w:val="00DC2442"/>
    <w:rsid w:val="00DC2578"/>
    <w:rsid w:val="00DC2C30"/>
    <w:rsid w:val="00DC367D"/>
    <w:rsid w:val="00DC3871"/>
    <w:rsid w:val="00DC3D32"/>
    <w:rsid w:val="00DC43EA"/>
    <w:rsid w:val="00DC48F7"/>
    <w:rsid w:val="00DC4D81"/>
    <w:rsid w:val="00DC6026"/>
    <w:rsid w:val="00DC66B7"/>
    <w:rsid w:val="00DC6D7A"/>
    <w:rsid w:val="00DC78B1"/>
    <w:rsid w:val="00DC7D2B"/>
    <w:rsid w:val="00DD0053"/>
    <w:rsid w:val="00DD0318"/>
    <w:rsid w:val="00DD0552"/>
    <w:rsid w:val="00DD1B63"/>
    <w:rsid w:val="00DD1DE2"/>
    <w:rsid w:val="00DD2E1B"/>
    <w:rsid w:val="00DD3044"/>
    <w:rsid w:val="00DD3976"/>
    <w:rsid w:val="00DD3BAF"/>
    <w:rsid w:val="00DD3E60"/>
    <w:rsid w:val="00DD3EC7"/>
    <w:rsid w:val="00DD46C0"/>
    <w:rsid w:val="00DD4F0E"/>
    <w:rsid w:val="00DD6631"/>
    <w:rsid w:val="00DD6A6F"/>
    <w:rsid w:val="00DD7CD0"/>
    <w:rsid w:val="00DE12B2"/>
    <w:rsid w:val="00DE21F2"/>
    <w:rsid w:val="00DE24AA"/>
    <w:rsid w:val="00DE2ACC"/>
    <w:rsid w:val="00DE360B"/>
    <w:rsid w:val="00DE37C0"/>
    <w:rsid w:val="00DE3AFB"/>
    <w:rsid w:val="00DE4005"/>
    <w:rsid w:val="00DE42E2"/>
    <w:rsid w:val="00DE44A9"/>
    <w:rsid w:val="00DE5112"/>
    <w:rsid w:val="00DE555C"/>
    <w:rsid w:val="00DE5C52"/>
    <w:rsid w:val="00DE6AAE"/>
    <w:rsid w:val="00DE6C90"/>
    <w:rsid w:val="00DF064F"/>
    <w:rsid w:val="00DF0BFB"/>
    <w:rsid w:val="00DF147C"/>
    <w:rsid w:val="00DF1636"/>
    <w:rsid w:val="00DF17A5"/>
    <w:rsid w:val="00DF1B4A"/>
    <w:rsid w:val="00DF2A95"/>
    <w:rsid w:val="00DF3009"/>
    <w:rsid w:val="00DF3889"/>
    <w:rsid w:val="00DF4013"/>
    <w:rsid w:val="00DF5DAB"/>
    <w:rsid w:val="00DF6466"/>
    <w:rsid w:val="00DF7731"/>
    <w:rsid w:val="00DF7D4D"/>
    <w:rsid w:val="00E0022F"/>
    <w:rsid w:val="00E0034F"/>
    <w:rsid w:val="00E00BCC"/>
    <w:rsid w:val="00E00E50"/>
    <w:rsid w:val="00E011D9"/>
    <w:rsid w:val="00E01627"/>
    <w:rsid w:val="00E01E34"/>
    <w:rsid w:val="00E02181"/>
    <w:rsid w:val="00E0434D"/>
    <w:rsid w:val="00E06B86"/>
    <w:rsid w:val="00E06FD9"/>
    <w:rsid w:val="00E07875"/>
    <w:rsid w:val="00E078ED"/>
    <w:rsid w:val="00E1047B"/>
    <w:rsid w:val="00E11678"/>
    <w:rsid w:val="00E116FF"/>
    <w:rsid w:val="00E11EF3"/>
    <w:rsid w:val="00E13008"/>
    <w:rsid w:val="00E135A5"/>
    <w:rsid w:val="00E140A2"/>
    <w:rsid w:val="00E16C42"/>
    <w:rsid w:val="00E1748B"/>
    <w:rsid w:val="00E17A00"/>
    <w:rsid w:val="00E17C2E"/>
    <w:rsid w:val="00E20BFD"/>
    <w:rsid w:val="00E20E39"/>
    <w:rsid w:val="00E20EAA"/>
    <w:rsid w:val="00E21FE6"/>
    <w:rsid w:val="00E2249D"/>
    <w:rsid w:val="00E22F32"/>
    <w:rsid w:val="00E25150"/>
    <w:rsid w:val="00E2564E"/>
    <w:rsid w:val="00E25A39"/>
    <w:rsid w:val="00E26C31"/>
    <w:rsid w:val="00E30243"/>
    <w:rsid w:val="00E304F6"/>
    <w:rsid w:val="00E30611"/>
    <w:rsid w:val="00E306A9"/>
    <w:rsid w:val="00E30F44"/>
    <w:rsid w:val="00E33299"/>
    <w:rsid w:val="00E33CE6"/>
    <w:rsid w:val="00E33D00"/>
    <w:rsid w:val="00E342AD"/>
    <w:rsid w:val="00E353BA"/>
    <w:rsid w:val="00E3562D"/>
    <w:rsid w:val="00E366F6"/>
    <w:rsid w:val="00E36969"/>
    <w:rsid w:val="00E372DF"/>
    <w:rsid w:val="00E375FA"/>
    <w:rsid w:val="00E376C3"/>
    <w:rsid w:val="00E41549"/>
    <w:rsid w:val="00E418D2"/>
    <w:rsid w:val="00E41C7B"/>
    <w:rsid w:val="00E422CE"/>
    <w:rsid w:val="00E4245E"/>
    <w:rsid w:val="00E42677"/>
    <w:rsid w:val="00E42BB6"/>
    <w:rsid w:val="00E455C5"/>
    <w:rsid w:val="00E4567C"/>
    <w:rsid w:val="00E45936"/>
    <w:rsid w:val="00E46020"/>
    <w:rsid w:val="00E46922"/>
    <w:rsid w:val="00E47728"/>
    <w:rsid w:val="00E47B0A"/>
    <w:rsid w:val="00E51E49"/>
    <w:rsid w:val="00E534C4"/>
    <w:rsid w:val="00E53D54"/>
    <w:rsid w:val="00E53DB1"/>
    <w:rsid w:val="00E54FE8"/>
    <w:rsid w:val="00E55F0C"/>
    <w:rsid w:val="00E5654F"/>
    <w:rsid w:val="00E572D7"/>
    <w:rsid w:val="00E5742B"/>
    <w:rsid w:val="00E576AF"/>
    <w:rsid w:val="00E579CE"/>
    <w:rsid w:val="00E60078"/>
    <w:rsid w:val="00E608FA"/>
    <w:rsid w:val="00E6095F"/>
    <w:rsid w:val="00E61036"/>
    <w:rsid w:val="00E61CDF"/>
    <w:rsid w:val="00E61DE1"/>
    <w:rsid w:val="00E62F7E"/>
    <w:rsid w:val="00E63D4D"/>
    <w:rsid w:val="00E63E61"/>
    <w:rsid w:val="00E64672"/>
    <w:rsid w:val="00E64961"/>
    <w:rsid w:val="00E64FD1"/>
    <w:rsid w:val="00E65B75"/>
    <w:rsid w:val="00E67B9E"/>
    <w:rsid w:val="00E67F02"/>
    <w:rsid w:val="00E70146"/>
    <w:rsid w:val="00E71FFD"/>
    <w:rsid w:val="00E7219E"/>
    <w:rsid w:val="00E731F9"/>
    <w:rsid w:val="00E73408"/>
    <w:rsid w:val="00E74E9C"/>
    <w:rsid w:val="00E757D9"/>
    <w:rsid w:val="00E775EC"/>
    <w:rsid w:val="00E776CF"/>
    <w:rsid w:val="00E77A58"/>
    <w:rsid w:val="00E77EDB"/>
    <w:rsid w:val="00E807A4"/>
    <w:rsid w:val="00E80D7D"/>
    <w:rsid w:val="00E810A6"/>
    <w:rsid w:val="00E81CAD"/>
    <w:rsid w:val="00E81D3F"/>
    <w:rsid w:val="00E82479"/>
    <w:rsid w:val="00E832C0"/>
    <w:rsid w:val="00E83619"/>
    <w:rsid w:val="00E83A50"/>
    <w:rsid w:val="00E844A7"/>
    <w:rsid w:val="00E85519"/>
    <w:rsid w:val="00E85E29"/>
    <w:rsid w:val="00E867C5"/>
    <w:rsid w:val="00E86928"/>
    <w:rsid w:val="00E86F73"/>
    <w:rsid w:val="00E87829"/>
    <w:rsid w:val="00E879FE"/>
    <w:rsid w:val="00E90BCE"/>
    <w:rsid w:val="00E90CD3"/>
    <w:rsid w:val="00E913C3"/>
    <w:rsid w:val="00E91560"/>
    <w:rsid w:val="00E92050"/>
    <w:rsid w:val="00E925C4"/>
    <w:rsid w:val="00E9278C"/>
    <w:rsid w:val="00E93541"/>
    <w:rsid w:val="00E93B43"/>
    <w:rsid w:val="00E94039"/>
    <w:rsid w:val="00E94203"/>
    <w:rsid w:val="00E94922"/>
    <w:rsid w:val="00E94D0E"/>
    <w:rsid w:val="00E95466"/>
    <w:rsid w:val="00E95C33"/>
    <w:rsid w:val="00E95DA1"/>
    <w:rsid w:val="00E95E43"/>
    <w:rsid w:val="00E96521"/>
    <w:rsid w:val="00E96A34"/>
    <w:rsid w:val="00E971C1"/>
    <w:rsid w:val="00E974B2"/>
    <w:rsid w:val="00E976A0"/>
    <w:rsid w:val="00EA036B"/>
    <w:rsid w:val="00EA105B"/>
    <w:rsid w:val="00EA16B8"/>
    <w:rsid w:val="00EA16F2"/>
    <w:rsid w:val="00EA2B40"/>
    <w:rsid w:val="00EA6A0A"/>
    <w:rsid w:val="00EA7373"/>
    <w:rsid w:val="00EA7895"/>
    <w:rsid w:val="00EB09FE"/>
    <w:rsid w:val="00EB2250"/>
    <w:rsid w:val="00EB2779"/>
    <w:rsid w:val="00EB2A79"/>
    <w:rsid w:val="00EB2B01"/>
    <w:rsid w:val="00EB2D61"/>
    <w:rsid w:val="00EB3261"/>
    <w:rsid w:val="00EB344C"/>
    <w:rsid w:val="00EB3803"/>
    <w:rsid w:val="00EB3BD9"/>
    <w:rsid w:val="00EB3D18"/>
    <w:rsid w:val="00EB406B"/>
    <w:rsid w:val="00EB443A"/>
    <w:rsid w:val="00EB483E"/>
    <w:rsid w:val="00EB61C3"/>
    <w:rsid w:val="00EB6BB7"/>
    <w:rsid w:val="00EB752A"/>
    <w:rsid w:val="00EC014A"/>
    <w:rsid w:val="00EC0553"/>
    <w:rsid w:val="00EC29CF"/>
    <w:rsid w:val="00EC3ED8"/>
    <w:rsid w:val="00EC42CC"/>
    <w:rsid w:val="00EC47D3"/>
    <w:rsid w:val="00EC5124"/>
    <w:rsid w:val="00EC56C9"/>
    <w:rsid w:val="00EC675C"/>
    <w:rsid w:val="00EC68AB"/>
    <w:rsid w:val="00EC7AFF"/>
    <w:rsid w:val="00EC7C68"/>
    <w:rsid w:val="00ED02B4"/>
    <w:rsid w:val="00ED04FF"/>
    <w:rsid w:val="00ED07FC"/>
    <w:rsid w:val="00ED14FB"/>
    <w:rsid w:val="00ED21DF"/>
    <w:rsid w:val="00ED342B"/>
    <w:rsid w:val="00ED4401"/>
    <w:rsid w:val="00ED487D"/>
    <w:rsid w:val="00ED63D8"/>
    <w:rsid w:val="00ED68A0"/>
    <w:rsid w:val="00ED6EC8"/>
    <w:rsid w:val="00ED784D"/>
    <w:rsid w:val="00EE02AD"/>
    <w:rsid w:val="00EE065F"/>
    <w:rsid w:val="00EE0E6B"/>
    <w:rsid w:val="00EE103D"/>
    <w:rsid w:val="00EE1F3A"/>
    <w:rsid w:val="00EE261B"/>
    <w:rsid w:val="00EE26E0"/>
    <w:rsid w:val="00EE2F80"/>
    <w:rsid w:val="00EE3BD7"/>
    <w:rsid w:val="00EE3DC9"/>
    <w:rsid w:val="00EE4B5A"/>
    <w:rsid w:val="00EE4E37"/>
    <w:rsid w:val="00EF0546"/>
    <w:rsid w:val="00EF0C5C"/>
    <w:rsid w:val="00EF1E9E"/>
    <w:rsid w:val="00EF2818"/>
    <w:rsid w:val="00EF2AAA"/>
    <w:rsid w:val="00EF311C"/>
    <w:rsid w:val="00EF3633"/>
    <w:rsid w:val="00EF4CF7"/>
    <w:rsid w:val="00EF50A8"/>
    <w:rsid w:val="00EF51AA"/>
    <w:rsid w:val="00EF59D4"/>
    <w:rsid w:val="00EF6136"/>
    <w:rsid w:val="00EF6BB1"/>
    <w:rsid w:val="00EF6C86"/>
    <w:rsid w:val="00EF7387"/>
    <w:rsid w:val="00EF78EF"/>
    <w:rsid w:val="00F010D5"/>
    <w:rsid w:val="00F018A5"/>
    <w:rsid w:val="00F01CCD"/>
    <w:rsid w:val="00F02872"/>
    <w:rsid w:val="00F02988"/>
    <w:rsid w:val="00F04360"/>
    <w:rsid w:val="00F045D8"/>
    <w:rsid w:val="00F04AE9"/>
    <w:rsid w:val="00F04D5C"/>
    <w:rsid w:val="00F06367"/>
    <w:rsid w:val="00F06A6C"/>
    <w:rsid w:val="00F075CA"/>
    <w:rsid w:val="00F07A88"/>
    <w:rsid w:val="00F07EB4"/>
    <w:rsid w:val="00F106A1"/>
    <w:rsid w:val="00F112A3"/>
    <w:rsid w:val="00F1164B"/>
    <w:rsid w:val="00F11725"/>
    <w:rsid w:val="00F1203D"/>
    <w:rsid w:val="00F12300"/>
    <w:rsid w:val="00F1311F"/>
    <w:rsid w:val="00F13A46"/>
    <w:rsid w:val="00F14041"/>
    <w:rsid w:val="00F1439C"/>
    <w:rsid w:val="00F150F3"/>
    <w:rsid w:val="00F163BC"/>
    <w:rsid w:val="00F167A9"/>
    <w:rsid w:val="00F1695C"/>
    <w:rsid w:val="00F16DB6"/>
    <w:rsid w:val="00F17920"/>
    <w:rsid w:val="00F17C6D"/>
    <w:rsid w:val="00F20B7A"/>
    <w:rsid w:val="00F21315"/>
    <w:rsid w:val="00F21642"/>
    <w:rsid w:val="00F21F0C"/>
    <w:rsid w:val="00F22156"/>
    <w:rsid w:val="00F22345"/>
    <w:rsid w:val="00F23353"/>
    <w:rsid w:val="00F23A33"/>
    <w:rsid w:val="00F23AE9"/>
    <w:rsid w:val="00F23BB2"/>
    <w:rsid w:val="00F23C00"/>
    <w:rsid w:val="00F23FE5"/>
    <w:rsid w:val="00F2435E"/>
    <w:rsid w:val="00F25139"/>
    <w:rsid w:val="00F256A3"/>
    <w:rsid w:val="00F25874"/>
    <w:rsid w:val="00F25B66"/>
    <w:rsid w:val="00F265A6"/>
    <w:rsid w:val="00F26630"/>
    <w:rsid w:val="00F26BF3"/>
    <w:rsid w:val="00F31FD4"/>
    <w:rsid w:val="00F3220B"/>
    <w:rsid w:val="00F328E5"/>
    <w:rsid w:val="00F329BA"/>
    <w:rsid w:val="00F32BD2"/>
    <w:rsid w:val="00F337CB"/>
    <w:rsid w:val="00F33E50"/>
    <w:rsid w:val="00F34FE8"/>
    <w:rsid w:val="00F35FB7"/>
    <w:rsid w:val="00F37282"/>
    <w:rsid w:val="00F37A56"/>
    <w:rsid w:val="00F37DE0"/>
    <w:rsid w:val="00F40832"/>
    <w:rsid w:val="00F41267"/>
    <w:rsid w:val="00F41688"/>
    <w:rsid w:val="00F42965"/>
    <w:rsid w:val="00F42E58"/>
    <w:rsid w:val="00F43849"/>
    <w:rsid w:val="00F44176"/>
    <w:rsid w:val="00F44A1E"/>
    <w:rsid w:val="00F44AEB"/>
    <w:rsid w:val="00F45704"/>
    <w:rsid w:val="00F459DB"/>
    <w:rsid w:val="00F4787D"/>
    <w:rsid w:val="00F47DDE"/>
    <w:rsid w:val="00F47E68"/>
    <w:rsid w:val="00F50A63"/>
    <w:rsid w:val="00F50D8F"/>
    <w:rsid w:val="00F51CAC"/>
    <w:rsid w:val="00F51E33"/>
    <w:rsid w:val="00F51F7C"/>
    <w:rsid w:val="00F525D2"/>
    <w:rsid w:val="00F52A48"/>
    <w:rsid w:val="00F52C2C"/>
    <w:rsid w:val="00F52D98"/>
    <w:rsid w:val="00F52E7B"/>
    <w:rsid w:val="00F53995"/>
    <w:rsid w:val="00F53EA4"/>
    <w:rsid w:val="00F545EC"/>
    <w:rsid w:val="00F54FD9"/>
    <w:rsid w:val="00F5539D"/>
    <w:rsid w:val="00F562E5"/>
    <w:rsid w:val="00F5669B"/>
    <w:rsid w:val="00F57373"/>
    <w:rsid w:val="00F57482"/>
    <w:rsid w:val="00F57AC5"/>
    <w:rsid w:val="00F57B1B"/>
    <w:rsid w:val="00F57CCF"/>
    <w:rsid w:val="00F57DB8"/>
    <w:rsid w:val="00F60210"/>
    <w:rsid w:val="00F60CA1"/>
    <w:rsid w:val="00F61765"/>
    <w:rsid w:val="00F61A9A"/>
    <w:rsid w:val="00F61C0F"/>
    <w:rsid w:val="00F6252A"/>
    <w:rsid w:val="00F62646"/>
    <w:rsid w:val="00F62829"/>
    <w:rsid w:val="00F62F6C"/>
    <w:rsid w:val="00F633DE"/>
    <w:rsid w:val="00F63ABF"/>
    <w:rsid w:val="00F63BC6"/>
    <w:rsid w:val="00F63CEF"/>
    <w:rsid w:val="00F63DAE"/>
    <w:rsid w:val="00F65625"/>
    <w:rsid w:val="00F65D4A"/>
    <w:rsid w:val="00F67135"/>
    <w:rsid w:val="00F67517"/>
    <w:rsid w:val="00F67D71"/>
    <w:rsid w:val="00F70A10"/>
    <w:rsid w:val="00F70CBA"/>
    <w:rsid w:val="00F71055"/>
    <w:rsid w:val="00F712B3"/>
    <w:rsid w:val="00F716F6"/>
    <w:rsid w:val="00F7238F"/>
    <w:rsid w:val="00F724C8"/>
    <w:rsid w:val="00F72747"/>
    <w:rsid w:val="00F72BC6"/>
    <w:rsid w:val="00F72BF3"/>
    <w:rsid w:val="00F74A01"/>
    <w:rsid w:val="00F75665"/>
    <w:rsid w:val="00F75CB0"/>
    <w:rsid w:val="00F763A9"/>
    <w:rsid w:val="00F765E4"/>
    <w:rsid w:val="00F76F11"/>
    <w:rsid w:val="00F774B8"/>
    <w:rsid w:val="00F7757A"/>
    <w:rsid w:val="00F77849"/>
    <w:rsid w:val="00F77DDC"/>
    <w:rsid w:val="00F80E1A"/>
    <w:rsid w:val="00F83183"/>
    <w:rsid w:val="00F84BAA"/>
    <w:rsid w:val="00F853EB"/>
    <w:rsid w:val="00F856F2"/>
    <w:rsid w:val="00F8709D"/>
    <w:rsid w:val="00F874FE"/>
    <w:rsid w:val="00F87FE5"/>
    <w:rsid w:val="00F90168"/>
    <w:rsid w:val="00F905C1"/>
    <w:rsid w:val="00F91066"/>
    <w:rsid w:val="00F91660"/>
    <w:rsid w:val="00F91910"/>
    <w:rsid w:val="00F928D1"/>
    <w:rsid w:val="00F93151"/>
    <w:rsid w:val="00F9495D"/>
    <w:rsid w:val="00F94B8B"/>
    <w:rsid w:val="00F94BDE"/>
    <w:rsid w:val="00F9598C"/>
    <w:rsid w:val="00F9673C"/>
    <w:rsid w:val="00F96A32"/>
    <w:rsid w:val="00F96FE3"/>
    <w:rsid w:val="00F971D3"/>
    <w:rsid w:val="00F975A0"/>
    <w:rsid w:val="00FA06DA"/>
    <w:rsid w:val="00FA23B6"/>
    <w:rsid w:val="00FA3A88"/>
    <w:rsid w:val="00FA454A"/>
    <w:rsid w:val="00FA4938"/>
    <w:rsid w:val="00FA53AC"/>
    <w:rsid w:val="00FA56B6"/>
    <w:rsid w:val="00FA5CDB"/>
    <w:rsid w:val="00FA6FED"/>
    <w:rsid w:val="00FA7515"/>
    <w:rsid w:val="00FA7EBB"/>
    <w:rsid w:val="00FB0B71"/>
    <w:rsid w:val="00FB1624"/>
    <w:rsid w:val="00FB17E5"/>
    <w:rsid w:val="00FB257E"/>
    <w:rsid w:val="00FB2CCA"/>
    <w:rsid w:val="00FB43D8"/>
    <w:rsid w:val="00FB4456"/>
    <w:rsid w:val="00FB546F"/>
    <w:rsid w:val="00FB5800"/>
    <w:rsid w:val="00FB6832"/>
    <w:rsid w:val="00FB79FE"/>
    <w:rsid w:val="00FB7C58"/>
    <w:rsid w:val="00FC043B"/>
    <w:rsid w:val="00FC0F9E"/>
    <w:rsid w:val="00FC21BB"/>
    <w:rsid w:val="00FC5041"/>
    <w:rsid w:val="00FC50C6"/>
    <w:rsid w:val="00FC5596"/>
    <w:rsid w:val="00FC5742"/>
    <w:rsid w:val="00FC5ABC"/>
    <w:rsid w:val="00FC5B95"/>
    <w:rsid w:val="00FC5F10"/>
    <w:rsid w:val="00FC64DD"/>
    <w:rsid w:val="00FC6552"/>
    <w:rsid w:val="00FC7533"/>
    <w:rsid w:val="00FC7F12"/>
    <w:rsid w:val="00FD1625"/>
    <w:rsid w:val="00FD3230"/>
    <w:rsid w:val="00FD3616"/>
    <w:rsid w:val="00FD3DAD"/>
    <w:rsid w:val="00FD4B50"/>
    <w:rsid w:val="00FD4BE9"/>
    <w:rsid w:val="00FD4DB0"/>
    <w:rsid w:val="00FD587B"/>
    <w:rsid w:val="00FD5B15"/>
    <w:rsid w:val="00FD7A2E"/>
    <w:rsid w:val="00FE09BE"/>
    <w:rsid w:val="00FE1D60"/>
    <w:rsid w:val="00FE24D6"/>
    <w:rsid w:val="00FE3911"/>
    <w:rsid w:val="00FE4090"/>
    <w:rsid w:val="00FE4469"/>
    <w:rsid w:val="00FE4EA7"/>
    <w:rsid w:val="00FE5ACF"/>
    <w:rsid w:val="00FE62F1"/>
    <w:rsid w:val="00FE6847"/>
    <w:rsid w:val="00FE734B"/>
    <w:rsid w:val="00FE76EC"/>
    <w:rsid w:val="00FE7F56"/>
    <w:rsid w:val="00FF02A0"/>
    <w:rsid w:val="00FF0F44"/>
    <w:rsid w:val="00FF1FF5"/>
    <w:rsid w:val="00FF3A16"/>
    <w:rsid w:val="00FF3B88"/>
    <w:rsid w:val="00FF4346"/>
    <w:rsid w:val="00FF51A8"/>
    <w:rsid w:val="00FF56ED"/>
    <w:rsid w:val="00FF6045"/>
    <w:rsid w:val="00FF7059"/>
    <w:rsid w:val="00FF74CD"/>
    <w:rsid w:val="00FF773C"/>
    <w:rsid w:val="00FF7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769A"/>
  <w15:chartTrackingRefBased/>
  <w15:docId w15:val="{E99C07E6-1E32-A447-B65C-AC6D232D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228"/>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F1636"/>
    <w:rPr>
      <w:sz w:val="20"/>
      <w:szCs w:val="20"/>
    </w:rPr>
  </w:style>
  <w:style w:type="character" w:customStyle="1" w:styleId="FootnoteTextChar">
    <w:name w:val="Footnote Text Char"/>
    <w:basedOn w:val="DefaultParagraphFont"/>
    <w:link w:val="FootnoteText"/>
    <w:uiPriority w:val="99"/>
    <w:rsid w:val="00DF1636"/>
    <w:rPr>
      <w:rFonts w:ascii="Times New Roman" w:hAnsi="Times New Roman"/>
      <w:sz w:val="20"/>
      <w:szCs w:val="20"/>
    </w:rPr>
  </w:style>
  <w:style w:type="character" w:styleId="FootnoteReference">
    <w:name w:val="footnote reference"/>
    <w:basedOn w:val="DefaultParagraphFont"/>
    <w:uiPriority w:val="99"/>
    <w:semiHidden/>
    <w:unhideWhenUsed/>
    <w:rsid w:val="00DF1636"/>
    <w:rPr>
      <w:vertAlign w:val="superscript"/>
    </w:rPr>
  </w:style>
  <w:style w:type="paragraph" w:styleId="ListParagraph">
    <w:name w:val="List Paragraph"/>
    <w:basedOn w:val="Normal"/>
    <w:uiPriority w:val="34"/>
    <w:qFormat/>
    <w:rsid w:val="00724549"/>
    <w:pPr>
      <w:ind w:left="720"/>
      <w:contextualSpacing/>
    </w:pPr>
  </w:style>
  <w:style w:type="paragraph" w:styleId="Revision">
    <w:name w:val="Revision"/>
    <w:hidden/>
    <w:uiPriority w:val="99"/>
    <w:semiHidden/>
    <w:rsid w:val="0094024D"/>
    <w:rPr>
      <w:rFonts w:ascii="Times New Roman" w:hAnsi="Times New Roman"/>
    </w:rPr>
  </w:style>
  <w:style w:type="character" w:styleId="Hyperlink">
    <w:name w:val="Hyperlink"/>
    <w:basedOn w:val="DefaultParagraphFont"/>
    <w:uiPriority w:val="99"/>
    <w:unhideWhenUsed/>
    <w:rsid w:val="00C32331"/>
    <w:rPr>
      <w:color w:val="0563C1" w:themeColor="hyperlink"/>
      <w:u w:val="single"/>
    </w:rPr>
  </w:style>
  <w:style w:type="character" w:styleId="UnresolvedMention">
    <w:name w:val="Unresolved Mention"/>
    <w:basedOn w:val="DefaultParagraphFont"/>
    <w:uiPriority w:val="99"/>
    <w:semiHidden/>
    <w:unhideWhenUsed/>
    <w:rsid w:val="00C32331"/>
    <w:rPr>
      <w:color w:val="605E5C"/>
      <w:shd w:val="clear" w:color="auto" w:fill="E1DFDD"/>
    </w:rPr>
  </w:style>
  <w:style w:type="paragraph" w:styleId="Header">
    <w:name w:val="header"/>
    <w:basedOn w:val="Normal"/>
    <w:link w:val="HeaderChar"/>
    <w:uiPriority w:val="99"/>
    <w:unhideWhenUsed/>
    <w:rsid w:val="00A9149F"/>
    <w:pPr>
      <w:tabs>
        <w:tab w:val="center" w:pos="4513"/>
        <w:tab w:val="right" w:pos="9026"/>
      </w:tabs>
    </w:pPr>
  </w:style>
  <w:style w:type="character" w:customStyle="1" w:styleId="HeaderChar">
    <w:name w:val="Header Char"/>
    <w:basedOn w:val="DefaultParagraphFont"/>
    <w:link w:val="Header"/>
    <w:uiPriority w:val="99"/>
    <w:rsid w:val="00A9149F"/>
    <w:rPr>
      <w:rFonts w:ascii="Times New Roman" w:hAnsi="Times New Roman"/>
    </w:rPr>
  </w:style>
  <w:style w:type="paragraph" w:styleId="Footer">
    <w:name w:val="footer"/>
    <w:basedOn w:val="Normal"/>
    <w:link w:val="FooterChar"/>
    <w:uiPriority w:val="99"/>
    <w:unhideWhenUsed/>
    <w:rsid w:val="00A9149F"/>
    <w:pPr>
      <w:tabs>
        <w:tab w:val="center" w:pos="4513"/>
        <w:tab w:val="right" w:pos="9026"/>
      </w:tabs>
    </w:pPr>
  </w:style>
  <w:style w:type="character" w:customStyle="1" w:styleId="FooterChar">
    <w:name w:val="Footer Char"/>
    <w:basedOn w:val="DefaultParagraphFont"/>
    <w:link w:val="Footer"/>
    <w:uiPriority w:val="99"/>
    <w:rsid w:val="00A9149F"/>
    <w:rPr>
      <w:rFonts w:ascii="Times New Roman" w:hAnsi="Times New Roman"/>
    </w:rPr>
  </w:style>
  <w:style w:type="character" w:styleId="PageNumber">
    <w:name w:val="page number"/>
    <w:basedOn w:val="DefaultParagraphFont"/>
    <w:uiPriority w:val="99"/>
    <w:semiHidden/>
    <w:unhideWhenUsed/>
    <w:rsid w:val="00A430F6"/>
  </w:style>
  <w:style w:type="character" w:styleId="FollowedHyperlink">
    <w:name w:val="FollowedHyperlink"/>
    <w:basedOn w:val="DefaultParagraphFont"/>
    <w:uiPriority w:val="99"/>
    <w:semiHidden/>
    <w:unhideWhenUsed/>
    <w:rsid w:val="006D7823"/>
    <w:rPr>
      <w:color w:val="954F72" w:themeColor="followedHyperlink"/>
      <w:u w:val="single"/>
    </w:rPr>
  </w:style>
  <w:style w:type="character" w:customStyle="1" w:styleId="s4">
    <w:name w:val="s4"/>
    <w:basedOn w:val="DefaultParagraphFont"/>
    <w:rsid w:val="008A1999"/>
  </w:style>
  <w:style w:type="character" w:customStyle="1" w:styleId="apple-converted-space">
    <w:name w:val="apple-converted-space"/>
    <w:basedOn w:val="DefaultParagraphFont"/>
    <w:rsid w:val="008A1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0594">
      <w:bodyDiv w:val="1"/>
      <w:marLeft w:val="0"/>
      <w:marRight w:val="0"/>
      <w:marTop w:val="0"/>
      <w:marBottom w:val="0"/>
      <w:divBdr>
        <w:top w:val="none" w:sz="0" w:space="0" w:color="auto"/>
        <w:left w:val="none" w:sz="0" w:space="0" w:color="auto"/>
        <w:bottom w:val="none" w:sz="0" w:space="0" w:color="auto"/>
        <w:right w:val="none" w:sz="0" w:space="0" w:color="auto"/>
      </w:divBdr>
      <w:divsChild>
        <w:div w:id="1558542034">
          <w:marLeft w:val="0"/>
          <w:marRight w:val="0"/>
          <w:marTop w:val="0"/>
          <w:marBottom w:val="0"/>
          <w:divBdr>
            <w:top w:val="none" w:sz="0" w:space="0" w:color="auto"/>
            <w:left w:val="none" w:sz="0" w:space="0" w:color="auto"/>
            <w:bottom w:val="none" w:sz="0" w:space="0" w:color="auto"/>
            <w:right w:val="none" w:sz="0" w:space="0" w:color="auto"/>
          </w:divBdr>
        </w:div>
      </w:divsChild>
    </w:div>
    <w:div w:id="66415760">
      <w:bodyDiv w:val="1"/>
      <w:marLeft w:val="0"/>
      <w:marRight w:val="0"/>
      <w:marTop w:val="0"/>
      <w:marBottom w:val="0"/>
      <w:divBdr>
        <w:top w:val="none" w:sz="0" w:space="0" w:color="auto"/>
        <w:left w:val="none" w:sz="0" w:space="0" w:color="auto"/>
        <w:bottom w:val="none" w:sz="0" w:space="0" w:color="auto"/>
        <w:right w:val="none" w:sz="0" w:space="0" w:color="auto"/>
      </w:divBdr>
    </w:div>
    <w:div w:id="94327631">
      <w:bodyDiv w:val="1"/>
      <w:marLeft w:val="0"/>
      <w:marRight w:val="0"/>
      <w:marTop w:val="0"/>
      <w:marBottom w:val="0"/>
      <w:divBdr>
        <w:top w:val="none" w:sz="0" w:space="0" w:color="auto"/>
        <w:left w:val="none" w:sz="0" w:space="0" w:color="auto"/>
        <w:bottom w:val="none" w:sz="0" w:space="0" w:color="auto"/>
        <w:right w:val="none" w:sz="0" w:space="0" w:color="auto"/>
      </w:divBdr>
    </w:div>
    <w:div w:id="107362314">
      <w:bodyDiv w:val="1"/>
      <w:marLeft w:val="0"/>
      <w:marRight w:val="0"/>
      <w:marTop w:val="0"/>
      <w:marBottom w:val="0"/>
      <w:divBdr>
        <w:top w:val="none" w:sz="0" w:space="0" w:color="auto"/>
        <w:left w:val="none" w:sz="0" w:space="0" w:color="auto"/>
        <w:bottom w:val="none" w:sz="0" w:space="0" w:color="auto"/>
        <w:right w:val="none" w:sz="0" w:space="0" w:color="auto"/>
      </w:divBdr>
    </w:div>
    <w:div w:id="158425625">
      <w:bodyDiv w:val="1"/>
      <w:marLeft w:val="0"/>
      <w:marRight w:val="0"/>
      <w:marTop w:val="0"/>
      <w:marBottom w:val="0"/>
      <w:divBdr>
        <w:top w:val="none" w:sz="0" w:space="0" w:color="auto"/>
        <w:left w:val="none" w:sz="0" w:space="0" w:color="auto"/>
        <w:bottom w:val="none" w:sz="0" w:space="0" w:color="auto"/>
        <w:right w:val="none" w:sz="0" w:space="0" w:color="auto"/>
      </w:divBdr>
      <w:divsChild>
        <w:div w:id="1453092338">
          <w:marLeft w:val="0"/>
          <w:marRight w:val="0"/>
          <w:marTop w:val="0"/>
          <w:marBottom w:val="0"/>
          <w:divBdr>
            <w:top w:val="none" w:sz="0" w:space="0" w:color="auto"/>
            <w:left w:val="none" w:sz="0" w:space="0" w:color="auto"/>
            <w:bottom w:val="none" w:sz="0" w:space="0" w:color="auto"/>
            <w:right w:val="none" w:sz="0" w:space="0" w:color="auto"/>
          </w:divBdr>
          <w:divsChild>
            <w:div w:id="442919205">
              <w:marLeft w:val="0"/>
              <w:marRight w:val="0"/>
              <w:marTop w:val="0"/>
              <w:marBottom w:val="0"/>
              <w:divBdr>
                <w:top w:val="none" w:sz="0" w:space="0" w:color="auto"/>
                <w:left w:val="none" w:sz="0" w:space="0" w:color="auto"/>
                <w:bottom w:val="none" w:sz="0" w:space="0" w:color="auto"/>
                <w:right w:val="none" w:sz="0" w:space="0" w:color="auto"/>
              </w:divBdr>
              <w:divsChild>
                <w:div w:id="3124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6791">
      <w:bodyDiv w:val="1"/>
      <w:marLeft w:val="0"/>
      <w:marRight w:val="0"/>
      <w:marTop w:val="0"/>
      <w:marBottom w:val="0"/>
      <w:divBdr>
        <w:top w:val="none" w:sz="0" w:space="0" w:color="auto"/>
        <w:left w:val="none" w:sz="0" w:space="0" w:color="auto"/>
        <w:bottom w:val="none" w:sz="0" w:space="0" w:color="auto"/>
        <w:right w:val="none" w:sz="0" w:space="0" w:color="auto"/>
      </w:divBdr>
    </w:div>
    <w:div w:id="255134886">
      <w:bodyDiv w:val="1"/>
      <w:marLeft w:val="0"/>
      <w:marRight w:val="0"/>
      <w:marTop w:val="0"/>
      <w:marBottom w:val="0"/>
      <w:divBdr>
        <w:top w:val="none" w:sz="0" w:space="0" w:color="auto"/>
        <w:left w:val="none" w:sz="0" w:space="0" w:color="auto"/>
        <w:bottom w:val="none" w:sz="0" w:space="0" w:color="auto"/>
        <w:right w:val="none" w:sz="0" w:space="0" w:color="auto"/>
      </w:divBdr>
    </w:div>
    <w:div w:id="303000448">
      <w:bodyDiv w:val="1"/>
      <w:marLeft w:val="0"/>
      <w:marRight w:val="0"/>
      <w:marTop w:val="0"/>
      <w:marBottom w:val="0"/>
      <w:divBdr>
        <w:top w:val="none" w:sz="0" w:space="0" w:color="auto"/>
        <w:left w:val="none" w:sz="0" w:space="0" w:color="auto"/>
        <w:bottom w:val="none" w:sz="0" w:space="0" w:color="auto"/>
        <w:right w:val="none" w:sz="0" w:space="0" w:color="auto"/>
      </w:divBdr>
    </w:div>
    <w:div w:id="310403069">
      <w:bodyDiv w:val="1"/>
      <w:marLeft w:val="0"/>
      <w:marRight w:val="0"/>
      <w:marTop w:val="0"/>
      <w:marBottom w:val="0"/>
      <w:divBdr>
        <w:top w:val="none" w:sz="0" w:space="0" w:color="auto"/>
        <w:left w:val="none" w:sz="0" w:space="0" w:color="auto"/>
        <w:bottom w:val="none" w:sz="0" w:space="0" w:color="auto"/>
        <w:right w:val="none" w:sz="0" w:space="0" w:color="auto"/>
      </w:divBdr>
    </w:div>
    <w:div w:id="355278580">
      <w:bodyDiv w:val="1"/>
      <w:marLeft w:val="0"/>
      <w:marRight w:val="0"/>
      <w:marTop w:val="0"/>
      <w:marBottom w:val="0"/>
      <w:divBdr>
        <w:top w:val="none" w:sz="0" w:space="0" w:color="auto"/>
        <w:left w:val="none" w:sz="0" w:space="0" w:color="auto"/>
        <w:bottom w:val="none" w:sz="0" w:space="0" w:color="auto"/>
        <w:right w:val="none" w:sz="0" w:space="0" w:color="auto"/>
      </w:divBdr>
      <w:divsChild>
        <w:div w:id="1599485456">
          <w:marLeft w:val="0"/>
          <w:marRight w:val="0"/>
          <w:marTop w:val="0"/>
          <w:marBottom w:val="0"/>
          <w:divBdr>
            <w:top w:val="none" w:sz="0" w:space="0" w:color="auto"/>
            <w:left w:val="none" w:sz="0" w:space="0" w:color="auto"/>
            <w:bottom w:val="none" w:sz="0" w:space="0" w:color="auto"/>
            <w:right w:val="none" w:sz="0" w:space="0" w:color="auto"/>
          </w:divBdr>
          <w:divsChild>
            <w:div w:id="922028265">
              <w:marLeft w:val="0"/>
              <w:marRight w:val="0"/>
              <w:marTop w:val="0"/>
              <w:marBottom w:val="0"/>
              <w:divBdr>
                <w:top w:val="none" w:sz="0" w:space="0" w:color="auto"/>
                <w:left w:val="none" w:sz="0" w:space="0" w:color="auto"/>
                <w:bottom w:val="none" w:sz="0" w:space="0" w:color="auto"/>
                <w:right w:val="none" w:sz="0" w:space="0" w:color="auto"/>
              </w:divBdr>
              <w:divsChild>
                <w:div w:id="843400101">
                  <w:marLeft w:val="0"/>
                  <w:marRight w:val="0"/>
                  <w:marTop w:val="0"/>
                  <w:marBottom w:val="0"/>
                  <w:divBdr>
                    <w:top w:val="none" w:sz="0" w:space="0" w:color="auto"/>
                    <w:left w:val="none" w:sz="0" w:space="0" w:color="auto"/>
                    <w:bottom w:val="none" w:sz="0" w:space="0" w:color="auto"/>
                    <w:right w:val="none" w:sz="0" w:space="0" w:color="auto"/>
                  </w:divBdr>
                  <w:divsChild>
                    <w:div w:id="358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673300">
      <w:bodyDiv w:val="1"/>
      <w:marLeft w:val="0"/>
      <w:marRight w:val="0"/>
      <w:marTop w:val="0"/>
      <w:marBottom w:val="0"/>
      <w:divBdr>
        <w:top w:val="none" w:sz="0" w:space="0" w:color="auto"/>
        <w:left w:val="none" w:sz="0" w:space="0" w:color="auto"/>
        <w:bottom w:val="none" w:sz="0" w:space="0" w:color="auto"/>
        <w:right w:val="none" w:sz="0" w:space="0" w:color="auto"/>
      </w:divBdr>
    </w:div>
    <w:div w:id="419717054">
      <w:bodyDiv w:val="1"/>
      <w:marLeft w:val="0"/>
      <w:marRight w:val="0"/>
      <w:marTop w:val="0"/>
      <w:marBottom w:val="0"/>
      <w:divBdr>
        <w:top w:val="none" w:sz="0" w:space="0" w:color="auto"/>
        <w:left w:val="none" w:sz="0" w:space="0" w:color="auto"/>
        <w:bottom w:val="none" w:sz="0" w:space="0" w:color="auto"/>
        <w:right w:val="none" w:sz="0" w:space="0" w:color="auto"/>
      </w:divBdr>
    </w:div>
    <w:div w:id="426078715">
      <w:bodyDiv w:val="1"/>
      <w:marLeft w:val="0"/>
      <w:marRight w:val="0"/>
      <w:marTop w:val="0"/>
      <w:marBottom w:val="0"/>
      <w:divBdr>
        <w:top w:val="none" w:sz="0" w:space="0" w:color="auto"/>
        <w:left w:val="none" w:sz="0" w:space="0" w:color="auto"/>
        <w:bottom w:val="none" w:sz="0" w:space="0" w:color="auto"/>
        <w:right w:val="none" w:sz="0" w:space="0" w:color="auto"/>
      </w:divBdr>
      <w:divsChild>
        <w:div w:id="1674987159">
          <w:marLeft w:val="0"/>
          <w:marRight w:val="0"/>
          <w:marTop w:val="0"/>
          <w:marBottom w:val="0"/>
          <w:divBdr>
            <w:top w:val="none" w:sz="0" w:space="0" w:color="auto"/>
            <w:left w:val="none" w:sz="0" w:space="0" w:color="auto"/>
            <w:bottom w:val="none" w:sz="0" w:space="0" w:color="auto"/>
            <w:right w:val="none" w:sz="0" w:space="0" w:color="auto"/>
          </w:divBdr>
          <w:divsChild>
            <w:div w:id="1866283428">
              <w:marLeft w:val="0"/>
              <w:marRight w:val="0"/>
              <w:marTop w:val="0"/>
              <w:marBottom w:val="0"/>
              <w:divBdr>
                <w:top w:val="none" w:sz="0" w:space="0" w:color="auto"/>
                <w:left w:val="none" w:sz="0" w:space="0" w:color="auto"/>
                <w:bottom w:val="none" w:sz="0" w:space="0" w:color="auto"/>
                <w:right w:val="none" w:sz="0" w:space="0" w:color="auto"/>
              </w:divBdr>
              <w:divsChild>
                <w:div w:id="6934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3865">
      <w:bodyDiv w:val="1"/>
      <w:marLeft w:val="0"/>
      <w:marRight w:val="0"/>
      <w:marTop w:val="0"/>
      <w:marBottom w:val="0"/>
      <w:divBdr>
        <w:top w:val="none" w:sz="0" w:space="0" w:color="auto"/>
        <w:left w:val="none" w:sz="0" w:space="0" w:color="auto"/>
        <w:bottom w:val="none" w:sz="0" w:space="0" w:color="auto"/>
        <w:right w:val="none" w:sz="0" w:space="0" w:color="auto"/>
      </w:divBdr>
    </w:div>
    <w:div w:id="494609147">
      <w:bodyDiv w:val="1"/>
      <w:marLeft w:val="0"/>
      <w:marRight w:val="0"/>
      <w:marTop w:val="0"/>
      <w:marBottom w:val="0"/>
      <w:divBdr>
        <w:top w:val="none" w:sz="0" w:space="0" w:color="auto"/>
        <w:left w:val="none" w:sz="0" w:space="0" w:color="auto"/>
        <w:bottom w:val="none" w:sz="0" w:space="0" w:color="auto"/>
        <w:right w:val="none" w:sz="0" w:space="0" w:color="auto"/>
      </w:divBdr>
    </w:div>
    <w:div w:id="534540870">
      <w:bodyDiv w:val="1"/>
      <w:marLeft w:val="0"/>
      <w:marRight w:val="0"/>
      <w:marTop w:val="0"/>
      <w:marBottom w:val="0"/>
      <w:divBdr>
        <w:top w:val="none" w:sz="0" w:space="0" w:color="auto"/>
        <w:left w:val="none" w:sz="0" w:space="0" w:color="auto"/>
        <w:bottom w:val="none" w:sz="0" w:space="0" w:color="auto"/>
        <w:right w:val="none" w:sz="0" w:space="0" w:color="auto"/>
      </w:divBdr>
      <w:divsChild>
        <w:div w:id="590234850">
          <w:marLeft w:val="0"/>
          <w:marRight w:val="0"/>
          <w:marTop w:val="0"/>
          <w:marBottom w:val="0"/>
          <w:divBdr>
            <w:top w:val="none" w:sz="0" w:space="0" w:color="auto"/>
            <w:left w:val="none" w:sz="0" w:space="0" w:color="auto"/>
            <w:bottom w:val="none" w:sz="0" w:space="0" w:color="auto"/>
            <w:right w:val="none" w:sz="0" w:space="0" w:color="auto"/>
          </w:divBdr>
          <w:divsChild>
            <w:div w:id="1820879897">
              <w:marLeft w:val="0"/>
              <w:marRight w:val="0"/>
              <w:marTop w:val="0"/>
              <w:marBottom w:val="0"/>
              <w:divBdr>
                <w:top w:val="none" w:sz="0" w:space="0" w:color="auto"/>
                <w:left w:val="none" w:sz="0" w:space="0" w:color="auto"/>
                <w:bottom w:val="none" w:sz="0" w:space="0" w:color="auto"/>
                <w:right w:val="none" w:sz="0" w:space="0" w:color="auto"/>
              </w:divBdr>
              <w:divsChild>
                <w:div w:id="13024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5615">
      <w:bodyDiv w:val="1"/>
      <w:marLeft w:val="0"/>
      <w:marRight w:val="0"/>
      <w:marTop w:val="0"/>
      <w:marBottom w:val="0"/>
      <w:divBdr>
        <w:top w:val="none" w:sz="0" w:space="0" w:color="auto"/>
        <w:left w:val="none" w:sz="0" w:space="0" w:color="auto"/>
        <w:bottom w:val="none" w:sz="0" w:space="0" w:color="auto"/>
        <w:right w:val="none" w:sz="0" w:space="0" w:color="auto"/>
      </w:divBdr>
    </w:div>
    <w:div w:id="556940530">
      <w:bodyDiv w:val="1"/>
      <w:marLeft w:val="0"/>
      <w:marRight w:val="0"/>
      <w:marTop w:val="0"/>
      <w:marBottom w:val="0"/>
      <w:divBdr>
        <w:top w:val="none" w:sz="0" w:space="0" w:color="auto"/>
        <w:left w:val="none" w:sz="0" w:space="0" w:color="auto"/>
        <w:bottom w:val="none" w:sz="0" w:space="0" w:color="auto"/>
        <w:right w:val="none" w:sz="0" w:space="0" w:color="auto"/>
      </w:divBdr>
    </w:div>
    <w:div w:id="559248281">
      <w:bodyDiv w:val="1"/>
      <w:marLeft w:val="0"/>
      <w:marRight w:val="0"/>
      <w:marTop w:val="0"/>
      <w:marBottom w:val="0"/>
      <w:divBdr>
        <w:top w:val="none" w:sz="0" w:space="0" w:color="auto"/>
        <w:left w:val="none" w:sz="0" w:space="0" w:color="auto"/>
        <w:bottom w:val="none" w:sz="0" w:space="0" w:color="auto"/>
        <w:right w:val="none" w:sz="0" w:space="0" w:color="auto"/>
      </w:divBdr>
    </w:div>
    <w:div w:id="568004412">
      <w:bodyDiv w:val="1"/>
      <w:marLeft w:val="0"/>
      <w:marRight w:val="0"/>
      <w:marTop w:val="0"/>
      <w:marBottom w:val="0"/>
      <w:divBdr>
        <w:top w:val="none" w:sz="0" w:space="0" w:color="auto"/>
        <w:left w:val="none" w:sz="0" w:space="0" w:color="auto"/>
        <w:bottom w:val="none" w:sz="0" w:space="0" w:color="auto"/>
        <w:right w:val="none" w:sz="0" w:space="0" w:color="auto"/>
      </w:divBdr>
    </w:div>
    <w:div w:id="576328790">
      <w:bodyDiv w:val="1"/>
      <w:marLeft w:val="0"/>
      <w:marRight w:val="0"/>
      <w:marTop w:val="0"/>
      <w:marBottom w:val="0"/>
      <w:divBdr>
        <w:top w:val="none" w:sz="0" w:space="0" w:color="auto"/>
        <w:left w:val="none" w:sz="0" w:space="0" w:color="auto"/>
        <w:bottom w:val="none" w:sz="0" w:space="0" w:color="auto"/>
        <w:right w:val="none" w:sz="0" w:space="0" w:color="auto"/>
      </w:divBdr>
    </w:div>
    <w:div w:id="654915159">
      <w:bodyDiv w:val="1"/>
      <w:marLeft w:val="0"/>
      <w:marRight w:val="0"/>
      <w:marTop w:val="0"/>
      <w:marBottom w:val="0"/>
      <w:divBdr>
        <w:top w:val="none" w:sz="0" w:space="0" w:color="auto"/>
        <w:left w:val="none" w:sz="0" w:space="0" w:color="auto"/>
        <w:bottom w:val="none" w:sz="0" w:space="0" w:color="auto"/>
        <w:right w:val="none" w:sz="0" w:space="0" w:color="auto"/>
      </w:divBdr>
    </w:div>
    <w:div w:id="662972637">
      <w:bodyDiv w:val="1"/>
      <w:marLeft w:val="0"/>
      <w:marRight w:val="0"/>
      <w:marTop w:val="0"/>
      <w:marBottom w:val="0"/>
      <w:divBdr>
        <w:top w:val="none" w:sz="0" w:space="0" w:color="auto"/>
        <w:left w:val="none" w:sz="0" w:space="0" w:color="auto"/>
        <w:bottom w:val="none" w:sz="0" w:space="0" w:color="auto"/>
        <w:right w:val="none" w:sz="0" w:space="0" w:color="auto"/>
      </w:divBdr>
    </w:div>
    <w:div w:id="698436446">
      <w:bodyDiv w:val="1"/>
      <w:marLeft w:val="0"/>
      <w:marRight w:val="0"/>
      <w:marTop w:val="0"/>
      <w:marBottom w:val="0"/>
      <w:divBdr>
        <w:top w:val="none" w:sz="0" w:space="0" w:color="auto"/>
        <w:left w:val="none" w:sz="0" w:space="0" w:color="auto"/>
        <w:bottom w:val="none" w:sz="0" w:space="0" w:color="auto"/>
        <w:right w:val="none" w:sz="0" w:space="0" w:color="auto"/>
      </w:divBdr>
    </w:div>
    <w:div w:id="702249696">
      <w:bodyDiv w:val="1"/>
      <w:marLeft w:val="0"/>
      <w:marRight w:val="0"/>
      <w:marTop w:val="0"/>
      <w:marBottom w:val="0"/>
      <w:divBdr>
        <w:top w:val="none" w:sz="0" w:space="0" w:color="auto"/>
        <w:left w:val="none" w:sz="0" w:space="0" w:color="auto"/>
        <w:bottom w:val="none" w:sz="0" w:space="0" w:color="auto"/>
        <w:right w:val="none" w:sz="0" w:space="0" w:color="auto"/>
      </w:divBdr>
    </w:div>
    <w:div w:id="708408662">
      <w:bodyDiv w:val="1"/>
      <w:marLeft w:val="0"/>
      <w:marRight w:val="0"/>
      <w:marTop w:val="0"/>
      <w:marBottom w:val="0"/>
      <w:divBdr>
        <w:top w:val="none" w:sz="0" w:space="0" w:color="auto"/>
        <w:left w:val="none" w:sz="0" w:space="0" w:color="auto"/>
        <w:bottom w:val="none" w:sz="0" w:space="0" w:color="auto"/>
        <w:right w:val="none" w:sz="0" w:space="0" w:color="auto"/>
      </w:divBdr>
    </w:div>
    <w:div w:id="709500192">
      <w:bodyDiv w:val="1"/>
      <w:marLeft w:val="0"/>
      <w:marRight w:val="0"/>
      <w:marTop w:val="0"/>
      <w:marBottom w:val="0"/>
      <w:divBdr>
        <w:top w:val="none" w:sz="0" w:space="0" w:color="auto"/>
        <w:left w:val="none" w:sz="0" w:space="0" w:color="auto"/>
        <w:bottom w:val="none" w:sz="0" w:space="0" w:color="auto"/>
        <w:right w:val="none" w:sz="0" w:space="0" w:color="auto"/>
      </w:divBdr>
    </w:div>
    <w:div w:id="712458375">
      <w:bodyDiv w:val="1"/>
      <w:marLeft w:val="0"/>
      <w:marRight w:val="0"/>
      <w:marTop w:val="0"/>
      <w:marBottom w:val="0"/>
      <w:divBdr>
        <w:top w:val="none" w:sz="0" w:space="0" w:color="auto"/>
        <w:left w:val="none" w:sz="0" w:space="0" w:color="auto"/>
        <w:bottom w:val="none" w:sz="0" w:space="0" w:color="auto"/>
        <w:right w:val="none" w:sz="0" w:space="0" w:color="auto"/>
      </w:divBdr>
    </w:div>
    <w:div w:id="730736226">
      <w:bodyDiv w:val="1"/>
      <w:marLeft w:val="0"/>
      <w:marRight w:val="0"/>
      <w:marTop w:val="0"/>
      <w:marBottom w:val="0"/>
      <w:divBdr>
        <w:top w:val="none" w:sz="0" w:space="0" w:color="auto"/>
        <w:left w:val="none" w:sz="0" w:space="0" w:color="auto"/>
        <w:bottom w:val="none" w:sz="0" w:space="0" w:color="auto"/>
        <w:right w:val="none" w:sz="0" w:space="0" w:color="auto"/>
      </w:divBdr>
    </w:div>
    <w:div w:id="731316462">
      <w:bodyDiv w:val="1"/>
      <w:marLeft w:val="0"/>
      <w:marRight w:val="0"/>
      <w:marTop w:val="0"/>
      <w:marBottom w:val="0"/>
      <w:divBdr>
        <w:top w:val="none" w:sz="0" w:space="0" w:color="auto"/>
        <w:left w:val="none" w:sz="0" w:space="0" w:color="auto"/>
        <w:bottom w:val="none" w:sz="0" w:space="0" w:color="auto"/>
        <w:right w:val="none" w:sz="0" w:space="0" w:color="auto"/>
      </w:divBdr>
      <w:divsChild>
        <w:div w:id="915095334">
          <w:marLeft w:val="0"/>
          <w:marRight w:val="0"/>
          <w:marTop w:val="0"/>
          <w:marBottom w:val="0"/>
          <w:divBdr>
            <w:top w:val="none" w:sz="0" w:space="0" w:color="auto"/>
            <w:left w:val="none" w:sz="0" w:space="0" w:color="auto"/>
            <w:bottom w:val="none" w:sz="0" w:space="0" w:color="auto"/>
            <w:right w:val="none" w:sz="0" w:space="0" w:color="auto"/>
          </w:divBdr>
        </w:div>
      </w:divsChild>
    </w:div>
    <w:div w:id="773594032">
      <w:bodyDiv w:val="1"/>
      <w:marLeft w:val="0"/>
      <w:marRight w:val="0"/>
      <w:marTop w:val="0"/>
      <w:marBottom w:val="0"/>
      <w:divBdr>
        <w:top w:val="none" w:sz="0" w:space="0" w:color="auto"/>
        <w:left w:val="none" w:sz="0" w:space="0" w:color="auto"/>
        <w:bottom w:val="none" w:sz="0" w:space="0" w:color="auto"/>
        <w:right w:val="none" w:sz="0" w:space="0" w:color="auto"/>
      </w:divBdr>
    </w:div>
    <w:div w:id="779646781">
      <w:bodyDiv w:val="1"/>
      <w:marLeft w:val="0"/>
      <w:marRight w:val="0"/>
      <w:marTop w:val="0"/>
      <w:marBottom w:val="0"/>
      <w:divBdr>
        <w:top w:val="none" w:sz="0" w:space="0" w:color="auto"/>
        <w:left w:val="none" w:sz="0" w:space="0" w:color="auto"/>
        <w:bottom w:val="none" w:sz="0" w:space="0" w:color="auto"/>
        <w:right w:val="none" w:sz="0" w:space="0" w:color="auto"/>
      </w:divBdr>
      <w:divsChild>
        <w:div w:id="897590289">
          <w:marLeft w:val="0"/>
          <w:marRight w:val="0"/>
          <w:marTop w:val="0"/>
          <w:marBottom w:val="0"/>
          <w:divBdr>
            <w:top w:val="none" w:sz="0" w:space="0" w:color="auto"/>
            <w:left w:val="none" w:sz="0" w:space="0" w:color="auto"/>
            <w:bottom w:val="none" w:sz="0" w:space="0" w:color="auto"/>
            <w:right w:val="none" w:sz="0" w:space="0" w:color="auto"/>
          </w:divBdr>
          <w:divsChild>
            <w:div w:id="423960286">
              <w:marLeft w:val="0"/>
              <w:marRight w:val="0"/>
              <w:marTop w:val="0"/>
              <w:marBottom w:val="0"/>
              <w:divBdr>
                <w:top w:val="none" w:sz="0" w:space="0" w:color="auto"/>
                <w:left w:val="none" w:sz="0" w:space="0" w:color="auto"/>
                <w:bottom w:val="none" w:sz="0" w:space="0" w:color="auto"/>
                <w:right w:val="none" w:sz="0" w:space="0" w:color="auto"/>
              </w:divBdr>
              <w:divsChild>
                <w:div w:id="143674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47281">
      <w:bodyDiv w:val="1"/>
      <w:marLeft w:val="0"/>
      <w:marRight w:val="0"/>
      <w:marTop w:val="0"/>
      <w:marBottom w:val="0"/>
      <w:divBdr>
        <w:top w:val="none" w:sz="0" w:space="0" w:color="auto"/>
        <w:left w:val="none" w:sz="0" w:space="0" w:color="auto"/>
        <w:bottom w:val="none" w:sz="0" w:space="0" w:color="auto"/>
        <w:right w:val="none" w:sz="0" w:space="0" w:color="auto"/>
      </w:divBdr>
    </w:div>
    <w:div w:id="846529276">
      <w:bodyDiv w:val="1"/>
      <w:marLeft w:val="0"/>
      <w:marRight w:val="0"/>
      <w:marTop w:val="0"/>
      <w:marBottom w:val="0"/>
      <w:divBdr>
        <w:top w:val="none" w:sz="0" w:space="0" w:color="auto"/>
        <w:left w:val="none" w:sz="0" w:space="0" w:color="auto"/>
        <w:bottom w:val="none" w:sz="0" w:space="0" w:color="auto"/>
        <w:right w:val="none" w:sz="0" w:space="0" w:color="auto"/>
      </w:divBdr>
      <w:divsChild>
        <w:div w:id="177817433">
          <w:marLeft w:val="0"/>
          <w:marRight w:val="0"/>
          <w:marTop w:val="0"/>
          <w:marBottom w:val="0"/>
          <w:divBdr>
            <w:top w:val="none" w:sz="0" w:space="0" w:color="auto"/>
            <w:left w:val="none" w:sz="0" w:space="0" w:color="auto"/>
            <w:bottom w:val="none" w:sz="0" w:space="0" w:color="auto"/>
            <w:right w:val="none" w:sz="0" w:space="0" w:color="auto"/>
          </w:divBdr>
        </w:div>
      </w:divsChild>
    </w:div>
    <w:div w:id="918909222">
      <w:bodyDiv w:val="1"/>
      <w:marLeft w:val="0"/>
      <w:marRight w:val="0"/>
      <w:marTop w:val="0"/>
      <w:marBottom w:val="0"/>
      <w:divBdr>
        <w:top w:val="none" w:sz="0" w:space="0" w:color="auto"/>
        <w:left w:val="none" w:sz="0" w:space="0" w:color="auto"/>
        <w:bottom w:val="none" w:sz="0" w:space="0" w:color="auto"/>
        <w:right w:val="none" w:sz="0" w:space="0" w:color="auto"/>
      </w:divBdr>
    </w:div>
    <w:div w:id="931162020">
      <w:bodyDiv w:val="1"/>
      <w:marLeft w:val="0"/>
      <w:marRight w:val="0"/>
      <w:marTop w:val="0"/>
      <w:marBottom w:val="0"/>
      <w:divBdr>
        <w:top w:val="none" w:sz="0" w:space="0" w:color="auto"/>
        <w:left w:val="none" w:sz="0" w:space="0" w:color="auto"/>
        <w:bottom w:val="none" w:sz="0" w:space="0" w:color="auto"/>
        <w:right w:val="none" w:sz="0" w:space="0" w:color="auto"/>
      </w:divBdr>
    </w:div>
    <w:div w:id="969479746">
      <w:bodyDiv w:val="1"/>
      <w:marLeft w:val="0"/>
      <w:marRight w:val="0"/>
      <w:marTop w:val="0"/>
      <w:marBottom w:val="0"/>
      <w:divBdr>
        <w:top w:val="none" w:sz="0" w:space="0" w:color="auto"/>
        <w:left w:val="none" w:sz="0" w:space="0" w:color="auto"/>
        <w:bottom w:val="none" w:sz="0" w:space="0" w:color="auto"/>
        <w:right w:val="none" w:sz="0" w:space="0" w:color="auto"/>
      </w:divBdr>
    </w:div>
    <w:div w:id="1025442034">
      <w:bodyDiv w:val="1"/>
      <w:marLeft w:val="0"/>
      <w:marRight w:val="0"/>
      <w:marTop w:val="0"/>
      <w:marBottom w:val="0"/>
      <w:divBdr>
        <w:top w:val="none" w:sz="0" w:space="0" w:color="auto"/>
        <w:left w:val="none" w:sz="0" w:space="0" w:color="auto"/>
        <w:bottom w:val="none" w:sz="0" w:space="0" w:color="auto"/>
        <w:right w:val="none" w:sz="0" w:space="0" w:color="auto"/>
      </w:divBdr>
    </w:div>
    <w:div w:id="1056583019">
      <w:bodyDiv w:val="1"/>
      <w:marLeft w:val="0"/>
      <w:marRight w:val="0"/>
      <w:marTop w:val="0"/>
      <w:marBottom w:val="0"/>
      <w:divBdr>
        <w:top w:val="none" w:sz="0" w:space="0" w:color="auto"/>
        <w:left w:val="none" w:sz="0" w:space="0" w:color="auto"/>
        <w:bottom w:val="none" w:sz="0" w:space="0" w:color="auto"/>
        <w:right w:val="none" w:sz="0" w:space="0" w:color="auto"/>
      </w:divBdr>
    </w:div>
    <w:div w:id="1136532538">
      <w:bodyDiv w:val="1"/>
      <w:marLeft w:val="0"/>
      <w:marRight w:val="0"/>
      <w:marTop w:val="0"/>
      <w:marBottom w:val="0"/>
      <w:divBdr>
        <w:top w:val="none" w:sz="0" w:space="0" w:color="auto"/>
        <w:left w:val="none" w:sz="0" w:space="0" w:color="auto"/>
        <w:bottom w:val="none" w:sz="0" w:space="0" w:color="auto"/>
        <w:right w:val="none" w:sz="0" w:space="0" w:color="auto"/>
      </w:divBdr>
    </w:div>
    <w:div w:id="1166557962">
      <w:bodyDiv w:val="1"/>
      <w:marLeft w:val="0"/>
      <w:marRight w:val="0"/>
      <w:marTop w:val="0"/>
      <w:marBottom w:val="0"/>
      <w:divBdr>
        <w:top w:val="none" w:sz="0" w:space="0" w:color="auto"/>
        <w:left w:val="none" w:sz="0" w:space="0" w:color="auto"/>
        <w:bottom w:val="none" w:sz="0" w:space="0" w:color="auto"/>
        <w:right w:val="none" w:sz="0" w:space="0" w:color="auto"/>
      </w:divBdr>
    </w:div>
    <w:div w:id="1206219246">
      <w:bodyDiv w:val="1"/>
      <w:marLeft w:val="0"/>
      <w:marRight w:val="0"/>
      <w:marTop w:val="0"/>
      <w:marBottom w:val="0"/>
      <w:divBdr>
        <w:top w:val="none" w:sz="0" w:space="0" w:color="auto"/>
        <w:left w:val="none" w:sz="0" w:space="0" w:color="auto"/>
        <w:bottom w:val="none" w:sz="0" w:space="0" w:color="auto"/>
        <w:right w:val="none" w:sz="0" w:space="0" w:color="auto"/>
      </w:divBdr>
    </w:div>
    <w:div w:id="1230924037">
      <w:bodyDiv w:val="1"/>
      <w:marLeft w:val="0"/>
      <w:marRight w:val="0"/>
      <w:marTop w:val="0"/>
      <w:marBottom w:val="0"/>
      <w:divBdr>
        <w:top w:val="none" w:sz="0" w:space="0" w:color="auto"/>
        <w:left w:val="none" w:sz="0" w:space="0" w:color="auto"/>
        <w:bottom w:val="none" w:sz="0" w:space="0" w:color="auto"/>
        <w:right w:val="none" w:sz="0" w:space="0" w:color="auto"/>
      </w:divBdr>
    </w:div>
    <w:div w:id="1294097142">
      <w:bodyDiv w:val="1"/>
      <w:marLeft w:val="0"/>
      <w:marRight w:val="0"/>
      <w:marTop w:val="0"/>
      <w:marBottom w:val="0"/>
      <w:divBdr>
        <w:top w:val="none" w:sz="0" w:space="0" w:color="auto"/>
        <w:left w:val="none" w:sz="0" w:space="0" w:color="auto"/>
        <w:bottom w:val="none" w:sz="0" w:space="0" w:color="auto"/>
        <w:right w:val="none" w:sz="0" w:space="0" w:color="auto"/>
      </w:divBdr>
    </w:div>
    <w:div w:id="1355810215">
      <w:bodyDiv w:val="1"/>
      <w:marLeft w:val="0"/>
      <w:marRight w:val="0"/>
      <w:marTop w:val="0"/>
      <w:marBottom w:val="0"/>
      <w:divBdr>
        <w:top w:val="none" w:sz="0" w:space="0" w:color="auto"/>
        <w:left w:val="none" w:sz="0" w:space="0" w:color="auto"/>
        <w:bottom w:val="none" w:sz="0" w:space="0" w:color="auto"/>
        <w:right w:val="none" w:sz="0" w:space="0" w:color="auto"/>
      </w:divBdr>
    </w:div>
    <w:div w:id="1407534870">
      <w:bodyDiv w:val="1"/>
      <w:marLeft w:val="0"/>
      <w:marRight w:val="0"/>
      <w:marTop w:val="0"/>
      <w:marBottom w:val="0"/>
      <w:divBdr>
        <w:top w:val="none" w:sz="0" w:space="0" w:color="auto"/>
        <w:left w:val="none" w:sz="0" w:space="0" w:color="auto"/>
        <w:bottom w:val="none" w:sz="0" w:space="0" w:color="auto"/>
        <w:right w:val="none" w:sz="0" w:space="0" w:color="auto"/>
      </w:divBdr>
    </w:div>
    <w:div w:id="1433280633">
      <w:bodyDiv w:val="1"/>
      <w:marLeft w:val="0"/>
      <w:marRight w:val="0"/>
      <w:marTop w:val="0"/>
      <w:marBottom w:val="0"/>
      <w:divBdr>
        <w:top w:val="none" w:sz="0" w:space="0" w:color="auto"/>
        <w:left w:val="none" w:sz="0" w:space="0" w:color="auto"/>
        <w:bottom w:val="none" w:sz="0" w:space="0" w:color="auto"/>
        <w:right w:val="none" w:sz="0" w:space="0" w:color="auto"/>
      </w:divBdr>
      <w:divsChild>
        <w:div w:id="1853717168">
          <w:marLeft w:val="0"/>
          <w:marRight w:val="0"/>
          <w:marTop w:val="0"/>
          <w:marBottom w:val="0"/>
          <w:divBdr>
            <w:top w:val="none" w:sz="0" w:space="0" w:color="auto"/>
            <w:left w:val="none" w:sz="0" w:space="0" w:color="auto"/>
            <w:bottom w:val="none" w:sz="0" w:space="0" w:color="auto"/>
            <w:right w:val="none" w:sz="0" w:space="0" w:color="auto"/>
          </w:divBdr>
          <w:divsChild>
            <w:div w:id="1663580574">
              <w:marLeft w:val="0"/>
              <w:marRight w:val="0"/>
              <w:marTop w:val="0"/>
              <w:marBottom w:val="0"/>
              <w:divBdr>
                <w:top w:val="none" w:sz="0" w:space="0" w:color="auto"/>
                <w:left w:val="none" w:sz="0" w:space="0" w:color="auto"/>
                <w:bottom w:val="none" w:sz="0" w:space="0" w:color="auto"/>
                <w:right w:val="none" w:sz="0" w:space="0" w:color="auto"/>
              </w:divBdr>
              <w:divsChild>
                <w:div w:id="2892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89536">
      <w:bodyDiv w:val="1"/>
      <w:marLeft w:val="0"/>
      <w:marRight w:val="0"/>
      <w:marTop w:val="0"/>
      <w:marBottom w:val="0"/>
      <w:divBdr>
        <w:top w:val="none" w:sz="0" w:space="0" w:color="auto"/>
        <w:left w:val="none" w:sz="0" w:space="0" w:color="auto"/>
        <w:bottom w:val="none" w:sz="0" w:space="0" w:color="auto"/>
        <w:right w:val="none" w:sz="0" w:space="0" w:color="auto"/>
      </w:divBdr>
      <w:divsChild>
        <w:div w:id="1460294824">
          <w:marLeft w:val="0"/>
          <w:marRight w:val="0"/>
          <w:marTop w:val="0"/>
          <w:marBottom w:val="0"/>
          <w:divBdr>
            <w:top w:val="none" w:sz="0" w:space="0" w:color="auto"/>
            <w:left w:val="none" w:sz="0" w:space="0" w:color="auto"/>
            <w:bottom w:val="none" w:sz="0" w:space="0" w:color="auto"/>
            <w:right w:val="none" w:sz="0" w:space="0" w:color="auto"/>
          </w:divBdr>
          <w:divsChild>
            <w:div w:id="580408932">
              <w:marLeft w:val="0"/>
              <w:marRight w:val="0"/>
              <w:marTop w:val="0"/>
              <w:marBottom w:val="0"/>
              <w:divBdr>
                <w:top w:val="none" w:sz="0" w:space="0" w:color="auto"/>
                <w:left w:val="none" w:sz="0" w:space="0" w:color="auto"/>
                <w:bottom w:val="none" w:sz="0" w:space="0" w:color="auto"/>
                <w:right w:val="none" w:sz="0" w:space="0" w:color="auto"/>
              </w:divBdr>
              <w:divsChild>
                <w:div w:id="1316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20009">
      <w:bodyDiv w:val="1"/>
      <w:marLeft w:val="0"/>
      <w:marRight w:val="0"/>
      <w:marTop w:val="0"/>
      <w:marBottom w:val="0"/>
      <w:divBdr>
        <w:top w:val="none" w:sz="0" w:space="0" w:color="auto"/>
        <w:left w:val="none" w:sz="0" w:space="0" w:color="auto"/>
        <w:bottom w:val="none" w:sz="0" w:space="0" w:color="auto"/>
        <w:right w:val="none" w:sz="0" w:space="0" w:color="auto"/>
      </w:divBdr>
    </w:div>
    <w:div w:id="1544977657">
      <w:bodyDiv w:val="1"/>
      <w:marLeft w:val="0"/>
      <w:marRight w:val="0"/>
      <w:marTop w:val="0"/>
      <w:marBottom w:val="0"/>
      <w:divBdr>
        <w:top w:val="none" w:sz="0" w:space="0" w:color="auto"/>
        <w:left w:val="none" w:sz="0" w:space="0" w:color="auto"/>
        <w:bottom w:val="none" w:sz="0" w:space="0" w:color="auto"/>
        <w:right w:val="none" w:sz="0" w:space="0" w:color="auto"/>
      </w:divBdr>
      <w:divsChild>
        <w:div w:id="1216354642">
          <w:marLeft w:val="0"/>
          <w:marRight w:val="0"/>
          <w:marTop w:val="0"/>
          <w:marBottom w:val="0"/>
          <w:divBdr>
            <w:top w:val="none" w:sz="0" w:space="0" w:color="auto"/>
            <w:left w:val="none" w:sz="0" w:space="0" w:color="auto"/>
            <w:bottom w:val="none" w:sz="0" w:space="0" w:color="auto"/>
            <w:right w:val="none" w:sz="0" w:space="0" w:color="auto"/>
          </w:divBdr>
          <w:divsChild>
            <w:div w:id="810445670">
              <w:marLeft w:val="0"/>
              <w:marRight w:val="0"/>
              <w:marTop w:val="0"/>
              <w:marBottom w:val="0"/>
              <w:divBdr>
                <w:top w:val="none" w:sz="0" w:space="0" w:color="auto"/>
                <w:left w:val="none" w:sz="0" w:space="0" w:color="auto"/>
                <w:bottom w:val="none" w:sz="0" w:space="0" w:color="auto"/>
                <w:right w:val="none" w:sz="0" w:space="0" w:color="auto"/>
              </w:divBdr>
              <w:divsChild>
                <w:div w:id="48840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9274">
      <w:bodyDiv w:val="1"/>
      <w:marLeft w:val="0"/>
      <w:marRight w:val="0"/>
      <w:marTop w:val="0"/>
      <w:marBottom w:val="0"/>
      <w:divBdr>
        <w:top w:val="none" w:sz="0" w:space="0" w:color="auto"/>
        <w:left w:val="none" w:sz="0" w:space="0" w:color="auto"/>
        <w:bottom w:val="none" w:sz="0" w:space="0" w:color="auto"/>
        <w:right w:val="none" w:sz="0" w:space="0" w:color="auto"/>
      </w:divBdr>
    </w:div>
    <w:div w:id="1623539048">
      <w:bodyDiv w:val="1"/>
      <w:marLeft w:val="0"/>
      <w:marRight w:val="0"/>
      <w:marTop w:val="0"/>
      <w:marBottom w:val="0"/>
      <w:divBdr>
        <w:top w:val="none" w:sz="0" w:space="0" w:color="auto"/>
        <w:left w:val="none" w:sz="0" w:space="0" w:color="auto"/>
        <w:bottom w:val="none" w:sz="0" w:space="0" w:color="auto"/>
        <w:right w:val="none" w:sz="0" w:space="0" w:color="auto"/>
      </w:divBdr>
    </w:div>
    <w:div w:id="1650742253">
      <w:bodyDiv w:val="1"/>
      <w:marLeft w:val="0"/>
      <w:marRight w:val="0"/>
      <w:marTop w:val="0"/>
      <w:marBottom w:val="0"/>
      <w:divBdr>
        <w:top w:val="none" w:sz="0" w:space="0" w:color="auto"/>
        <w:left w:val="none" w:sz="0" w:space="0" w:color="auto"/>
        <w:bottom w:val="none" w:sz="0" w:space="0" w:color="auto"/>
        <w:right w:val="none" w:sz="0" w:space="0" w:color="auto"/>
      </w:divBdr>
      <w:divsChild>
        <w:div w:id="1966304743">
          <w:marLeft w:val="0"/>
          <w:marRight w:val="0"/>
          <w:marTop w:val="0"/>
          <w:marBottom w:val="0"/>
          <w:divBdr>
            <w:top w:val="none" w:sz="0" w:space="0" w:color="auto"/>
            <w:left w:val="none" w:sz="0" w:space="0" w:color="auto"/>
            <w:bottom w:val="none" w:sz="0" w:space="0" w:color="auto"/>
            <w:right w:val="none" w:sz="0" w:space="0" w:color="auto"/>
          </w:divBdr>
        </w:div>
      </w:divsChild>
    </w:div>
    <w:div w:id="1669602647">
      <w:bodyDiv w:val="1"/>
      <w:marLeft w:val="0"/>
      <w:marRight w:val="0"/>
      <w:marTop w:val="0"/>
      <w:marBottom w:val="0"/>
      <w:divBdr>
        <w:top w:val="none" w:sz="0" w:space="0" w:color="auto"/>
        <w:left w:val="none" w:sz="0" w:space="0" w:color="auto"/>
        <w:bottom w:val="none" w:sz="0" w:space="0" w:color="auto"/>
        <w:right w:val="none" w:sz="0" w:space="0" w:color="auto"/>
      </w:divBdr>
    </w:div>
    <w:div w:id="1675381663">
      <w:bodyDiv w:val="1"/>
      <w:marLeft w:val="0"/>
      <w:marRight w:val="0"/>
      <w:marTop w:val="0"/>
      <w:marBottom w:val="0"/>
      <w:divBdr>
        <w:top w:val="none" w:sz="0" w:space="0" w:color="auto"/>
        <w:left w:val="none" w:sz="0" w:space="0" w:color="auto"/>
        <w:bottom w:val="none" w:sz="0" w:space="0" w:color="auto"/>
        <w:right w:val="none" w:sz="0" w:space="0" w:color="auto"/>
      </w:divBdr>
    </w:div>
    <w:div w:id="1725328578">
      <w:bodyDiv w:val="1"/>
      <w:marLeft w:val="0"/>
      <w:marRight w:val="0"/>
      <w:marTop w:val="0"/>
      <w:marBottom w:val="0"/>
      <w:divBdr>
        <w:top w:val="none" w:sz="0" w:space="0" w:color="auto"/>
        <w:left w:val="none" w:sz="0" w:space="0" w:color="auto"/>
        <w:bottom w:val="none" w:sz="0" w:space="0" w:color="auto"/>
        <w:right w:val="none" w:sz="0" w:space="0" w:color="auto"/>
      </w:divBdr>
    </w:div>
    <w:div w:id="1746297657">
      <w:bodyDiv w:val="1"/>
      <w:marLeft w:val="0"/>
      <w:marRight w:val="0"/>
      <w:marTop w:val="0"/>
      <w:marBottom w:val="0"/>
      <w:divBdr>
        <w:top w:val="none" w:sz="0" w:space="0" w:color="auto"/>
        <w:left w:val="none" w:sz="0" w:space="0" w:color="auto"/>
        <w:bottom w:val="none" w:sz="0" w:space="0" w:color="auto"/>
        <w:right w:val="none" w:sz="0" w:space="0" w:color="auto"/>
      </w:divBdr>
      <w:divsChild>
        <w:div w:id="1302419682">
          <w:marLeft w:val="0"/>
          <w:marRight w:val="0"/>
          <w:marTop w:val="0"/>
          <w:marBottom w:val="0"/>
          <w:divBdr>
            <w:top w:val="none" w:sz="0" w:space="0" w:color="auto"/>
            <w:left w:val="none" w:sz="0" w:space="0" w:color="auto"/>
            <w:bottom w:val="none" w:sz="0" w:space="0" w:color="auto"/>
            <w:right w:val="none" w:sz="0" w:space="0" w:color="auto"/>
          </w:divBdr>
          <w:divsChild>
            <w:div w:id="1436904864">
              <w:marLeft w:val="0"/>
              <w:marRight w:val="0"/>
              <w:marTop w:val="0"/>
              <w:marBottom w:val="0"/>
              <w:divBdr>
                <w:top w:val="none" w:sz="0" w:space="0" w:color="auto"/>
                <w:left w:val="none" w:sz="0" w:space="0" w:color="auto"/>
                <w:bottom w:val="none" w:sz="0" w:space="0" w:color="auto"/>
                <w:right w:val="none" w:sz="0" w:space="0" w:color="auto"/>
              </w:divBdr>
              <w:divsChild>
                <w:div w:id="52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257">
      <w:bodyDiv w:val="1"/>
      <w:marLeft w:val="0"/>
      <w:marRight w:val="0"/>
      <w:marTop w:val="0"/>
      <w:marBottom w:val="0"/>
      <w:divBdr>
        <w:top w:val="none" w:sz="0" w:space="0" w:color="auto"/>
        <w:left w:val="none" w:sz="0" w:space="0" w:color="auto"/>
        <w:bottom w:val="none" w:sz="0" w:space="0" w:color="auto"/>
        <w:right w:val="none" w:sz="0" w:space="0" w:color="auto"/>
      </w:divBdr>
      <w:divsChild>
        <w:div w:id="832722539">
          <w:marLeft w:val="0"/>
          <w:marRight w:val="0"/>
          <w:marTop w:val="0"/>
          <w:marBottom w:val="0"/>
          <w:divBdr>
            <w:top w:val="none" w:sz="0" w:space="0" w:color="auto"/>
            <w:left w:val="none" w:sz="0" w:space="0" w:color="auto"/>
            <w:bottom w:val="none" w:sz="0" w:space="0" w:color="auto"/>
            <w:right w:val="none" w:sz="0" w:space="0" w:color="auto"/>
          </w:divBdr>
          <w:divsChild>
            <w:div w:id="1453479062">
              <w:marLeft w:val="0"/>
              <w:marRight w:val="0"/>
              <w:marTop w:val="0"/>
              <w:marBottom w:val="0"/>
              <w:divBdr>
                <w:top w:val="none" w:sz="0" w:space="0" w:color="auto"/>
                <w:left w:val="none" w:sz="0" w:space="0" w:color="auto"/>
                <w:bottom w:val="none" w:sz="0" w:space="0" w:color="auto"/>
                <w:right w:val="none" w:sz="0" w:space="0" w:color="auto"/>
              </w:divBdr>
              <w:divsChild>
                <w:div w:id="1437166585">
                  <w:marLeft w:val="0"/>
                  <w:marRight w:val="0"/>
                  <w:marTop w:val="0"/>
                  <w:marBottom w:val="0"/>
                  <w:divBdr>
                    <w:top w:val="none" w:sz="0" w:space="0" w:color="auto"/>
                    <w:left w:val="none" w:sz="0" w:space="0" w:color="auto"/>
                    <w:bottom w:val="none" w:sz="0" w:space="0" w:color="auto"/>
                    <w:right w:val="none" w:sz="0" w:space="0" w:color="auto"/>
                  </w:divBdr>
                  <w:divsChild>
                    <w:div w:id="151934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4363">
      <w:bodyDiv w:val="1"/>
      <w:marLeft w:val="0"/>
      <w:marRight w:val="0"/>
      <w:marTop w:val="0"/>
      <w:marBottom w:val="0"/>
      <w:divBdr>
        <w:top w:val="none" w:sz="0" w:space="0" w:color="auto"/>
        <w:left w:val="none" w:sz="0" w:space="0" w:color="auto"/>
        <w:bottom w:val="none" w:sz="0" w:space="0" w:color="auto"/>
        <w:right w:val="none" w:sz="0" w:space="0" w:color="auto"/>
      </w:divBdr>
      <w:divsChild>
        <w:div w:id="849833010">
          <w:marLeft w:val="0"/>
          <w:marRight w:val="0"/>
          <w:marTop w:val="0"/>
          <w:marBottom w:val="0"/>
          <w:divBdr>
            <w:top w:val="none" w:sz="0" w:space="0" w:color="auto"/>
            <w:left w:val="none" w:sz="0" w:space="0" w:color="auto"/>
            <w:bottom w:val="none" w:sz="0" w:space="0" w:color="auto"/>
            <w:right w:val="none" w:sz="0" w:space="0" w:color="auto"/>
          </w:divBdr>
          <w:divsChild>
            <w:div w:id="313607598">
              <w:marLeft w:val="0"/>
              <w:marRight w:val="0"/>
              <w:marTop w:val="0"/>
              <w:marBottom w:val="0"/>
              <w:divBdr>
                <w:top w:val="none" w:sz="0" w:space="0" w:color="auto"/>
                <w:left w:val="none" w:sz="0" w:space="0" w:color="auto"/>
                <w:bottom w:val="none" w:sz="0" w:space="0" w:color="auto"/>
                <w:right w:val="none" w:sz="0" w:space="0" w:color="auto"/>
              </w:divBdr>
              <w:divsChild>
                <w:div w:id="1263224837">
                  <w:marLeft w:val="0"/>
                  <w:marRight w:val="0"/>
                  <w:marTop w:val="0"/>
                  <w:marBottom w:val="0"/>
                  <w:divBdr>
                    <w:top w:val="none" w:sz="0" w:space="0" w:color="auto"/>
                    <w:left w:val="none" w:sz="0" w:space="0" w:color="auto"/>
                    <w:bottom w:val="none" w:sz="0" w:space="0" w:color="auto"/>
                    <w:right w:val="none" w:sz="0" w:space="0" w:color="auto"/>
                  </w:divBdr>
                  <w:divsChild>
                    <w:div w:id="17451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343837">
      <w:bodyDiv w:val="1"/>
      <w:marLeft w:val="0"/>
      <w:marRight w:val="0"/>
      <w:marTop w:val="0"/>
      <w:marBottom w:val="0"/>
      <w:divBdr>
        <w:top w:val="none" w:sz="0" w:space="0" w:color="auto"/>
        <w:left w:val="none" w:sz="0" w:space="0" w:color="auto"/>
        <w:bottom w:val="none" w:sz="0" w:space="0" w:color="auto"/>
        <w:right w:val="none" w:sz="0" w:space="0" w:color="auto"/>
      </w:divBdr>
    </w:div>
    <w:div w:id="1946762936">
      <w:bodyDiv w:val="1"/>
      <w:marLeft w:val="0"/>
      <w:marRight w:val="0"/>
      <w:marTop w:val="0"/>
      <w:marBottom w:val="0"/>
      <w:divBdr>
        <w:top w:val="none" w:sz="0" w:space="0" w:color="auto"/>
        <w:left w:val="none" w:sz="0" w:space="0" w:color="auto"/>
        <w:bottom w:val="none" w:sz="0" w:space="0" w:color="auto"/>
        <w:right w:val="none" w:sz="0" w:space="0" w:color="auto"/>
      </w:divBdr>
    </w:div>
    <w:div w:id="1989288444">
      <w:bodyDiv w:val="1"/>
      <w:marLeft w:val="0"/>
      <w:marRight w:val="0"/>
      <w:marTop w:val="0"/>
      <w:marBottom w:val="0"/>
      <w:divBdr>
        <w:top w:val="none" w:sz="0" w:space="0" w:color="auto"/>
        <w:left w:val="none" w:sz="0" w:space="0" w:color="auto"/>
        <w:bottom w:val="none" w:sz="0" w:space="0" w:color="auto"/>
        <w:right w:val="none" w:sz="0" w:space="0" w:color="auto"/>
      </w:divBdr>
    </w:div>
    <w:div w:id="2000503645">
      <w:bodyDiv w:val="1"/>
      <w:marLeft w:val="0"/>
      <w:marRight w:val="0"/>
      <w:marTop w:val="0"/>
      <w:marBottom w:val="0"/>
      <w:divBdr>
        <w:top w:val="none" w:sz="0" w:space="0" w:color="auto"/>
        <w:left w:val="none" w:sz="0" w:space="0" w:color="auto"/>
        <w:bottom w:val="none" w:sz="0" w:space="0" w:color="auto"/>
        <w:right w:val="none" w:sz="0" w:space="0" w:color="auto"/>
      </w:divBdr>
    </w:div>
    <w:div w:id="20645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19</Pages>
  <Words>8932</Words>
  <Characters>50917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letwin</dc:creator>
  <cp:keywords/>
  <dc:description/>
  <cp:lastModifiedBy>Jeremy Letwin</cp:lastModifiedBy>
  <cp:revision>45</cp:revision>
  <cp:lastPrinted>2023-04-12T09:48:00Z</cp:lastPrinted>
  <dcterms:created xsi:type="dcterms:W3CDTF">2023-04-26T17:02:00Z</dcterms:created>
  <dcterms:modified xsi:type="dcterms:W3CDTF">2023-04-27T12:37:00Z</dcterms:modified>
</cp:coreProperties>
</file>