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F0A7D" w14:textId="77777777" w:rsidR="00DC336A" w:rsidRDefault="00DC336A" w:rsidP="00DC336A">
      <w:pPr>
        <w:spacing w:line="480" w:lineRule="auto"/>
        <w:jc w:val="both"/>
        <w:rPr>
          <w:rFonts w:ascii="Times New Roman" w:hAnsi="Times New Roman" w:cs="Times New Roman"/>
          <w:b/>
          <w:bCs/>
        </w:rPr>
      </w:pPr>
    </w:p>
    <w:p w14:paraId="6C62196D" w14:textId="77777777" w:rsidR="00DC336A" w:rsidRPr="00480BE9" w:rsidRDefault="00DC336A" w:rsidP="00DC336A">
      <w:pPr>
        <w:spacing w:line="480" w:lineRule="auto"/>
        <w:jc w:val="both"/>
        <w:rPr>
          <w:rFonts w:ascii="Times New Roman" w:hAnsi="Times New Roman" w:cs="Times New Roman"/>
          <w:b/>
          <w:bCs/>
        </w:rPr>
      </w:pPr>
      <w:r w:rsidRPr="00480BE9">
        <w:rPr>
          <w:rFonts w:ascii="Times New Roman" w:hAnsi="Times New Roman" w:cs="Times New Roman"/>
          <w:b/>
          <w:bCs/>
        </w:rPr>
        <w:t>Buying in? The political economy of investor migration in Western Europe</w:t>
      </w:r>
    </w:p>
    <w:p w14:paraId="0A765766" w14:textId="77777777" w:rsidR="00DC336A" w:rsidRPr="00DC336A" w:rsidRDefault="00DC336A" w:rsidP="00DC336A">
      <w:pPr>
        <w:spacing w:line="480" w:lineRule="auto"/>
        <w:jc w:val="both"/>
        <w:rPr>
          <w:rFonts w:ascii="Times New Roman" w:hAnsi="Times New Roman" w:cs="Times New Roman"/>
          <w:bCs/>
        </w:rPr>
      </w:pPr>
      <w:r w:rsidRPr="00DC336A">
        <w:rPr>
          <w:rFonts w:ascii="Times New Roman" w:hAnsi="Times New Roman" w:cs="Times New Roman"/>
          <w:bCs/>
        </w:rPr>
        <w:t>Erica Consterdine</w:t>
      </w:r>
    </w:p>
    <w:p w14:paraId="79038DA3" w14:textId="77777777" w:rsidR="00DC336A" w:rsidRPr="00DC336A" w:rsidRDefault="00DC336A" w:rsidP="00DC336A">
      <w:pPr>
        <w:spacing w:line="480" w:lineRule="auto"/>
        <w:jc w:val="both"/>
        <w:rPr>
          <w:rFonts w:ascii="Times New Roman" w:hAnsi="Times New Roman" w:cs="Times New Roman"/>
          <w:bCs/>
        </w:rPr>
      </w:pPr>
      <w:r w:rsidRPr="00DC336A">
        <w:rPr>
          <w:rFonts w:ascii="Times New Roman" w:hAnsi="Times New Roman" w:cs="Times New Roman"/>
          <w:bCs/>
        </w:rPr>
        <w:t>Lancaster University</w:t>
      </w:r>
    </w:p>
    <w:p w14:paraId="185D9F27" w14:textId="77777777" w:rsidR="00DC336A" w:rsidRPr="00DC336A" w:rsidRDefault="009E7006" w:rsidP="00DC336A">
      <w:pPr>
        <w:spacing w:line="480" w:lineRule="auto"/>
        <w:jc w:val="both"/>
        <w:rPr>
          <w:rFonts w:ascii="Times New Roman" w:hAnsi="Times New Roman" w:cs="Times New Roman"/>
          <w:bCs/>
        </w:rPr>
      </w:pPr>
      <w:hyperlink r:id="rId9" w:history="1">
        <w:r w:rsidR="00DC336A" w:rsidRPr="00DC336A">
          <w:rPr>
            <w:rStyle w:val="Hyperlink"/>
            <w:rFonts w:ascii="Times New Roman" w:hAnsi="Times New Roman" w:cs="Times New Roman"/>
            <w:bCs/>
          </w:rPr>
          <w:t>E.Consterdine@lancaster.ac.uk</w:t>
        </w:r>
      </w:hyperlink>
      <w:r w:rsidR="00DC336A" w:rsidRPr="00DC336A">
        <w:rPr>
          <w:rFonts w:ascii="Times New Roman" w:hAnsi="Times New Roman" w:cs="Times New Roman"/>
          <w:bCs/>
        </w:rPr>
        <w:t xml:space="preserve"> </w:t>
      </w:r>
    </w:p>
    <w:p w14:paraId="5AAF553C" w14:textId="77777777" w:rsidR="00DC336A" w:rsidRPr="00DC336A" w:rsidRDefault="00DC336A" w:rsidP="00DC336A">
      <w:pPr>
        <w:spacing w:line="480" w:lineRule="auto"/>
        <w:jc w:val="both"/>
        <w:rPr>
          <w:rFonts w:ascii="Times New Roman" w:hAnsi="Times New Roman" w:cs="Times New Roman"/>
          <w:bCs/>
        </w:rPr>
      </w:pPr>
      <w:r w:rsidRPr="00DC336A">
        <w:rPr>
          <w:rFonts w:ascii="Times New Roman" w:hAnsi="Times New Roman" w:cs="Times New Roman"/>
          <w:bCs/>
        </w:rPr>
        <w:t xml:space="preserve">James Hampshire </w:t>
      </w:r>
    </w:p>
    <w:p w14:paraId="1365D63C" w14:textId="77777777" w:rsidR="00DC336A" w:rsidRPr="00DC336A" w:rsidRDefault="00DC336A" w:rsidP="00DC336A">
      <w:pPr>
        <w:spacing w:line="480" w:lineRule="auto"/>
        <w:jc w:val="both"/>
        <w:rPr>
          <w:rFonts w:ascii="Times New Roman" w:hAnsi="Times New Roman" w:cs="Times New Roman"/>
          <w:bCs/>
        </w:rPr>
      </w:pPr>
      <w:r w:rsidRPr="00DC336A">
        <w:rPr>
          <w:rFonts w:ascii="Times New Roman" w:hAnsi="Times New Roman" w:cs="Times New Roman"/>
          <w:bCs/>
        </w:rPr>
        <w:t>University of Sussex</w:t>
      </w:r>
    </w:p>
    <w:p w14:paraId="44D883CE" w14:textId="77777777" w:rsidR="00DC336A" w:rsidRPr="00DC336A" w:rsidRDefault="009E7006" w:rsidP="00DC336A">
      <w:pPr>
        <w:spacing w:line="480" w:lineRule="auto"/>
        <w:jc w:val="both"/>
        <w:rPr>
          <w:rFonts w:ascii="Times New Roman" w:hAnsi="Times New Roman" w:cs="Times New Roman"/>
          <w:bCs/>
        </w:rPr>
      </w:pPr>
      <w:hyperlink r:id="rId10" w:history="1">
        <w:r w:rsidR="00DC336A" w:rsidRPr="00DC336A">
          <w:rPr>
            <w:rStyle w:val="Hyperlink"/>
            <w:rFonts w:ascii="Times New Roman" w:hAnsi="Times New Roman" w:cs="Times New Roman"/>
            <w:bCs/>
          </w:rPr>
          <w:t>J.A.Hampshire@sussex.ac.uk</w:t>
        </w:r>
      </w:hyperlink>
      <w:r w:rsidR="00DC336A" w:rsidRPr="00DC336A">
        <w:rPr>
          <w:rFonts w:ascii="Times New Roman" w:hAnsi="Times New Roman" w:cs="Times New Roman"/>
          <w:bCs/>
        </w:rPr>
        <w:t xml:space="preserve"> </w:t>
      </w:r>
    </w:p>
    <w:p w14:paraId="41453EAB" w14:textId="77777777" w:rsidR="00DC336A" w:rsidRPr="00480BE9" w:rsidRDefault="00DC336A" w:rsidP="00DC336A">
      <w:pPr>
        <w:spacing w:line="480" w:lineRule="auto"/>
        <w:jc w:val="both"/>
        <w:rPr>
          <w:rFonts w:ascii="Times New Roman" w:hAnsi="Times New Roman" w:cs="Times New Roman"/>
        </w:rPr>
      </w:pPr>
    </w:p>
    <w:p w14:paraId="1881EEE1" w14:textId="77777777" w:rsidR="00DC336A" w:rsidRPr="00480BE9" w:rsidRDefault="00DC336A" w:rsidP="00DC336A">
      <w:pPr>
        <w:spacing w:line="480" w:lineRule="auto"/>
        <w:jc w:val="both"/>
        <w:rPr>
          <w:rFonts w:ascii="Times New Roman" w:hAnsi="Times New Roman" w:cs="Times New Roman"/>
          <w:b/>
        </w:rPr>
      </w:pPr>
      <w:r w:rsidRPr="00480BE9">
        <w:rPr>
          <w:rFonts w:ascii="Times New Roman" w:hAnsi="Times New Roman" w:cs="Times New Roman"/>
          <w:b/>
        </w:rPr>
        <w:t xml:space="preserve">Abstract </w:t>
      </w:r>
    </w:p>
    <w:p w14:paraId="4BB5EF86" w14:textId="6ECE3FB0"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Residence-by-investment schemes, which enable wealthy people to acquire a visa in return for a financial investment, have become increasingly common. In this paper, we use an original immigration policy index and case studies to examine the political economy of residence-by-investment policies in three European countries: France, Spain, and the UK. We make two contributions to the literature. First, we compare investment with work visas and show that across all three countries investor routes are significantly more open and generous than work routes, including for the highly skilled. Second, drawing on theories of comparative political economy, we explore how investor visas </w:t>
      </w:r>
      <w:r w:rsidR="00BA3392">
        <w:rPr>
          <w:rFonts w:ascii="Times New Roman" w:hAnsi="Times New Roman" w:cs="Times New Roman"/>
        </w:rPr>
        <w:t>are</w:t>
      </w:r>
      <w:r w:rsidRPr="00480BE9">
        <w:rPr>
          <w:rFonts w:ascii="Times New Roman" w:hAnsi="Times New Roman" w:cs="Times New Roman"/>
        </w:rPr>
        <w:t xml:space="preserve"> shaped by capitalist diversity. Based on these three cases, we argue that investor visa policies are conditioned by national-level economic models and the political interests that underpin them. We aim to advance understanding not only of how investor visas vary, but why they do so.</w:t>
      </w:r>
    </w:p>
    <w:p w14:paraId="1DB2D3F4" w14:textId="77777777" w:rsidR="00DC336A" w:rsidRPr="00480BE9" w:rsidRDefault="00DC336A" w:rsidP="00DC336A">
      <w:pPr>
        <w:spacing w:line="480" w:lineRule="auto"/>
        <w:jc w:val="both"/>
        <w:rPr>
          <w:rFonts w:ascii="Times New Roman" w:hAnsi="Times New Roman" w:cs="Times New Roman"/>
        </w:rPr>
      </w:pPr>
    </w:p>
    <w:p w14:paraId="79CEFD26" w14:textId="7245D434"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Keywords: immigration policy, investor visas, migration, political economy, residence-by-investment </w:t>
      </w:r>
    </w:p>
    <w:p w14:paraId="14D2A3ED" w14:textId="77777777" w:rsidR="00DC336A" w:rsidRPr="00480BE9" w:rsidRDefault="00DC336A" w:rsidP="00DC336A">
      <w:pPr>
        <w:spacing w:line="480" w:lineRule="auto"/>
        <w:jc w:val="both"/>
        <w:rPr>
          <w:rFonts w:ascii="Times New Roman" w:hAnsi="Times New Roman" w:cs="Times New Roman"/>
        </w:rPr>
      </w:pPr>
    </w:p>
    <w:p w14:paraId="6FE77E28" w14:textId="122A3AD5"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lastRenderedPageBreak/>
        <w:t>One of the more controversial migration policy developments in recent years has been the trend for European countries to adopt citizenship- and residence-by-investment schemes, sometimes known as ‘golden passports’ and ‘golden visas’ respectively. These schemes allow wealthy individuals and their families to acquire citizenship or permanent residence in return for a substantial financial investment. In 2010, just four European Union (EU) Member States offered investor visa programmes; by 2017, nearly half had an investor visa, and all had adopted at least one legal mechanism for facilitating investment-based migration (D</w:t>
      </w:r>
      <w:r w:rsidRPr="00480BE9">
        <w:rPr>
          <w:rFonts w:ascii="Times New Roman" w:hAnsi="Times New Roman" w:cs="Times New Roman"/>
          <w:color w:val="000000"/>
        </w:rPr>
        <w:t>žankić 2018: 479</w:t>
      </w:r>
      <w:r>
        <w:rPr>
          <w:rFonts w:ascii="Times New Roman" w:hAnsi="Times New Roman" w:cs="Times New Roman"/>
          <w:color w:val="000000"/>
        </w:rPr>
        <w:t xml:space="preserve">; </w:t>
      </w:r>
      <w:r w:rsidRPr="00480BE9">
        <w:rPr>
          <w:rFonts w:ascii="Times New Roman" w:hAnsi="Times New Roman" w:cs="Times New Roman"/>
        </w:rPr>
        <w:t>Surak 202</w:t>
      </w:r>
      <w:r w:rsidR="00B9491E">
        <w:rPr>
          <w:rFonts w:ascii="Times New Roman" w:hAnsi="Times New Roman" w:cs="Times New Roman"/>
        </w:rPr>
        <w:t>0</w:t>
      </w:r>
      <w:r w:rsidRPr="00480BE9">
        <w:rPr>
          <w:rFonts w:ascii="Times New Roman" w:hAnsi="Times New Roman" w:cs="Times New Roman"/>
        </w:rPr>
        <w:t>: 151;).</w:t>
      </w:r>
    </w:p>
    <w:p w14:paraId="1EDFB42D" w14:textId="77777777" w:rsidR="00DC336A" w:rsidRPr="00480BE9" w:rsidRDefault="00DC336A" w:rsidP="00DC336A">
      <w:pPr>
        <w:spacing w:line="480" w:lineRule="auto"/>
        <w:jc w:val="both"/>
        <w:rPr>
          <w:rFonts w:ascii="Times New Roman" w:hAnsi="Times New Roman" w:cs="Times New Roman"/>
        </w:rPr>
      </w:pPr>
    </w:p>
    <w:p w14:paraId="070FEEB4" w14:textId="65C8A0C0" w:rsidR="00DC336A"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Recent scholarship on residence-by-investment schemes has described investor visa policies, mapped cross-national variation, examined policy drivers, and explored normative questions (e.g. </w:t>
      </w:r>
      <w:r>
        <w:rPr>
          <w:rFonts w:ascii="Times New Roman" w:eastAsia="Times New Roman" w:hAnsi="Times New Roman" w:cs="Times New Roman"/>
          <w:color w:val="222222"/>
          <w:shd w:val="clear" w:color="auto" w:fill="FFFFFF"/>
          <w:lang w:val="en-GB"/>
        </w:rPr>
        <w:t>Džankić</w:t>
      </w:r>
      <w:r w:rsidRPr="00480BE9">
        <w:rPr>
          <w:rFonts w:ascii="Times New Roman" w:eastAsia="Times New Roman" w:hAnsi="Times New Roman" w:cs="Times New Roman"/>
          <w:color w:val="222222"/>
          <w:shd w:val="clear" w:color="auto" w:fill="FFFFFF"/>
          <w:lang w:val="en-GB"/>
        </w:rPr>
        <w:t xml:space="preserve"> 2015</w:t>
      </w:r>
      <w:r w:rsidRPr="00480BE9">
        <w:rPr>
          <w:rFonts w:ascii="Times New Roman" w:hAnsi="Times New Roman" w:cs="Times New Roman"/>
        </w:rPr>
        <w:t xml:space="preserve">, 2018; </w:t>
      </w:r>
      <w:r w:rsidRPr="00480BE9">
        <w:rPr>
          <w:rFonts w:ascii="Times New Roman" w:eastAsia="Times New Roman" w:hAnsi="Times New Roman" w:cs="Times New Roman"/>
          <w:color w:val="222222"/>
          <w:shd w:val="clear" w:color="auto" w:fill="FFFFFF"/>
          <w:lang w:val="en-GB"/>
        </w:rPr>
        <w:t xml:space="preserve">Gamlen et al. 2019; Parker 2017; </w:t>
      </w:r>
      <w:r w:rsidRPr="00480BE9">
        <w:rPr>
          <w:rFonts w:ascii="Times New Roman" w:hAnsi="Times New Roman" w:cs="Times New Roman"/>
        </w:rPr>
        <w:t>Sumption 2021; Surak 2020;</w:t>
      </w:r>
      <w:r w:rsidRPr="00480BE9">
        <w:rPr>
          <w:rFonts w:ascii="Times New Roman" w:eastAsia="Times New Roman" w:hAnsi="Times New Roman" w:cs="Times New Roman"/>
          <w:color w:val="222222"/>
          <w:shd w:val="clear" w:color="auto" w:fill="FFFFFF"/>
          <w:lang w:val="en-GB"/>
        </w:rPr>
        <w:t xml:space="preserve"> Surak and </w:t>
      </w:r>
      <w:r w:rsidRPr="00480BE9">
        <w:rPr>
          <w:rFonts w:ascii="Times New Roman" w:hAnsi="Times New Roman" w:cs="Times New Roman"/>
        </w:rPr>
        <w:t>Tsuzuki 2021</w:t>
      </w:r>
      <w:r w:rsidR="005A1CF7">
        <w:rPr>
          <w:rFonts w:ascii="Times New Roman" w:hAnsi="Times New Roman" w:cs="Times New Roman"/>
        </w:rPr>
        <w:t>; Kochenov and Surak 2023</w:t>
      </w:r>
      <w:r w:rsidRPr="00480BE9">
        <w:rPr>
          <w:rFonts w:ascii="Times New Roman" w:hAnsi="Times New Roman" w:cs="Times New Roman"/>
        </w:rPr>
        <w:t>). Considerable progress has been made in understanding how and why investment migration has taken off in recent years. However, there is little research that analyses investor policies in relation to other migration policies or situates investment migration within national economic models. In this paper we compare investor and work migration policies to shed light on how access to European residence is differentiated by wealth and labour; and by analysing investor visas within the context of national models of political economy, we explore factors that shape investor visa policies.</w:t>
      </w:r>
    </w:p>
    <w:p w14:paraId="09452664" w14:textId="77777777" w:rsidR="00DC336A" w:rsidRPr="00480BE9" w:rsidRDefault="00DC336A" w:rsidP="00DC336A">
      <w:pPr>
        <w:spacing w:line="480" w:lineRule="auto"/>
        <w:jc w:val="both"/>
        <w:rPr>
          <w:rFonts w:ascii="Times New Roman" w:hAnsi="Times New Roman" w:cs="Times New Roman"/>
        </w:rPr>
      </w:pPr>
    </w:p>
    <w:p w14:paraId="3CDE8A3E" w14:textId="5B288C80"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Our analysis is based on an original policy index, which we use to compare immigration policies for investors and skilled workers across three European countries – France, Spain, and the UK – alongside qualitative case studies, through which we explore how national-level factors influenced the introduction and </w:t>
      </w:r>
      <w:r w:rsidR="000355BD">
        <w:rPr>
          <w:rFonts w:ascii="Times New Roman" w:hAnsi="Times New Roman" w:cs="Times New Roman"/>
        </w:rPr>
        <w:t>goals</w:t>
      </w:r>
      <w:r w:rsidR="00000EBB" w:rsidRPr="00480BE9">
        <w:rPr>
          <w:rFonts w:ascii="Times New Roman" w:hAnsi="Times New Roman" w:cs="Times New Roman"/>
        </w:rPr>
        <w:t xml:space="preserve"> </w:t>
      </w:r>
      <w:r w:rsidRPr="00480BE9">
        <w:rPr>
          <w:rFonts w:ascii="Times New Roman" w:hAnsi="Times New Roman" w:cs="Times New Roman"/>
        </w:rPr>
        <w:t xml:space="preserve">of investor visas. We </w:t>
      </w:r>
      <w:r w:rsidR="0058794B">
        <w:rPr>
          <w:rFonts w:ascii="Times New Roman" w:hAnsi="Times New Roman" w:cs="Times New Roman"/>
        </w:rPr>
        <w:t xml:space="preserve">address three research questions: first, have </w:t>
      </w:r>
      <w:r w:rsidRPr="00480BE9">
        <w:rPr>
          <w:rFonts w:ascii="Times New Roman" w:hAnsi="Times New Roman" w:cs="Times New Roman"/>
        </w:rPr>
        <w:t>investor visas become more open over time</w:t>
      </w:r>
      <w:r w:rsidR="0058794B">
        <w:rPr>
          <w:rFonts w:ascii="Times New Roman" w:hAnsi="Times New Roman" w:cs="Times New Roman"/>
        </w:rPr>
        <w:t xml:space="preserve">; second, </w:t>
      </w:r>
      <w:r w:rsidRPr="00480BE9">
        <w:rPr>
          <w:rFonts w:ascii="Times New Roman" w:hAnsi="Times New Roman" w:cs="Times New Roman"/>
        </w:rPr>
        <w:t>how</w:t>
      </w:r>
      <w:r w:rsidR="0058794B">
        <w:rPr>
          <w:rFonts w:ascii="Times New Roman" w:hAnsi="Times New Roman" w:cs="Times New Roman"/>
        </w:rPr>
        <w:t xml:space="preserve"> do</w:t>
      </w:r>
      <w:r w:rsidRPr="00480BE9">
        <w:rPr>
          <w:rFonts w:ascii="Times New Roman" w:hAnsi="Times New Roman" w:cs="Times New Roman"/>
        </w:rPr>
        <w:t xml:space="preserve"> </w:t>
      </w:r>
      <w:r w:rsidRPr="00480BE9">
        <w:rPr>
          <w:rFonts w:ascii="Times New Roman" w:hAnsi="Times New Roman" w:cs="Times New Roman"/>
        </w:rPr>
        <w:lastRenderedPageBreak/>
        <w:t xml:space="preserve">investor routes compare to work routes; and finally, what factors explain variation in </w:t>
      </w:r>
      <w:r w:rsidR="002B45B7">
        <w:rPr>
          <w:rFonts w:ascii="Times New Roman" w:hAnsi="Times New Roman" w:cs="Times New Roman"/>
        </w:rPr>
        <w:t>investor</w:t>
      </w:r>
      <w:r w:rsidR="006867AC">
        <w:rPr>
          <w:rFonts w:ascii="Times New Roman" w:hAnsi="Times New Roman" w:cs="Times New Roman"/>
        </w:rPr>
        <w:t xml:space="preserve"> visa</w:t>
      </w:r>
      <w:r w:rsidR="002B45B7">
        <w:rPr>
          <w:rFonts w:ascii="Times New Roman" w:hAnsi="Times New Roman" w:cs="Times New Roman"/>
        </w:rPr>
        <w:t xml:space="preserve"> </w:t>
      </w:r>
      <w:r w:rsidRPr="00480BE9">
        <w:rPr>
          <w:rFonts w:ascii="Times New Roman" w:hAnsi="Times New Roman" w:cs="Times New Roman"/>
        </w:rPr>
        <w:t>polic</w:t>
      </w:r>
      <w:r w:rsidR="006867AC">
        <w:rPr>
          <w:rFonts w:ascii="Times New Roman" w:hAnsi="Times New Roman" w:cs="Times New Roman"/>
        </w:rPr>
        <w:t>ies</w:t>
      </w:r>
      <w:r w:rsidRPr="00480BE9">
        <w:rPr>
          <w:rFonts w:ascii="Times New Roman" w:hAnsi="Times New Roman" w:cs="Times New Roman"/>
        </w:rPr>
        <w:t xml:space="preserve"> across countries</w:t>
      </w:r>
      <w:r w:rsidR="0058794B">
        <w:rPr>
          <w:rFonts w:ascii="Times New Roman" w:hAnsi="Times New Roman" w:cs="Times New Roman"/>
        </w:rPr>
        <w:t>?</w:t>
      </w:r>
    </w:p>
    <w:p w14:paraId="406A440A" w14:textId="3DA2F8F2" w:rsidR="00DC336A" w:rsidRPr="00480BE9" w:rsidRDefault="00DC336A" w:rsidP="00DC336A">
      <w:pPr>
        <w:spacing w:line="480" w:lineRule="auto"/>
        <w:jc w:val="both"/>
        <w:rPr>
          <w:rFonts w:ascii="Times New Roman" w:hAnsi="Times New Roman" w:cs="Times New Roman"/>
        </w:rPr>
      </w:pPr>
    </w:p>
    <w:p w14:paraId="13A28D22" w14:textId="4BDB7B85" w:rsidR="00DC336A" w:rsidRPr="00480BE9" w:rsidRDefault="008934FA" w:rsidP="00DC336A">
      <w:pPr>
        <w:spacing w:line="480" w:lineRule="auto"/>
        <w:jc w:val="both"/>
        <w:rPr>
          <w:rFonts w:ascii="Times New Roman" w:hAnsi="Times New Roman" w:cs="Times New Roman"/>
        </w:rPr>
      </w:pPr>
      <w:r>
        <w:rPr>
          <w:rFonts w:ascii="Times New Roman" w:hAnsi="Times New Roman" w:cs="Times New Roman"/>
        </w:rPr>
        <w:t>W</w:t>
      </w:r>
      <w:r w:rsidR="00DC336A" w:rsidRPr="00480BE9">
        <w:rPr>
          <w:rFonts w:ascii="Times New Roman" w:hAnsi="Times New Roman" w:cs="Times New Roman"/>
        </w:rPr>
        <w:t>e show that</w:t>
      </w:r>
      <w:r>
        <w:rPr>
          <w:rFonts w:ascii="Times New Roman" w:hAnsi="Times New Roman" w:cs="Times New Roman"/>
        </w:rPr>
        <w:t xml:space="preserve"> there </w:t>
      </w:r>
      <w:r w:rsidR="00035D8C">
        <w:rPr>
          <w:rFonts w:ascii="Times New Roman" w:hAnsi="Times New Roman" w:cs="Times New Roman"/>
        </w:rPr>
        <w:t>has</w:t>
      </w:r>
      <w:r>
        <w:rPr>
          <w:rFonts w:ascii="Times New Roman" w:hAnsi="Times New Roman" w:cs="Times New Roman"/>
        </w:rPr>
        <w:t xml:space="preserve"> been a general liberalization of investor routes and</w:t>
      </w:r>
      <w:r w:rsidR="00DC336A" w:rsidRPr="00480BE9">
        <w:rPr>
          <w:rFonts w:ascii="Times New Roman" w:hAnsi="Times New Roman" w:cs="Times New Roman"/>
        </w:rPr>
        <w:t xml:space="preserve"> </w:t>
      </w:r>
      <w:r>
        <w:rPr>
          <w:rFonts w:ascii="Times New Roman" w:hAnsi="Times New Roman" w:cs="Times New Roman"/>
        </w:rPr>
        <w:t xml:space="preserve">that </w:t>
      </w:r>
      <w:r w:rsidR="00DC336A" w:rsidRPr="00480BE9">
        <w:rPr>
          <w:rFonts w:ascii="Times New Roman" w:hAnsi="Times New Roman" w:cs="Times New Roman"/>
        </w:rPr>
        <w:t>admission to all three countries is significantly easier for the wealthy than skilled workers. Admissions criteria are less stringent, and rights are more expansive, for those who can afford to make financial investments compared with those who bring scarce skills or fill job vacancies</w:t>
      </w:r>
      <w:r w:rsidR="00035D8C">
        <w:rPr>
          <w:rFonts w:ascii="Times New Roman" w:hAnsi="Times New Roman" w:cs="Times New Roman"/>
        </w:rPr>
        <w:t xml:space="preserve">. </w:t>
      </w:r>
      <w:r w:rsidRPr="00480BE9">
        <w:rPr>
          <w:rFonts w:ascii="Times New Roman" w:hAnsi="Times New Roman" w:cs="Times New Roman"/>
        </w:rPr>
        <w:t>While there has been a</w:t>
      </w:r>
      <w:r w:rsidR="00035D8C">
        <w:rPr>
          <w:rFonts w:ascii="Times New Roman" w:hAnsi="Times New Roman" w:cs="Times New Roman"/>
        </w:rPr>
        <w:t xml:space="preserve">n overall </w:t>
      </w:r>
      <w:r w:rsidRPr="00480BE9">
        <w:rPr>
          <w:rFonts w:ascii="Times New Roman" w:hAnsi="Times New Roman" w:cs="Times New Roman"/>
        </w:rPr>
        <w:t>liberalization of investor routes, there is considerable variation</w:t>
      </w:r>
      <w:r w:rsidR="00035D8C">
        <w:rPr>
          <w:rFonts w:ascii="Times New Roman" w:hAnsi="Times New Roman" w:cs="Times New Roman"/>
        </w:rPr>
        <w:t xml:space="preserve"> </w:t>
      </w:r>
      <w:r w:rsidR="006867AC">
        <w:rPr>
          <w:rFonts w:ascii="Times New Roman" w:hAnsi="Times New Roman" w:cs="Times New Roman"/>
        </w:rPr>
        <w:t>in the kinds of investments targeted by different countries</w:t>
      </w:r>
      <w:r>
        <w:rPr>
          <w:rFonts w:ascii="Times New Roman" w:hAnsi="Times New Roman" w:cs="Times New Roman"/>
        </w:rPr>
        <w:t xml:space="preserve">. </w:t>
      </w:r>
      <w:r w:rsidR="00DC336A" w:rsidRPr="00480BE9">
        <w:rPr>
          <w:rFonts w:ascii="Times New Roman" w:hAnsi="Times New Roman" w:cs="Times New Roman"/>
        </w:rPr>
        <w:t xml:space="preserve">We </w:t>
      </w:r>
      <w:r w:rsidR="0088751B">
        <w:rPr>
          <w:rFonts w:ascii="Times New Roman" w:hAnsi="Times New Roman" w:cs="Times New Roman"/>
        </w:rPr>
        <w:t xml:space="preserve">argue that </w:t>
      </w:r>
      <w:r w:rsidR="00DC336A" w:rsidRPr="00480BE9">
        <w:rPr>
          <w:rFonts w:ascii="Times New Roman" w:hAnsi="Times New Roman" w:cs="Times New Roman"/>
        </w:rPr>
        <w:t xml:space="preserve">investor visas </w:t>
      </w:r>
      <w:r>
        <w:rPr>
          <w:rFonts w:ascii="Times New Roman" w:hAnsi="Times New Roman" w:cs="Times New Roman"/>
        </w:rPr>
        <w:t xml:space="preserve">are embedded in </w:t>
      </w:r>
      <w:r w:rsidR="00DC336A" w:rsidRPr="00480BE9">
        <w:rPr>
          <w:rFonts w:ascii="Times New Roman" w:hAnsi="Times New Roman" w:cs="Times New Roman"/>
        </w:rPr>
        <w:t>different</w:t>
      </w:r>
      <w:r>
        <w:rPr>
          <w:rFonts w:ascii="Times New Roman" w:hAnsi="Times New Roman" w:cs="Times New Roman"/>
        </w:rPr>
        <w:t xml:space="preserve"> national</w:t>
      </w:r>
      <w:r w:rsidR="00DC336A" w:rsidRPr="00480BE9">
        <w:rPr>
          <w:rFonts w:ascii="Times New Roman" w:hAnsi="Times New Roman" w:cs="Times New Roman"/>
        </w:rPr>
        <w:t xml:space="preserve"> </w:t>
      </w:r>
      <w:r w:rsidR="00737CA6">
        <w:rPr>
          <w:rFonts w:ascii="Times New Roman" w:hAnsi="Times New Roman" w:cs="Times New Roman"/>
        </w:rPr>
        <w:t>growth</w:t>
      </w:r>
      <w:r w:rsidR="00DC336A" w:rsidRPr="00480BE9">
        <w:rPr>
          <w:rFonts w:ascii="Times New Roman" w:hAnsi="Times New Roman" w:cs="Times New Roman"/>
        </w:rPr>
        <w:t xml:space="preserve"> models</w:t>
      </w:r>
      <w:r w:rsidR="00737CA6">
        <w:rPr>
          <w:rFonts w:ascii="Times New Roman" w:hAnsi="Times New Roman" w:cs="Times New Roman"/>
        </w:rPr>
        <w:t xml:space="preserve"> </w:t>
      </w:r>
      <w:r>
        <w:rPr>
          <w:rFonts w:ascii="Times New Roman" w:hAnsi="Times New Roman" w:cs="Times New Roman"/>
        </w:rPr>
        <w:t>(</w:t>
      </w:r>
      <w:r w:rsidR="00737CA6">
        <w:rPr>
          <w:rFonts w:ascii="Times New Roman" w:hAnsi="Times New Roman" w:cs="Times New Roman"/>
        </w:rPr>
        <w:t>Baccaro</w:t>
      </w:r>
      <w:r>
        <w:rPr>
          <w:rFonts w:ascii="Times New Roman" w:hAnsi="Times New Roman" w:cs="Times New Roman"/>
        </w:rPr>
        <w:t xml:space="preserve"> and Pontusson 2022</w:t>
      </w:r>
      <w:r w:rsidR="006867AC">
        <w:rPr>
          <w:rFonts w:ascii="Times New Roman" w:hAnsi="Times New Roman" w:cs="Times New Roman"/>
        </w:rPr>
        <w:t>;</w:t>
      </w:r>
      <w:r>
        <w:rPr>
          <w:rFonts w:ascii="Times New Roman" w:hAnsi="Times New Roman" w:cs="Times New Roman"/>
        </w:rPr>
        <w:t xml:space="preserve"> Baccaro, Blyth and Pontusson 2022)</w:t>
      </w:r>
      <w:r w:rsidR="006867AC">
        <w:rPr>
          <w:rFonts w:ascii="Times New Roman" w:hAnsi="Times New Roman" w:cs="Times New Roman"/>
        </w:rPr>
        <w:t xml:space="preserve"> and</w:t>
      </w:r>
      <w:r>
        <w:rPr>
          <w:rFonts w:ascii="Times New Roman" w:hAnsi="Times New Roman" w:cs="Times New Roman"/>
        </w:rPr>
        <w:t xml:space="preserve"> shaped </w:t>
      </w:r>
      <w:r w:rsidR="006867AC">
        <w:rPr>
          <w:rFonts w:ascii="Times New Roman" w:hAnsi="Times New Roman" w:cs="Times New Roman"/>
        </w:rPr>
        <w:t xml:space="preserve">by political elites’ ideas about how to generate </w:t>
      </w:r>
      <w:r w:rsidR="002117C0">
        <w:rPr>
          <w:rFonts w:ascii="Times New Roman" w:hAnsi="Times New Roman" w:cs="Times New Roman"/>
        </w:rPr>
        <w:t>growth</w:t>
      </w:r>
      <w:r w:rsidR="00737CA6">
        <w:rPr>
          <w:rFonts w:ascii="Times New Roman" w:hAnsi="Times New Roman" w:cs="Times New Roman"/>
        </w:rPr>
        <w:t>.</w:t>
      </w:r>
      <w:r w:rsidR="00DC336A" w:rsidRPr="00480BE9">
        <w:rPr>
          <w:rFonts w:ascii="Times New Roman" w:hAnsi="Times New Roman" w:cs="Times New Roman"/>
        </w:rPr>
        <w:t xml:space="preserve"> Building on comparative political economy scholarship on migration policies and capitalist diversity (Afonso and Devitt 2016; Caviedes 2009; Author, 2020; </w:t>
      </w:r>
      <w:r w:rsidR="00DC336A">
        <w:rPr>
          <w:rFonts w:ascii="Times New Roman" w:hAnsi="Times New Roman" w:cs="Times New Roman"/>
        </w:rPr>
        <w:t xml:space="preserve">Freeman 206; </w:t>
      </w:r>
      <w:r w:rsidR="00DC336A" w:rsidRPr="00480BE9">
        <w:rPr>
          <w:rFonts w:ascii="Times New Roman" w:hAnsi="Times New Roman" w:cs="Times New Roman"/>
        </w:rPr>
        <w:t>Menz 2008) our contribution is intended as a theory-building exercise to help explain cross-national differences in residence-by-investment policies.</w:t>
      </w:r>
    </w:p>
    <w:p w14:paraId="5E0D172F" w14:textId="77777777" w:rsidR="00DC336A" w:rsidRPr="00480BE9" w:rsidRDefault="00DC336A" w:rsidP="00DC336A">
      <w:pPr>
        <w:spacing w:line="480" w:lineRule="auto"/>
        <w:jc w:val="both"/>
        <w:rPr>
          <w:rFonts w:ascii="Times New Roman" w:hAnsi="Times New Roman" w:cs="Times New Roman"/>
        </w:rPr>
      </w:pPr>
    </w:p>
    <w:p w14:paraId="373F4B01"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b/>
          <w:bCs/>
        </w:rPr>
        <w:t>Investor visas and migration management</w:t>
      </w:r>
    </w:p>
    <w:p w14:paraId="54A85921" w14:textId="77777777" w:rsidR="00E07470" w:rsidRDefault="00E07470" w:rsidP="00DC336A">
      <w:pPr>
        <w:spacing w:line="480" w:lineRule="auto"/>
        <w:jc w:val="both"/>
        <w:rPr>
          <w:rFonts w:ascii="Times New Roman" w:hAnsi="Times New Roman" w:cs="Times New Roman"/>
        </w:rPr>
      </w:pPr>
    </w:p>
    <w:p w14:paraId="6AF8B56B" w14:textId="5AA10471"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Immigration policies in Europe have become highly selective and stratified</w:t>
      </w:r>
      <w:r>
        <w:rPr>
          <w:rFonts w:ascii="Times New Roman" w:hAnsi="Times New Roman" w:cs="Times New Roman"/>
        </w:rPr>
        <w:t xml:space="preserve"> (Lutz 2018)</w:t>
      </w:r>
      <w:r w:rsidRPr="00480BE9">
        <w:rPr>
          <w:rFonts w:ascii="Times New Roman" w:hAnsi="Times New Roman" w:cs="Times New Roman"/>
        </w:rPr>
        <w:t xml:space="preserve">. Relatively small numbers of economic migrants are enticed with generous admissions criteria and rights, while others are admitted on a temporary basis, or excluded altogether. As Christian Joppke neatly puts it, European and other rich countries are ‘courting the top, [while] fending-off the bottom’ (2021: 68). States seek to attract high-skilled migrants – the ‘brightest and best’ as they are often described – by relaxing entry requirements and offering fast-tracked routes to settlement; whereas migrants in low-wage sectors are typically </w:t>
      </w:r>
      <w:r w:rsidRPr="00480BE9">
        <w:rPr>
          <w:rFonts w:ascii="Times New Roman" w:hAnsi="Times New Roman" w:cs="Times New Roman"/>
        </w:rPr>
        <w:lastRenderedPageBreak/>
        <w:t xml:space="preserve">recruited through temporary labour programmes without a route to settlement (Boucher and Cerna 2014; Ruhs 2013). </w:t>
      </w:r>
    </w:p>
    <w:p w14:paraId="6254A92E" w14:textId="77777777" w:rsidR="00DC336A" w:rsidRPr="00480BE9" w:rsidRDefault="00DC336A" w:rsidP="00DC336A">
      <w:pPr>
        <w:spacing w:line="480" w:lineRule="auto"/>
        <w:jc w:val="both"/>
        <w:rPr>
          <w:rFonts w:ascii="Times New Roman" w:hAnsi="Times New Roman" w:cs="Times New Roman"/>
        </w:rPr>
      </w:pPr>
    </w:p>
    <w:p w14:paraId="64EB2559"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Alongside skill-based work migration policies, many states have developed investment-based policies to attract the global super-rich. The most generous of these schemes are arguably not migration policies at all, insofar as they do not require visa holders to reside in the country that issues them (and in practice many of their recipients do not migrate). These ‘golden passport’ schemes grant citizenship in return for a substantial financial investment. In Europe, Cyprus and Malta offer citizenship-by-investment programmes.</w:t>
      </w:r>
    </w:p>
    <w:p w14:paraId="2C04A6CB" w14:textId="77777777" w:rsidR="00DC336A" w:rsidRPr="00480BE9" w:rsidRDefault="00DC336A" w:rsidP="00DC336A">
      <w:pPr>
        <w:spacing w:line="480" w:lineRule="auto"/>
        <w:jc w:val="both"/>
        <w:rPr>
          <w:rFonts w:ascii="Times New Roman" w:hAnsi="Times New Roman" w:cs="Times New Roman"/>
        </w:rPr>
      </w:pPr>
    </w:p>
    <w:p w14:paraId="497F7CF5" w14:textId="2CA87540"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More widespread are investor visa programmes, which provide legal residence for an extended period (often with a route to naturalization) in return for a financial investment. Investor visas </w:t>
      </w:r>
      <w:r w:rsidRPr="00480BE9">
        <w:rPr>
          <w:rFonts w:ascii="Times New Roman" w:hAnsi="Times New Roman" w:cs="Times New Roman"/>
          <w:color w:val="000000"/>
        </w:rPr>
        <w:t xml:space="preserve">have proliferated since the 2008 financial crisis </w:t>
      </w:r>
      <w:r w:rsidRPr="00480BE9">
        <w:rPr>
          <w:rFonts w:ascii="Times New Roman" w:hAnsi="Times New Roman" w:cs="Times New Roman"/>
        </w:rPr>
        <w:t>(D</w:t>
      </w:r>
      <w:r w:rsidRPr="00480BE9">
        <w:rPr>
          <w:rFonts w:ascii="Times New Roman" w:hAnsi="Times New Roman" w:cs="Times New Roman"/>
          <w:color w:val="000000"/>
        </w:rPr>
        <w:t>žankić 2018: 479</w:t>
      </w:r>
      <w:r w:rsidRPr="00480BE9">
        <w:rPr>
          <w:rFonts w:ascii="Times New Roman" w:hAnsi="Times New Roman" w:cs="Times New Roman"/>
        </w:rPr>
        <w:t xml:space="preserve">). In Europe, </w:t>
      </w:r>
      <w:r w:rsidRPr="00480BE9">
        <w:rPr>
          <w:rFonts w:ascii="Times New Roman" w:hAnsi="Times New Roman" w:cs="Times New Roman"/>
          <w:color w:val="000000"/>
        </w:rPr>
        <w:t>about one-third of residence-by-investment programmes predate the Eurozone crisis, but fully two-thirds were launched since then</w:t>
      </w:r>
      <w:r w:rsidRPr="00480BE9">
        <w:rPr>
          <w:rFonts w:ascii="Times New Roman" w:hAnsi="Times New Roman" w:cs="Times New Roman"/>
        </w:rPr>
        <w:t xml:space="preserve"> (Surak 2020: 8). Since 2008, more than 165,000 persons have acquired investor visas in the United States, Canada, EU countries, and the UK (Harpaz 2022: 556)</w:t>
      </w:r>
      <w:r w:rsidRPr="00480BE9">
        <w:rPr>
          <w:rFonts w:ascii="Times New Roman" w:hAnsi="Times New Roman" w:cs="Times New Roman"/>
          <w:color w:val="000000"/>
        </w:rPr>
        <w:t>. O</w:t>
      </w:r>
      <w:r w:rsidRPr="00480BE9">
        <w:rPr>
          <w:rFonts w:ascii="Times New Roman" w:hAnsi="Times New Roman" w:cs="Times New Roman"/>
        </w:rPr>
        <w:t xml:space="preserve">ne study identified 60 different schemes operating across 57 countries by 2019 (Gamlen et al. 2019). </w:t>
      </w:r>
    </w:p>
    <w:p w14:paraId="3AE99A39" w14:textId="77777777" w:rsidR="00DC336A" w:rsidRPr="00480BE9" w:rsidRDefault="00DC336A" w:rsidP="00DC336A">
      <w:pPr>
        <w:spacing w:line="480" w:lineRule="auto"/>
        <w:jc w:val="both"/>
        <w:rPr>
          <w:rFonts w:ascii="Times New Roman" w:hAnsi="Times New Roman" w:cs="Times New Roman"/>
        </w:rPr>
      </w:pPr>
    </w:p>
    <w:p w14:paraId="2ECE40AB" w14:textId="7C0E7076"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Insofar as they retain a link between residence and rights, investor visas are less controversial than citizenship-by-investment schemes, but they nevertheless represent a commercialization of membership (Parker 2017) and raise similar legal concerns. For example, the European Commission has criticized investor visas on the grounds that they may enable money laundering and tax evasion (European Commission 2019a). </w:t>
      </w:r>
      <w:r w:rsidR="00C75844">
        <w:rPr>
          <w:rFonts w:ascii="Times New Roman" w:hAnsi="Times New Roman" w:cs="Times New Roman"/>
        </w:rPr>
        <w:t>Furthermore, i</w:t>
      </w:r>
      <w:r w:rsidRPr="00480BE9">
        <w:rPr>
          <w:rFonts w:ascii="Times New Roman" w:hAnsi="Times New Roman" w:cs="Times New Roman"/>
        </w:rPr>
        <w:t>n the E</w:t>
      </w:r>
      <w:r w:rsidR="00C75844">
        <w:rPr>
          <w:rFonts w:ascii="Times New Roman" w:hAnsi="Times New Roman" w:cs="Times New Roman"/>
        </w:rPr>
        <w:t>U</w:t>
      </w:r>
      <w:r w:rsidRPr="00480BE9">
        <w:rPr>
          <w:rFonts w:ascii="Times New Roman" w:hAnsi="Times New Roman" w:cs="Times New Roman"/>
        </w:rPr>
        <w:t xml:space="preserve"> when one member state sells residence to a third country national it has clear implications for other </w:t>
      </w:r>
      <w:r w:rsidRPr="00480BE9">
        <w:rPr>
          <w:rFonts w:ascii="Times New Roman" w:hAnsi="Times New Roman" w:cs="Times New Roman"/>
        </w:rPr>
        <w:lastRenderedPageBreak/>
        <w:t>states: as the European Commission observes, ‘a valid residence permit grants certain rights to third-country nationals to travel freely in particular in the Schengen Area’ (European Commission 2019a: 1). A 2014 Resolution of the European Parliament claim</w:t>
      </w:r>
      <w:r w:rsidR="00C75844">
        <w:rPr>
          <w:rFonts w:ascii="Times New Roman" w:hAnsi="Times New Roman" w:cs="Times New Roman"/>
        </w:rPr>
        <w:t>ed</w:t>
      </w:r>
      <w:r w:rsidRPr="00480BE9">
        <w:rPr>
          <w:rFonts w:ascii="Times New Roman" w:hAnsi="Times New Roman" w:cs="Times New Roman"/>
        </w:rPr>
        <w:t xml:space="preserve"> that states involved in the ‘direct </w:t>
      </w:r>
      <w:r w:rsidRPr="00480BE9">
        <w:rPr>
          <w:rFonts w:ascii="Times New Roman" w:hAnsi="Times New Roman" w:cs="Times New Roman"/>
          <w:i/>
          <w:iCs/>
        </w:rPr>
        <w:t>or indirect</w:t>
      </w:r>
      <w:r w:rsidRPr="00480BE9">
        <w:rPr>
          <w:rFonts w:ascii="Times New Roman" w:hAnsi="Times New Roman" w:cs="Times New Roman"/>
        </w:rPr>
        <w:t xml:space="preserve"> sale of European Citizenship’ are undermining ‘the mutual trust upon which the Union is built’ (European Parliament 2014) [emphasis added]. </w:t>
      </w:r>
    </w:p>
    <w:p w14:paraId="3993B04C"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 </w:t>
      </w:r>
    </w:p>
    <w:p w14:paraId="71DF14B8" w14:textId="7F177205"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The growing literature on investor visas has examined the different types of programmes (</w:t>
      </w:r>
      <w:r w:rsidRPr="00480BE9">
        <w:rPr>
          <w:rFonts w:ascii="Times New Roman" w:eastAsia="Times New Roman" w:hAnsi="Times New Roman" w:cs="Times New Roman"/>
          <w:color w:val="222222"/>
          <w:shd w:val="clear" w:color="auto" w:fill="FFFFFF"/>
          <w:lang w:val="en-GB"/>
        </w:rPr>
        <w:t>Džankić, 2015</w:t>
      </w:r>
      <w:r>
        <w:rPr>
          <w:rFonts w:ascii="Times New Roman" w:eastAsia="Times New Roman" w:hAnsi="Times New Roman" w:cs="Times New Roman"/>
          <w:color w:val="222222"/>
          <w:shd w:val="clear" w:color="auto" w:fill="FFFFFF"/>
          <w:lang w:val="en-GB"/>
        </w:rPr>
        <w:t xml:space="preserve">; </w:t>
      </w:r>
      <w:r w:rsidRPr="00480BE9">
        <w:rPr>
          <w:rFonts w:ascii="Times New Roman" w:hAnsi="Times New Roman" w:cs="Times New Roman"/>
        </w:rPr>
        <w:t>Sumption 2021); the size of the required investment (</w:t>
      </w:r>
      <w:r>
        <w:rPr>
          <w:rFonts w:ascii="Times New Roman" w:eastAsia="Times New Roman" w:hAnsi="Times New Roman" w:cs="Times New Roman"/>
          <w:color w:val="222222"/>
          <w:shd w:val="clear" w:color="auto" w:fill="FFFFFF"/>
          <w:lang w:val="en-GB"/>
        </w:rPr>
        <w:t>Džankić</w:t>
      </w:r>
      <w:r w:rsidRPr="00480BE9">
        <w:rPr>
          <w:rFonts w:ascii="Times New Roman" w:eastAsia="Times New Roman" w:hAnsi="Times New Roman" w:cs="Times New Roman"/>
          <w:color w:val="222222"/>
          <w:shd w:val="clear" w:color="auto" w:fill="FFFFFF"/>
          <w:lang w:val="en-GB"/>
        </w:rPr>
        <w:t xml:space="preserve"> 2018); states’ aims in developing investor visa schemes (Gamlen et al., 2019); and the origins and development of the schemes over time (</w:t>
      </w:r>
      <w:r w:rsidRPr="00480BE9">
        <w:rPr>
          <w:rFonts w:ascii="Times New Roman" w:hAnsi="Times New Roman" w:cs="Times New Roman"/>
        </w:rPr>
        <w:t>D</w:t>
      </w:r>
      <w:r>
        <w:rPr>
          <w:rFonts w:ascii="Times New Roman" w:hAnsi="Times New Roman" w:cs="Times New Roman"/>
          <w:color w:val="000000"/>
        </w:rPr>
        <w:t>žankić</w:t>
      </w:r>
      <w:r w:rsidRPr="00480BE9">
        <w:rPr>
          <w:rFonts w:ascii="Times New Roman" w:hAnsi="Times New Roman" w:cs="Times New Roman"/>
          <w:color w:val="000000"/>
        </w:rPr>
        <w:t xml:space="preserve"> 2018</w:t>
      </w:r>
      <w:r>
        <w:rPr>
          <w:rFonts w:ascii="Times New Roman" w:hAnsi="Times New Roman" w:cs="Times New Roman"/>
          <w:color w:val="000000"/>
        </w:rPr>
        <w:t xml:space="preserve">; </w:t>
      </w:r>
      <w:r w:rsidRPr="00480BE9">
        <w:rPr>
          <w:rFonts w:ascii="Times New Roman" w:eastAsia="Times New Roman" w:hAnsi="Times New Roman" w:cs="Times New Roman"/>
          <w:color w:val="222222"/>
          <w:shd w:val="clear" w:color="auto" w:fill="FFFFFF"/>
          <w:lang w:val="en-GB"/>
        </w:rPr>
        <w:t>Su</w:t>
      </w:r>
      <w:r w:rsidR="00933154">
        <w:rPr>
          <w:rFonts w:ascii="Times New Roman" w:eastAsia="Times New Roman" w:hAnsi="Times New Roman" w:cs="Times New Roman"/>
          <w:color w:val="222222"/>
          <w:shd w:val="clear" w:color="auto" w:fill="FFFFFF"/>
          <w:lang w:val="en-GB"/>
        </w:rPr>
        <w:t>r</w:t>
      </w:r>
      <w:r w:rsidRPr="00480BE9">
        <w:rPr>
          <w:rFonts w:ascii="Times New Roman" w:eastAsia="Times New Roman" w:hAnsi="Times New Roman" w:cs="Times New Roman"/>
          <w:color w:val="222222"/>
          <w:shd w:val="clear" w:color="auto" w:fill="FFFFFF"/>
          <w:lang w:val="en-GB"/>
        </w:rPr>
        <w:t xml:space="preserve">ak and </w:t>
      </w:r>
      <w:r w:rsidRPr="00480BE9">
        <w:rPr>
          <w:rFonts w:ascii="Times New Roman" w:hAnsi="Times New Roman" w:cs="Times New Roman"/>
        </w:rPr>
        <w:t>Tsuzuki 2021</w:t>
      </w:r>
      <w:r w:rsidR="00933154">
        <w:rPr>
          <w:rFonts w:ascii="Times New Roman" w:hAnsi="Times New Roman" w:cs="Times New Roman"/>
        </w:rPr>
        <w:t>; Surak 2020</w:t>
      </w:r>
      <w:r w:rsidRPr="00480BE9">
        <w:rPr>
          <w:rFonts w:ascii="Times New Roman" w:hAnsi="Times New Roman" w:cs="Times New Roman"/>
        </w:rPr>
        <w:t xml:space="preserve">). This research shows that </w:t>
      </w:r>
      <w:r w:rsidRPr="00480BE9">
        <w:rPr>
          <w:rFonts w:ascii="Times New Roman" w:hAnsi="Times New Roman" w:cs="Times New Roman"/>
          <w:color w:val="000000"/>
        </w:rPr>
        <w:t>investor visa schemes have diverse aims – some are focused on raising revenue (whether for government or the private sector); others expect investors to contribute to the economy in some form, for example setting up a business; some have more extensive residence requirements for visa-holders than others. T</w:t>
      </w:r>
      <w:r w:rsidRPr="00480BE9">
        <w:rPr>
          <w:rFonts w:ascii="Times New Roman" w:hAnsi="Times New Roman" w:cs="Times New Roman"/>
        </w:rPr>
        <w:t>here is also considerable variation in terms of the size and type of the investment, which can range from under €100,000 to over €5 million. The type of investment may involve purchase of Government bonds, a direct transfer to the state budget, capital investment, investment in immovable property, or a donation to an activity defined as contributing to the public good. D</w:t>
      </w:r>
      <w:r w:rsidRPr="00480BE9">
        <w:rPr>
          <w:rFonts w:ascii="Times New Roman" w:hAnsi="Times New Roman" w:cs="Times New Roman"/>
          <w:color w:val="000000"/>
        </w:rPr>
        <w:t xml:space="preserve">žankić (2018) argues that </w:t>
      </w:r>
      <w:r w:rsidRPr="00480BE9">
        <w:rPr>
          <w:rFonts w:ascii="Times New Roman" w:hAnsi="Times New Roman" w:cs="Times New Roman"/>
        </w:rPr>
        <w:t>the choice of investment reflects the size of a country’s economy: small island states tend to opt for a direct transfer to government coffers; larger economies tend to favor private sector investments or purchase of government bonds.</w:t>
      </w:r>
      <w:r w:rsidR="00933154">
        <w:rPr>
          <w:rFonts w:ascii="Times New Roman" w:hAnsi="Times New Roman" w:cs="Times New Roman"/>
        </w:rPr>
        <w:t xml:space="preserve"> In the largest comparative evaluation of investor schemes, Surak and Tsuzuki (2021) </w:t>
      </w:r>
      <w:r w:rsidR="00E07470">
        <w:rPr>
          <w:rFonts w:ascii="Times New Roman" w:hAnsi="Times New Roman" w:cs="Times New Roman"/>
        </w:rPr>
        <w:t>show</w:t>
      </w:r>
      <w:r w:rsidR="00933154">
        <w:rPr>
          <w:rFonts w:ascii="Times New Roman" w:hAnsi="Times New Roman" w:cs="Times New Roman"/>
        </w:rPr>
        <w:t xml:space="preserve"> that </w:t>
      </w:r>
      <w:r w:rsidR="007E5ED2">
        <w:rPr>
          <w:rFonts w:ascii="Times New Roman" w:hAnsi="Times New Roman" w:cs="Times New Roman"/>
        </w:rPr>
        <w:t xml:space="preserve">governments are more likely to begin resident </w:t>
      </w:r>
      <w:r w:rsidR="00933154">
        <w:rPr>
          <w:rFonts w:ascii="Times New Roman" w:hAnsi="Times New Roman" w:cs="Times New Roman"/>
        </w:rPr>
        <w:t xml:space="preserve">investor programmes </w:t>
      </w:r>
      <w:r w:rsidR="007E5ED2">
        <w:rPr>
          <w:rFonts w:ascii="Times New Roman" w:hAnsi="Times New Roman" w:cs="Times New Roman"/>
        </w:rPr>
        <w:t xml:space="preserve">after a </w:t>
      </w:r>
      <w:r w:rsidR="00933154">
        <w:rPr>
          <w:rFonts w:ascii="Times New Roman" w:hAnsi="Times New Roman" w:cs="Times New Roman"/>
        </w:rPr>
        <w:t>decline</w:t>
      </w:r>
      <w:r w:rsidR="007E5ED2">
        <w:rPr>
          <w:rFonts w:ascii="Times New Roman" w:hAnsi="Times New Roman" w:cs="Times New Roman"/>
        </w:rPr>
        <w:t xml:space="preserve"> in economic growth</w:t>
      </w:r>
      <w:r w:rsidR="00933154">
        <w:rPr>
          <w:rFonts w:ascii="Times New Roman" w:hAnsi="Times New Roman" w:cs="Times New Roman"/>
        </w:rPr>
        <w:t xml:space="preserve"> and </w:t>
      </w:r>
      <w:r w:rsidR="007E5ED2">
        <w:rPr>
          <w:rFonts w:ascii="Times New Roman" w:hAnsi="Times New Roman" w:cs="Times New Roman"/>
        </w:rPr>
        <w:t xml:space="preserve">that the programmes </w:t>
      </w:r>
      <w:r w:rsidR="00933154">
        <w:rPr>
          <w:rFonts w:ascii="Times New Roman" w:hAnsi="Times New Roman" w:cs="Times New Roman"/>
        </w:rPr>
        <w:t xml:space="preserve">are </w:t>
      </w:r>
      <w:r w:rsidR="007E5ED2">
        <w:rPr>
          <w:rFonts w:ascii="Times New Roman" w:hAnsi="Times New Roman" w:cs="Times New Roman"/>
        </w:rPr>
        <w:t xml:space="preserve">often </w:t>
      </w:r>
      <w:r w:rsidR="00933154">
        <w:rPr>
          <w:rFonts w:ascii="Times New Roman" w:hAnsi="Times New Roman" w:cs="Times New Roman"/>
        </w:rPr>
        <w:t xml:space="preserve">targeted to address failing areas of the economy. </w:t>
      </w:r>
    </w:p>
    <w:p w14:paraId="162AD121" w14:textId="77777777" w:rsidR="00DC336A" w:rsidRPr="00480BE9" w:rsidRDefault="00DC336A" w:rsidP="00DC336A">
      <w:pPr>
        <w:spacing w:line="480" w:lineRule="auto"/>
        <w:jc w:val="both"/>
        <w:rPr>
          <w:rFonts w:ascii="Times New Roman" w:hAnsi="Times New Roman" w:cs="Times New Roman"/>
        </w:rPr>
      </w:pPr>
    </w:p>
    <w:p w14:paraId="03A5A341"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lastRenderedPageBreak/>
        <w:t xml:space="preserve">Several typologies have been proposed to make sense of investor visas. Sumption (2021) categorizes them into four groups based on the type of investment involved: non-refundable cash payments to the government or non-governmental ‘worthy causes’; investment in private businesses; residential property investment; and ‘display of wealth’ </w:t>
      </w:r>
      <w:r w:rsidRPr="00480BE9">
        <w:rPr>
          <w:rFonts w:ascii="Times New Roman" w:eastAsia="MS Gothic" w:hAnsi="Times New Roman" w:cs="Times New Roman"/>
          <w:color w:val="000000"/>
        </w:rPr>
        <w:t xml:space="preserve">programmes (in which applicants must show that they have funds, but do not have to make a productive investment). </w:t>
      </w:r>
      <w:r w:rsidRPr="00480BE9">
        <w:rPr>
          <w:rFonts w:ascii="Times New Roman" w:hAnsi="Times New Roman" w:cs="Times New Roman"/>
        </w:rPr>
        <w:t>D</w:t>
      </w:r>
      <w:r w:rsidRPr="00480BE9">
        <w:rPr>
          <w:rFonts w:ascii="Times New Roman" w:hAnsi="Times New Roman" w:cs="Times New Roman"/>
          <w:color w:val="000000"/>
        </w:rPr>
        <w:t>žankić (2018) analyses immigrant investor programmes on two dimensions: the investment obligation (the amount of investment) and status obligation (obligations to maintain residence rights). She concludes that the objective of programmes which require high investment thresholds and little to no physical presence is a short-term inflow of funds, whereas programmes that exchange ordinary residence rights for investment tend to ‘target migrants who will offer continuous input in the respective country’s economic and politics’ (</w:t>
      </w:r>
      <w:r w:rsidRPr="00480BE9">
        <w:rPr>
          <w:rFonts w:ascii="Times New Roman" w:hAnsi="Times New Roman" w:cs="Times New Roman"/>
        </w:rPr>
        <w:t>D</w:t>
      </w:r>
      <w:r w:rsidRPr="00480BE9">
        <w:rPr>
          <w:rFonts w:ascii="Times New Roman" w:hAnsi="Times New Roman" w:cs="Times New Roman"/>
          <w:color w:val="000000"/>
        </w:rPr>
        <w:t>žankić 2018: 77). As we discuss below, there is considerable variation over what kind of ‘input’ is sought by governments.</w:t>
      </w:r>
    </w:p>
    <w:p w14:paraId="047493F0" w14:textId="77777777" w:rsidR="00DC336A" w:rsidRPr="00480BE9" w:rsidRDefault="00DC336A" w:rsidP="00DC336A">
      <w:pPr>
        <w:spacing w:line="480" w:lineRule="auto"/>
        <w:jc w:val="both"/>
        <w:rPr>
          <w:rFonts w:ascii="Times New Roman" w:hAnsi="Times New Roman" w:cs="Times New Roman"/>
        </w:rPr>
      </w:pPr>
    </w:p>
    <w:p w14:paraId="075C0ED2" w14:textId="72F4B109" w:rsidR="00DC336A"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The </w:t>
      </w:r>
      <w:r w:rsidR="00C75844">
        <w:rPr>
          <w:rFonts w:ascii="Times New Roman" w:hAnsi="Times New Roman" w:cs="Times New Roman"/>
        </w:rPr>
        <w:t xml:space="preserve">existing </w:t>
      </w:r>
      <w:r w:rsidRPr="00480BE9">
        <w:rPr>
          <w:rFonts w:ascii="Times New Roman" w:hAnsi="Times New Roman" w:cs="Times New Roman"/>
        </w:rPr>
        <w:t>literature provides important insights into governments’ aims in encouraging investment migration. With few exceptions, however, investor visas have tended to be analysed in isolation, rather than as part of wider migration policy regimes</w:t>
      </w:r>
      <w:r w:rsidR="00117E53">
        <w:rPr>
          <w:rFonts w:ascii="Times New Roman" w:hAnsi="Times New Roman" w:cs="Times New Roman"/>
        </w:rPr>
        <w:t xml:space="preserve">. Furthermore, there has been no systematic </w:t>
      </w:r>
      <w:r w:rsidR="00933154">
        <w:rPr>
          <w:rFonts w:ascii="Times New Roman" w:hAnsi="Times New Roman" w:cs="Times New Roman"/>
        </w:rPr>
        <w:t xml:space="preserve">application of a comparative political economy </w:t>
      </w:r>
      <w:r w:rsidR="00117E53">
        <w:rPr>
          <w:rFonts w:ascii="Times New Roman" w:hAnsi="Times New Roman" w:cs="Times New Roman"/>
        </w:rPr>
        <w:t>framework</w:t>
      </w:r>
      <w:r w:rsidR="00933154">
        <w:rPr>
          <w:rFonts w:ascii="Times New Roman" w:hAnsi="Times New Roman" w:cs="Times New Roman"/>
        </w:rPr>
        <w:t xml:space="preserve"> to the</w:t>
      </w:r>
      <w:r w:rsidR="00117E53">
        <w:rPr>
          <w:rFonts w:ascii="Times New Roman" w:hAnsi="Times New Roman" w:cs="Times New Roman"/>
        </w:rPr>
        <w:t xml:space="preserve"> </w:t>
      </w:r>
      <w:r w:rsidR="00933154">
        <w:rPr>
          <w:rFonts w:ascii="Times New Roman" w:hAnsi="Times New Roman" w:cs="Times New Roman"/>
        </w:rPr>
        <w:t>analysis of investor programmes</w:t>
      </w:r>
      <w:r w:rsidRPr="00480BE9">
        <w:rPr>
          <w:rFonts w:ascii="Times New Roman" w:hAnsi="Times New Roman" w:cs="Times New Roman"/>
        </w:rPr>
        <w:t>. As a result, we do not have much understanding of how investment-based migration policies relate to other types of migration, notably the degree to which investors are prioritized over workers, and how investment migration is influenced by (or insulated from) the political economic factors that shape migration policies.</w:t>
      </w:r>
    </w:p>
    <w:p w14:paraId="011DDDF5" w14:textId="77777777" w:rsidR="00E07470" w:rsidRDefault="00E07470" w:rsidP="00DC336A">
      <w:pPr>
        <w:spacing w:line="480" w:lineRule="auto"/>
        <w:jc w:val="both"/>
        <w:rPr>
          <w:rFonts w:ascii="Times New Roman" w:hAnsi="Times New Roman" w:cs="Times New Roman"/>
        </w:rPr>
      </w:pPr>
    </w:p>
    <w:p w14:paraId="396FD535" w14:textId="77777777" w:rsidR="002C046E" w:rsidRDefault="002C046E" w:rsidP="002C046E">
      <w:pPr>
        <w:spacing w:line="480" w:lineRule="auto"/>
        <w:jc w:val="both"/>
        <w:rPr>
          <w:rFonts w:ascii="Times New Roman" w:hAnsi="Times New Roman" w:cs="Times New Roman"/>
        </w:rPr>
      </w:pPr>
      <w:r w:rsidRPr="002C046E">
        <w:rPr>
          <w:rFonts w:ascii="Times New Roman" w:hAnsi="Times New Roman" w:cs="Times New Roman"/>
        </w:rPr>
        <w:t xml:space="preserve">Political economy research on immigration policy argues that organised interest groups, especially employers and employer associations, play an important role in immigration </w:t>
      </w:r>
      <w:r w:rsidRPr="002C046E">
        <w:rPr>
          <w:rFonts w:ascii="Times New Roman" w:hAnsi="Times New Roman" w:cs="Times New Roman"/>
        </w:rPr>
        <w:lastRenderedPageBreak/>
        <w:t>policymaking. In an early (and widely critiqued) formulation Freeman (1995) argued that the influence of pro-immigration ‘clients’ created an ‘expansionary bias’ in the immigration policies of liberal democracies; more recent work has examined how the institutional arrangements of different varieties of capitalism affect the policy preferences of governments, employers, and unions, and their influence on immigration policy outputs (Afonso and Devitt 2016, Boräng and Cerna 2019, Caviedes 2010, Consterdine and Hampshire 2020, Devitt 2011, Menz 2008).</w:t>
      </w:r>
    </w:p>
    <w:p w14:paraId="0F93725C" w14:textId="77777777" w:rsidR="002C046E" w:rsidRPr="002C046E" w:rsidRDefault="002C046E" w:rsidP="002C046E">
      <w:pPr>
        <w:spacing w:line="480" w:lineRule="auto"/>
        <w:jc w:val="both"/>
        <w:rPr>
          <w:rFonts w:ascii="Times New Roman" w:hAnsi="Times New Roman" w:cs="Times New Roman"/>
        </w:rPr>
      </w:pPr>
    </w:p>
    <w:p w14:paraId="12533623" w14:textId="3651528E" w:rsidR="002C046E" w:rsidRDefault="002C046E" w:rsidP="002C046E">
      <w:pPr>
        <w:spacing w:line="480" w:lineRule="auto"/>
        <w:jc w:val="both"/>
        <w:rPr>
          <w:rFonts w:ascii="Times New Roman" w:hAnsi="Times New Roman" w:cs="Times New Roman"/>
        </w:rPr>
      </w:pPr>
      <w:r w:rsidRPr="002C046E">
        <w:rPr>
          <w:rFonts w:ascii="Times New Roman" w:hAnsi="Times New Roman" w:cs="Times New Roman"/>
        </w:rPr>
        <w:t xml:space="preserve">We argue that investor regimes are, like work migration, shaped by national economic models. However, compared to work migration, we contend that investor migration policy is less influenced by the demands of employers and employer organisations (who mainly mobilise on labour migration) and less affected by anti-immigrant mobilisation, which tends to focus on larger and more visible migration flows, including authorised labour migrants and especially asylum-seekers and irregular migrants. The smaller scale of investor migration and its negligible impact on labour markets means that the dynamic familiar in labour migration policymaking, where the ‘quiet politics’ (Culpepper 2010) of business power interacts with the loud politics of popular mobilisation, is largely absent. Economic interests </w:t>
      </w:r>
      <w:r>
        <w:rPr>
          <w:rFonts w:ascii="Times New Roman" w:hAnsi="Times New Roman" w:cs="Times New Roman"/>
        </w:rPr>
        <w:t>that</w:t>
      </w:r>
      <w:r w:rsidRPr="002C046E">
        <w:rPr>
          <w:rFonts w:ascii="Times New Roman" w:hAnsi="Times New Roman" w:cs="Times New Roman"/>
        </w:rPr>
        <w:t xml:space="preserve"> directly benefit from investor visa schemes, such as wealth management firms and global visa agencies, are not insignificant, but they have less structural power than large companies whose operations are integral to economic growth.</w:t>
      </w:r>
    </w:p>
    <w:p w14:paraId="692E4022" w14:textId="77777777" w:rsidR="002C046E" w:rsidRPr="002C046E" w:rsidRDefault="002C046E" w:rsidP="002C046E">
      <w:pPr>
        <w:spacing w:line="480" w:lineRule="auto"/>
        <w:jc w:val="both"/>
        <w:rPr>
          <w:rFonts w:ascii="Times New Roman" w:hAnsi="Times New Roman" w:cs="Times New Roman"/>
        </w:rPr>
      </w:pPr>
    </w:p>
    <w:p w14:paraId="1D509510" w14:textId="11974269" w:rsidR="002C046E" w:rsidRDefault="002C046E" w:rsidP="002C046E">
      <w:pPr>
        <w:spacing w:line="480" w:lineRule="auto"/>
        <w:jc w:val="both"/>
        <w:rPr>
          <w:rFonts w:ascii="Times New Roman" w:hAnsi="Times New Roman" w:cs="Times New Roman"/>
        </w:rPr>
      </w:pPr>
      <w:r w:rsidRPr="002C046E">
        <w:rPr>
          <w:rFonts w:ascii="Times New Roman" w:hAnsi="Times New Roman" w:cs="Times New Roman"/>
        </w:rPr>
        <w:t xml:space="preserve">Rather than interest group lobbying, the influence of national economic models on investor visas flows through policymaking elites’ ideas about the kinds of investment that will stimulate growth, conditioned by the prevailing ‘growth model’ (Baccaro, Blyth and Pontusson 2022) and sectoral composition of the national economy. While the widespread </w:t>
      </w:r>
      <w:r w:rsidRPr="002C046E">
        <w:rPr>
          <w:rFonts w:ascii="Times New Roman" w:hAnsi="Times New Roman" w:cs="Times New Roman"/>
        </w:rPr>
        <w:lastRenderedPageBreak/>
        <w:t xml:space="preserve">adoption of investor visas in the aftermath of the 2008 financial crisis was driven by a common attempt to stimulate growth, the objectives and </w:t>
      </w:r>
      <w:r w:rsidR="005F7B93">
        <w:rPr>
          <w:rFonts w:ascii="Times New Roman" w:hAnsi="Times New Roman" w:cs="Times New Roman"/>
        </w:rPr>
        <w:t xml:space="preserve">design </w:t>
      </w:r>
      <w:r w:rsidR="007D4BC6">
        <w:rPr>
          <w:rFonts w:ascii="Times New Roman" w:hAnsi="Times New Roman" w:cs="Times New Roman"/>
        </w:rPr>
        <w:t xml:space="preserve">of investor policies </w:t>
      </w:r>
      <w:r w:rsidRPr="002C046E">
        <w:rPr>
          <w:rFonts w:ascii="Times New Roman" w:hAnsi="Times New Roman" w:cs="Times New Roman"/>
        </w:rPr>
        <w:t xml:space="preserve">reflect elites’ ideas about the kinds of investment conducive to </w:t>
      </w:r>
      <w:r>
        <w:rPr>
          <w:rFonts w:ascii="Times New Roman" w:hAnsi="Times New Roman" w:cs="Times New Roman"/>
        </w:rPr>
        <w:t xml:space="preserve">their </w:t>
      </w:r>
      <w:r w:rsidRPr="002C046E">
        <w:rPr>
          <w:rFonts w:ascii="Times New Roman" w:hAnsi="Times New Roman" w:cs="Times New Roman"/>
        </w:rPr>
        <w:t>nation</w:t>
      </w:r>
      <w:r>
        <w:rPr>
          <w:rFonts w:ascii="Times New Roman" w:hAnsi="Times New Roman" w:cs="Times New Roman"/>
        </w:rPr>
        <w:t>’s</w:t>
      </w:r>
      <w:r w:rsidRPr="002C046E">
        <w:rPr>
          <w:rFonts w:ascii="Times New Roman" w:hAnsi="Times New Roman" w:cs="Times New Roman"/>
        </w:rPr>
        <w:t xml:space="preserve"> growth model</w:t>
      </w:r>
      <w:r>
        <w:rPr>
          <w:rFonts w:ascii="Times New Roman" w:hAnsi="Times New Roman" w:cs="Times New Roman"/>
        </w:rPr>
        <w:t xml:space="preserve"> and its dominant sectors</w:t>
      </w:r>
      <w:r w:rsidRPr="002C046E">
        <w:rPr>
          <w:rFonts w:ascii="Times New Roman" w:hAnsi="Times New Roman" w:cs="Times New Roman"/>
        </w:rPr>
        <w:t>. As we discuss in the case studies, the UK investor visa was designed to enable flows of capital into London’s financial services and property market; the French visa was integral to President</w:t>
      </w:r>
      <w:r w:rsidR="00C75844">
        <w:rPr>
          <w:rFonts w:ascii="Times New Roman" w:hAnsi="Times New Roman" w:cs="Times New Roman"/>
        </w:rPr>
        <w:t>s</w:t>
      </w:r>
      <w:r w:rsidRPr="002C046E">
        <w:rPr>
          <w:rFonts w:ascii="Times New Roman" w:hAnsi="Times New Roman" w:cs="Times New Roman"/>
        </w:rPr>
        <w:t xml:space="preserve"> Sarkozy and Macron’s projects of economic liberalisation; while the Spanish visa was</w:t>
      </w:r>
      <w:r w:rsidR="0087378C">
        <w:rPr>
          <w:rFonts w:ascii="Times New Roman" w:hAnsi="Times New Roman" w:cs="Times New Roman"/>
        </w:rPr>
        <w:t xml:space="preserve"> underpinned by a bipartisan conviction </w:t>
      </w:r>
      <w:r w:rsidRPr="002C046E">
        <w:rPr>
          <w:rFonts w:ascii="Times New Roman" w:hAnsi="Times New Roman" w:cs="Times New Roman"/>
        </w:rPr>
        <w:t>to rescue a collapsed property market and construction sector</w:t>
      </w:r>
      <w:r w:rsidR="0087378C">
        <w:rPr>
          <w:rFonts w:ascii="Times New Roman" w:hAnsi="Times New Roman" w:cs="Times New Roman"/>
        </w:rPr>
        <w:t xml:space="preserve">. </w:t>
      </w:r>
    </w:p>
    <w:p w14:paraId="03C0B4A2" w14:textId="77777777" w:rsidR="002C046E" w:rsidRPr="002C046E" w:rsidRDefault="002C046E" w:rsidP="002C046E">
      <w:pPr>
        <w:spacing w:line="480" w:lineRule="auto"/>
        <w:jc w:val="both"/>
        <w:rPr>
          <w:rFonts w:ascii="Times New Roman" w:hAnsi="Times New Roman" w:cs="Times New Roman"/>
        </w:rPr>
      </w:pPr>
    </w:p>
    <w:p w14:paraId="37735111" w14:textId="224C9F5C" w:rsidR="002C046E" w:rsidRPr="002C046E" w:rsidRDefault="002C046E" w:rsidP="002C046E">
      <w:pPr>
        <w:spacing w:line="480" w:lineRule="auto"/>
        <w:jc w:val="both"/>
        <w:rPr>
          <w:rFonts w:ascii="Times New Roman" w:hAnsi="Times New Roman" w:cs="Times New Roman"/>
        </w:rPr>
      </w:pPr>
      <w:r w:rsidRPr="002C046E">
        <w:rPr>
          <w:rFonts w:ascii="Times New Roman" w:hAnsi="Times New Roman" w:cs="Times New Roman"/>
        </w:rPr>
        <w:t>The relative degree of autonomy enjoyed by governments over investor visas helps to explain their rapid adoption as well as the abrupt closure of the UK scheme. As we discuss in the conclusion, allegations of corruption, shifting geopolitics</w:t>
      </w:r>
      <w:r w:rsidR="00C75844">
        <w:rPr>
          <w:rFonts w:ascii="Times New Roman" w:hAnsi="Times New Roman" w:cs="Times New Roman"/>
        </w:rPr>
        <w:t xml:space="preserve"> (</w:t>
      </w:r>
      <w:r w:rsidRPr="002C046E">
        <w:rPr>
          <w:rFonts w:ascii="Times New Roman" w:hAnsi="Times New Roman" w:cs="Times New Roman"/>
        </w:rPr>
        <w:t>especially European relations with Russia and China</w:t>
      </w:r>
      <w:r w:rsidR="00C75844">
        <w:rPr>
          <w:rFonts w:ascii="Times New Roman" w:hAnsi="Times New Roman" w:cs="Times New Roman"/>
        </w:rPr>
        <w:t>)</w:t>
      </w:r>
      <w:r w:rsidRPr="002C046E">
        <w:rPr>
          <w:rFonts w:ascii="Times New Roman" w:hAnsi="Times New Roman" w:cs="Times New Roman"/>
        </w:rPr>
        <w:t>, and wider de-globalisation have undermined an elite consensus that selling visas to the rich is an unalloyed good.</w:t>
      </w:r>
    </w:p>
    <w:p w14:paraId="71B13D57" w14:textId="77777777" w:rsidR="00DC336A" w:rsidRDefault="00DC336A" w:rsidP="00DC336A">
      <w:pPr>
        <w:spacing w:line="480" w:lineRule="auto"/>
        <w:jc w:val="both"/>
        <w:rPr>
          <w:rFonts w:ascii="Times New Roman" w:hAnsi="Times New Roman" w:cs="Times New Roman"/>
        </w:rPr>
      </w:pPr>
    </w:p>
    <w:p w14:paraId="3174EB31" w14:textId="02E09FA7" w:rsidR="002C046E" w:rsidRPr="0087378C" w:rsidRDefault="002C046E" w:rsidP="00DC336A">
      <w:pPr>
        <w:spacing w:line="480" w:lineRule="auto"/>
        <w:jc w:val="both"/>
        <w:rPr>
          <w:rFonts w:ascii="Times New Roman" w:hAnsi="Times New Roman" w:cs="Times New Roman"/>
          <w:b/>
          <w:bCs/>
        </w:rPr>
      </w:pPr>
      <w:r w:rsidRPr="0087378C">
        <w:rPr>
          <w:rFonts w:ascii="Times New Roman" w:hAnsi="Times New Roman" w:cs="Times New Roman"/>
          <w:b/>
          <w:bCs/>
        </w:rPr>
        <w:t>Methodology</w:t>
      </w:r>
    </w:p>
    <w:p w14:paraId="61B7E0CE" w14:textId="77777777" w:rsidR="002C046E" w:rsidRPr="00480BE9" w:rsidRDefault="002C046E" w:rsidP="00DC336A">
      <w:pPr>
        <w:spacing w:line="480" w:lineRule="auto"/>
        <w:jc w:val="both"/>
        <w:rPr>
          <w:rFonts w:ascii="Times New Roman" w:hAnsi="Times New Roman" w:cs="Times New Roman"/>
        </w:rPr>
      </w:pPr>
    </w:p>
    <w:p w14:paraId="378B3582" w14:textId="15B14156" w:rsidR="00DC336A" w:rsidRPr="00480BE9" w:rsidRDefault="00C75844" w:rsidP="00DC336A">
      <w:pPr>
        <w:spacing w:line="480" w:lineRule="auto"/>
        <w:jc w:val="both"/>
        <w:rPr>
          <w:rFonts w:ascii="Times New Roman" w:hAnsi="Times New Roman" w:cs="Times New Roman"/>
        </w:rPr>
      </w:pPr>
      <w:r>
        <w:rPr>
          <w:rFonts w:ascii="Times New Roman" w:hAnsi="Times New Roman" w:cs="Times New Roman"/>
        </w:rPr>
        <w:t>W</w:t>
      </w:r>
      <w:r w:rsidR="00DC336A" w:rsidRPr="00480BE9">
        <w:rPr>
          <w:rFonts w:ascii="Times New Roman" w:hAnsi="Times New Roman" w:cs="Times New Roman"/>
        </w:rPr>
        <w:t xml:space="preserve">e analyze investor visa policies </w:t>
      </w:r>
      <w:r w:rsidR="00D46329">
        <w:rPr>
          <w:rFonts w:ascii="Times New Roman" w:hAnsi="Times New Roman" w:cs="Times New Roman"/>
        </w:rPr>
        <w:t>alongside</w:t>
      </w:r>
      <w:r w:rsidR="00DC336A" w:rsidRPr="00480BE9">
        <w:rPr>
          <w:rFonts w:ascii="Times New Roman" w:hAnsi="Times New Roman" w:cs="Times New Roman"/>
        </w:rPr>
        <w:t xml:space="preserve"> policies that regulate the entry of migrant workers. </w:t>
      </w:r>
      <w:r w:rsidR="00303485">
        <w:rPr>
          <w:rFonts w:ascii="Times New Roman" w:hAnsi="Times New Roman" w:cs="Times New Roman"/>
        </w:rPr>
        <w:t xml:space="preserve">This comparison enables a more nuanced understanding of the kinds of migration that states actively seek to encourage. We therefore go beyond a binary distinction between ‘wanted’ and ‘unwanted’ migration – </w:t>
      </w:r>
      <w:r w:rsidR="00C170A4">
        <w:rPr>
          <w:rFonts w:ascii="Times New Roman" w:hAnsi="Times New Roman" w:cs="Times New Roman"/>
        </w:rPr>
        <w:t xml:space="preserve">i.e., </w:t>
      </w:r>
      <w:r w:rsidR="00303485">
        <w:rPr>
          <w:rFonts w:ascii="Times New Roman" w:hAnsi="Times New Roman" w:cs="Times New Roman"/>
        </w:rPr>
        <w:t>between migrants that states actively solicit and those that they at best tolerate and often try to prevent</w:t>
      </w:r>
      <w:r w:rsidR="00241631">
        <w:rPr>
          <w:rFonts w:ascii="Times New Roman" w:hAnsi="Times New Roman" w:cs="Times New Roman"/>
        </w:rPr>
        <w:t xml:space="preserve">, </w:t>
      </w:r>
      <w:r w:rsidR="00303485">
        <w:rPr>
          <w:rFonts w:ascii="Times New Roman" w:hAnsi="Times New Roman" w:cs="Times New Roman"/>
        </w:rPr>
        <w:t xml:space="preserve">such as family migrants and asylum seekers (see Joppke 2021). </w:t>
      </w:r>
      <w:r w:rsidR="00DC336A" w:rsidRPr="008E46B1">
        <w:rPr>
          <w:rFonts w:ascii="Times New Roman" w:hAnsi="Times New Roman" w:cs="Times New Roman"/>
        </w:rPr>
        <w:t xml:space="preserve">In stratified migration management systems, even among the </w:t>
      </w:r>
      <w:r w:rsidR="00241631">
        <w:rPr>
          <w:rFonts w:ascii="Times New Roman" w:hAnsi="Times New Roman" w:cs="Times New Roman"/>
        </w:rPr>
        <w:t xml:space="preserve">relatively </w:t>
      </w:r>
      <w:r w:rsidR="00DC336A" w:rsidRPr="008E46B1">
        <w:rPr>
          <w:rFonts w:ascii="Times New Roman" w:hAnsi="Times New Roman" w:cs="Times New Roman"/>
        </w:rPr>
        <w:t xml:space="preserve">few ‘wanted’ migrants there are degrees of openness and, as we show below, the relative openness towards different migrants varies considerably across Western European </w:t>
      </w:r>
      <w:r w:rsidR="00DC336A" w:rsidRPr="008E46B1">
        <w:rPr>
          <w:rFonts w:ascii="Times New Roman" w:hAnsi="Times New Roman" w:cs="Times New Roman"/>
        </w:rPr>
        <w:lastRenderedPageBreak/>
        <w:t>countries.</w:t>
      </w:r>
      <w:r w:rsidR="00DC336A" w:rsidRPr="00480BE9">
        <w:rPr>
          <w:rFonts w:ascii="Times New Roman" w:hAnsi="Times New Roman" w:cs="Times New Roman"/>
        </w:rPr>
        <w:t xml:space="preserve"> </w:t>
      </w:r>
      <w:r w:rsidR="00241631">
        <w:rPr>
          <w:rFonts w:ascii="Times New Roman" w:hAnsi="Times New Roman" w:cs="Times New Roman"/>
        </w:rPr>
        <w:t xml:space="preserve">By examining </w:t>
      </w:r>
      <w:r w:rsidR="00DC336A" w:rsidRPr="00480BE9">
        <w:rPr>
          <w:rFonts w:ascii="Times New Roman" w:hAnsi="Times New Roman" w:cs="Times New Roman"/>
        </w:rPr>
        <w:t>how eligibility criteria and residency rights compare between investor routes and the routes for workers</w:t>
      </w:r>
      <w:r w:rsidR="00241631">
        <w:rPr>
          <w:rFonts w:ascii="Times New Roman" w:hAnsi="Times New Roman" w:cs="Times New Roman"/>
        </w:rPr>
        <w:t xml:space="preserve"> we show that there is a hierarchy among ‘wanted’ migrants, in which the wealthy are placed above the skilled and even highly skilled</w:t>
      </w:r>
      <w:r w:rsidR="00DC336A" w:rsidRPr="00480BE9">
        <w:rPr>
          <w:rFonts w:ascii="Times New Roman" w:hAnsi="Times New Roman" w:cs="Times New Roman"/>
        </w:rPr>
        <w:t>.</w:t>
      </w:r>
    </w:p>
    <w:p w14:paraId="72907C4A" w14:textId="77777777" w:rsidR="00DC336A" w:rsidRPr="00480BE9" w:rsidRDefault="00DC336A" w:rsidP="00DC336A">
      <w:pPr>
        <w:spacing w:line="480" w:lineRule="auto"/>
        <w:jc w:val="both"/>
        <w:rPr>
          <w:rFonts w:ascii="Times New Roman" w:hAnsi="Times New Roman" w:cs="Times New Roman"/>
        </w:rPr>
      </w:pPr>
    </w:p>
    <w:p w14:paraId="15BA6BED" w14:textId="186A3DB1" w:rsidR="00DC336A" w:rsidRPr="00480BE9" w:rsidRDefault="00DC336A" w:rsidP="00DC336A">
      <w:pPr>
        <w:spacing w:line="480" w:lineRule="auto"/>
        <w:jc w:val="both"/>
        <w:rPr>
          <w:rFonts w:ascii="Times New Roman" w:hAnsi="Times New Roman" w:cs="Times New Roman"/>
          <w:lang w:val="en-GB"/>
        </w:rPr>
      </w:pPr>
      <w:r w:rsidRPr="00480BE9">
        <w:rPr>
          <w:rFonts w:ascii="Times New Roman" w:hAnsi="Times New Roman" w:cs="Times New Roman"/>
        </w:rPr>
        <w:t>We analyze three Western European countries: France, Spain, and the United Kingdom. These countries are selected as large economies encompassing different varieties of capitalism. The three countries encompass three of the four categories described in Sumption’s (2021) typology. We first compare policies across these three countries</w:t>
      </w:r>
      <w:r w:rsidR="00C75844">
        <w:rPr>
          <w:rFonts w:ascii="Times New Roman" w:hAnsi="Times New Roman" w:cs="Times New Roman"/>
        </w:rPr>
        <w:t>,</w:t>
      </w:r>
      <w:r w:rsidRPr="00480BE9">
        <w:rPr>
          <w:rFonts w:ascii="Times New Roman" w:hAnsi="Times New Roman" w:cs="Times New Roman"/>
        </w:rPr>
        <w:t xml:space="preserve"> then, </w:t>
      </w:r>
      <w:r w:rsidR="00C75844">
        <w:rPr>
          <w:rFonts w:ascii="Times New Roman" w:hAnsi="Times New Roman" w:cs="Times New Roman"/>
        </w:rPr>
        <w:t>using</w:t>
      </w:r>
      <w:r w:rsidRPr="00480BE9">
        <w:rPr>
          <w:rFonts w:ascii="Times New Roman" w:hAnsi="Times New Roman" w:cs="Times New Roman"/>
        </w:rPr>
        <w:t xml:space="preserve"> case studies, we explore national-level factors that influenced the introduction and design of each country’s investor visa. We explore how differences in the </w:t>
      </w:r>
      <w:r w:rsidR="00C75844">
        <w:rPr>
          <w:rFonts w:ascii="Times New Roman" w:hAnsi="Times New Roman" w:cs="Times New Roman"/>
        </w:rPr>
        <w:t xml:space="preserve">sectoral composition and drivers of economic growth help </w:t>
      </w:r>
      <w:r w:rsidRPr="00480BE9">
        <w:rPr>
          <w:rFonts w:ascii="Times New Roman" w:hAnsi="Times New Roman" w:cs="Times New Roman"/>
        </w:rPr>
        <w:t>explain variation in the trajectories and</w:t>
      </w:r>
      <w:r w:rsidR="00C75844">
        <w:rPr>
          <w:rFonts w:ascii="Times New Roman" w:hAnsi="Times New Roman" w:cs="Times New Roman"/>
        </w:rPr>
        <w:t xml:space="preserve"> the kinds of</w:t>
      </w:r>
      <w:r w:rsidRPr="00480BE9">
        <w:rPr>
          <w:rFonts w:ascii="Times New Roman" w:hAnsi="Times New Roman" w:cs="Times New Roman"/>
        </w:rPr>
        <w:t xml:space="preserve"> </w:t>
      </w:r>
      <w:r w:rsidR="00C75844">
        <w:rPr>
          <w:rFonts w:ascii="Times New Roman" w:hAnsi="Times New Roman" w:cs="Times New Roman"/>
        </w:rPr>
        <w:t>investment targeted</w:t>
      </w:r>
      <w:r w:rsidRPr="00480BE9">
        <w:rPr>
          <w:rFonts w:ascii="Times New Roman" w:hAnsi="Times New Roman" w:cs="Times New Roman"/>
        </w:rPr>
        <w:t xml:space="preserve"> </w:t>
      </w:r>
      <w:r w:rsidR="00C75844">
        <w:rPr>
          <w:rFonts w:ascii="Times New Roman" w:hAnsi="Times New Roman" w:cs="Times New Roman"/>
        </w:rPr>
        <w:t xml:space="preserve">by </w:t>
      </w:r>
      <w:r w:rsidRPr="00480BE9">
        <w:rPr>
          <w:rFonts w:ascii="Times New Roman" w:hAnsi="Times New Roman" w:cs="Times New Roman"/>
        </w:rPr>
        <w:t>each country’s scheme.</w:t>
      </w:r>
    </w:p>
    <w:p w14:paraId="2BCB166D" w14:textId="77777777" w:rsidR="00DC336A" w:rsidRPr="00480BE9" w:rsidRDefault="00DC336A" w:rsidP="00DC336A">
      <w:pPr>
        <w:spacing w:line="480" w:lineRule="auto"/>
        <w:contextualSpacing/>
        <w:jc w:val="both"/>
        <w:rPr>
          <w:rFonts w:ascii="Times New Roman" w:hAnsi="Times New Roman" w:cs="Times New Roman"/>
          <w:lang w:val="en-GB"/>
        </w:rPr>
      </w:pPr>
    </w:p>
    <w:p w14:paraId="29281756" w14:textId="3278FE32" w:rsidR="00DC336A" w:rsidRPr="00480BE9" w:rsidRDefault="00DC336A" w:rsidP="00DC336A">
      <w:pPr>
        <w:spacing w:line="480" w:lineRule="auto"/>
        <w:contextualSpacing/>
        <w:jc w:val="both"/>
        <w:rPr>
          <w:rFonts w:ascii="Times New Roman" w:hAnsi="Times New Roman" w:cs="Times New Roman"/>
          <w:lang w:val="en-GB"/>
        </w:rPr>
      </w:pPr>
      <w:r w:rsidRPr="00480BE9">
        <w:rPr>
          <w:rFonts w:ascii="Times New Roman" w:hAnsi="Times New Roman" w:cs="Times New Roman"/>
        </w:rPr>
        <w:t>The first stage of our analysis is based on an original immigration policy index (ImPol), which we use to measure the restrictiveness</w:t>
      </w:r>
      <w:r w:rsidRPr="00480BE9">
        <w:rPr>
          <w:rFonts w:ascii="Times New Roman" w:hAnsi="Times New Roman" w:cs="Times New Roman"/>
          <w:lang w:val="en-GB"/>
        </w:rPr>
        <w:t xml:space="preserve"> of immigration policies during the period 1990-2016. ImPol enables analysis of cross-national variations between countries and comparison of the relative restrictiveness of different routes within countries: for example, between investor, high-skilled, and skilled work routes. This approach distinguishes ImPol from other immigration policy indexes such as IMPIC (Helbling et al. 2017), IMPALA (Beine et al. 2016), DEMIG (De Haas et al. 2018) and Ruhs’ labour migration index (2018). </w:t>
      </w:r>
      <w:r w:rsidR="00A53D16">
        <w:rPr>
          <w:rFonts w:ascii="Times New Roman" w:hAnsi="Times New Roman" w:cs="Times New Roman"/>
          <w:lang w:val="en-GB"/>
        </w:rPr>
        <w:t xml:space="preserve">In a small n study such as this, we cannot draw generalisable conclusions; rather </w:t>
      </w:r>
      <w:r w:rsidR="00835AB9">
        <w:rPr>
          <w:rFonts w:ascii="Times New Roman" w:hAnsi="Times New Roman" w:cs="Times New Roman"/>
          <w:lang w:val="en-GB"/>
        </w:rPr>
        <w:t xml:space="preserve">we use </w:t>
      </w:r>
      <w:r w:rsidR="00A53D16">
        <w:rPr>
          <w:rFonts w:ascii="Times New Roman" w:hAnsi="Times New Roman" w:cs="Times New Roman"/>
          <w:lang w:val="en-GB"/>
        </w:rPr>
        <w:t>the ImPol index to trace policy changes over time and systemically compare policies across the three countries and between the various routes within countries. We then examine the qualitative detail of how and why investor visa policies vary in the case studies.</w:t>
      </w:r>
    </w:p>
    <w:p w14:paraId="0213F984" w14:textId="77777777" w:rsidR="00DC336A" w:rsidRPr="00480BE9" w:rsidRDefault="00DC336A" w:rsidP="00DC336A">
      <w:pPr>
        <w:spacing w:line="480" w:lineRule="auto"/>
        <w:jc w:val="both"/>
        <w:rPr>
          <w:rFonts w:ascii="Times New Roman" w:hAnsi="Times New Roman" w:cs="Times New Roman"/>
          <w:lang w:val="en-GB"/>
        </w:rPr>
      </w:pPr>
    </w:p>
    <w:p w14:paraId="5357E411" w14:textId="77777777" w:rsidR="00DC336A" w:rsidRPr="00480BE9" w:rsidRDefault="00DC336A" w:rsidP="00DC336A">
      <w:pPr>
        <w:spacing w:line="480" w:lineRule="auto"/>
        <w:contextualSpacing/>
        <w:jc w:val="both"/>
        <w:rPr>
          <w:rFonts w:ascii="Times New Roman" w:hAnsi="Times New Roman" w:cs="Times New Roman"/>
          <w:lang w:val="en-GB"/>
        </w:rPr>
      </w:pPr>
      <w:r w:rsidRPr="00480BE9">
        <w:rPr>
          <w:rFonts w:ascii="Times New Roman" w:hAnsi="Times New Roman" w:cs="Times New Roman"/>
          <w:lang w:val="en-GB"/>
        </w:rPr>
        <w:lastRenderedPageBreak/>
        <w:t>ImPol measures restrictiveness using a total of 24 indicators: 12 for entry criteria, and 12 for rights attached to admission. Indicators for entry criteria measure the requirements for a given route, such as qualifications, work experience, and language proficiency. Examples of rights-based indicators include whether the visa applicant can bring dependants, the length of residency permitted, and whether there is a route to permanency. Each indicator is measured using an ordinal scale, with three potential values: restrictive (</w:t>
      </w:r>
      <w:r w:rsidRPr="00480BE9">
        <w:rPr>
          <w:rFonts w:ascii="Noteworthy Light" w:hAnsi="Noteworthy Light" w:cs="Noteworthy Light"/>
          <w:lang w:val="en-GB"/>
        </w:rPr>
        <w:t>‐</w:t>
      </w:r>
      <w:r w:rsidRPr="00480BE9">
        <w:rPr>
          <w:rFonts w:ascii="Times New Roman" w:hAnsi="Times New Roman" w:cs="Times New Roman"/>
          <w:lang w:val="en-GB"/>
        </w:rPr>
        <w:t xml:space="preserve">1), neutral (0), and open (1). </w:t>
      </w:r>
      <w:r w:rsidRPr="00480BE9">
        <w:rPr>
          <w:rFonts w:ascii="Times New Roman" w:hAnsi="Times New Roman" w:cs="Times New Roman"/>
        </w:rPr>
        <w:t>The codebook sets thresholds for coding decisions using objective criteria.</w:t>
      </w:r>
      <w:r w:rsidRPr="00480BE9">
        <w:rPr>
          <w:rFonts w:ascii="Times New Roman" w:hAnsi="Times New Roman" w:cs="Times New Roman"/>
          <w:lang w:val="en-GB"/>
        </w:rPr>
        <w:t xml:space="preserve"> For example, if a language requirement is set at B1 or above on the Common European Framework of References for Language then the route is coded as -1, a requirement at a lower level is coded 0, whereas no language requirement is coded 1. This approach to thresholds means that ImPol captures changes in restrictiveness over time for a given country and enables systematic comparison across countries. Drawing on and referencing policy documents and legislation, for a given entry route each indicator is coded for each year in the time series. Scores are averaged with equal weighting for each indicator. Space constraints preclude further discussion of the methodology and coding scheme; details including the full coding scheme can be found at [removed for blind peer review]</w:t>
      </w:r>
      <w:r w:rsidRPr="00480BE9">
        <w:rPr>
          <w:rStyle w:val="EndnoteReference"/>
          <w:rFonts w:ascii="Times New Roman" w:hAnsi="Times New Roman" w:cs="Times New Roman"/>
          <w:lang w:val="en-GB"/>
        </w:rPr>
        <w:endnoteReference w:id="1"/>
      </w:r>
      <w:r w:rsidRPr="00480BE9">
        <w:rPr>
          <w:rFonts w:ascii="Times New Roman" w:hAnsi="Times New Roman" w:cs="Times New Roman"/>
          <w:lang w:val="en-GB"/>
        </w:rPr>
        <w:t>.</w:t>
      </w:r>
    </w:p>
    <w:p w14:paraId="6DD532F9" w14:textId="77777777" w:rsidR="00DC336A" w:rsidRPr="00480BE9" w:rsidRDefault="00DC336A" w:rsidP="00DC336A">
      <w:pPr>
        <w:spacing w:line="480" w:lineRule="auto"/>
        <w:jc w:val="both"/>
        <w:rPr>
          <w:rFonts w:ascii="Times New Roman" w:hAnsi="Times New Roman" w:cs="Times New Roman"/>
          <w:lang w:val="en-GB"/>
        </w:rPr>
      </w:pPr>
    </w:p>
    <w:p w14:paraId="27116049" w14:textId="77777777" w:rsidR="00DC336A" w:rsidRPr="00480BE9" w:rsidRDefault="00DC336A" w:rsidP="00DC336A">
      <w:pPr>
        <w:spacing w:line="480" w:lineRule="auto"/>
        <w:jc w:val="both"/>
        <w:rPr>
          <w:rFonts w:ascii="Times New Roman" w:hAnsi="Times New Roman" w:cs="Times New Roman"/>
          <w:lang w:val="en-GB"/>
        </w:rPr>
      </w:pPr>
      <w:r w:rsidRPr="00480BE9">
        <w:rPr>
          <w:rFonts w:ascii="Times New Roman" w:hAnsi="Times New Roman" w:cs="Times New Roman"/>
          <w:lang w:val="en-GB"/>
        </w:rPr>
        <w:t>Migration policies are highly, and increasingly, differentiated, and their structure varies across national policy regimes. In most countries, there is not a single route or set of criteria for economic migrants, but multiple visas, each with different entry criteria and conditions attached to admission. This creates significant challenges for consistent and reliable measurement, especially across countries and time. In our analysis below we compare ‘investor’ routes with, ‘high-skilled’ and ‘general’ work routes. These categories sometimes, but not always, map onto dedicated visas.</w:t>
      </w:r>
    </w:p>
    <w:p w14:paraId="60A7A4AA" w14:textId="77777777" w:rsidR="00DC336A" w:rsidRPr="00480BE9" w:rsidRDefault="00DC336A" w:rsidP="00DC336A">
      <w:pPr>
        <w:spacing w:line="480" w:lineRule="auto"/>
        <w:jc w:val="both"/>
        <w:rPr>
          <w:rFonts w:ascii="Times New Roman" w:hAnsi="Times New Roman" w:cs="Times New Roman"/>
          <w:lang w:val="en-GB"/>
        </w:rPr>
      </w:pPr>
    </w:p>
    <w:p w14:paraId="1A64E6ED" w14:textId="77777777" w:rsidR="00DC336A" w:rsidRPr="00480BE9" w:rsidRDefault="00DC336A" w:rsidP="00DC336A">
      <w:pPr>
        <w:spacing w:line="480" w:lineRule="auto"/>
        <w:jc w:val="both"/>
        <w:rPr>
          <w:rFonts w:ascii="Times New Roman" w:hAnsi="Times New Roman" w:cs="Times New Roman"/>
          <w:lang w:val="en-GB"/>
        </w:rPr>
      </w:pPr>
      <w:r w:rsidRPr="00480BE9">
        <w:rPr>
          <w:rFonts w:ascii="Times New Roman" w:hAnsi="Times New Roman" w:cs="Times New Roman"/>
          <w:lang w:val="en-GB"/>
        </w:rPr>
        <w:lastRenderedPageBreak/>
        <w:t>We follow Sumption’s definition of investor programmes as ‘policies in which the government awards residence status […] to individuals and/or family members in return for a financial transaction, with relatively limited requirements to be actively involved’ (2021: 4). For coding purposes, investor programmes are comparatively straightforward to measure, as there is usually either a dedicated investor visa or no route. The same cannot be said for work routes. For example, not all countries operate a visa for ‘high-skilled’ workers distinct from other work visas, yet there will usually be an entry route for those who are high-skilled. Even within a given country it is not always possible to track a single visa, since categories are created, amalgamated, and abolished over time. To overcome this problem, we measure work-related migration policies using selected occupations at different skill levels as defined by the International Labour Organization’s International Standard Classification of Occupations (ISCO-08).</w:t>
      </w:r>
      <w:r w:rsidRPr="00480BE9">
        <w:rPr>
          <w:rStyle w:val="EndnoteReference"/>
          <w:rFonts w:ascii="Times New Roman" w:hAnsi="Times New Roman" w:cs="Times New Roman"/>
          <w:lang w:val="en-GB"/>
        </w:rPr>
        <w:endnoteReference w:id="2"/>
      </w:r>
      <w:r w:rsidRPr="00480BE9">
        <w:rPr>
          <w:rFonts w:ascii="Times New Roman" w:hAnsi="Times New Roman" w:cs="Times New Roman"/>
          <w:lang w:val="en-GB"/>
        </w:rPr>
        <w:t xml:space="preserve"> </w:t>
      </w:r>
    </w:p>
    <w:p w14:paraId="2BFBCB6B" w14:textId="77777777" w:rsidR="00DC336A" w:rsidRPr="00480BE9" w:rsidRDefault="00DC336A" w:rsidP="00DC336A">
      <w:pPr>
        <w:spacing w:line="480" w:lineRule="auto"/>
        <w:jc w:val="both"/>
        <w:rPr>
          <w:rFonts w:ascii="Times New Roman" w:hAnsi="Times New Roman" w:cs="Times New Roman"/>
          <w:lang w:val="en-GB"/>
        </w:rPr>
      </w:pPr>
    </w:p>
    <w:p w14:paraId="75B79FFC" w14:textId="33D99AED" w:rsidR="00DC336A" w:rsidRPr="00480BE9" w:rsidRDefault="00DC336A" w:rsidP="00DC336A">
      <w:pPr>
        <w:spacing w:line="480" w:lineRule="auto"/>
        <w:jc w:val="both"/>
        <w:rPr>
          <w:rFonts w:ascii="Times New Roman" w:hAnsi="Times New Roman" w:cs="Times New Roman"/>
          <w:lang w:val="en-GB"/>
        </w:rPr>
      </w:pPr>
      <w:r w:rsidRPr="00480BE9">
        <w:rPr>
          <w:rFonts w:ascii="Times New Roman" w:hAnsi="Times New Roman" w:cs="Times New Roman"/>
          <w:lang w:val="en-GB"/>
        </w:rPr>
        <w:t xml:space="preserve">One caveat to note is that the ImPol scores for investor visas do not include the monetary amount of investment thresholds. There are two reasons for this: firstly, to enable comparison with non-investment routes it is necessary to measure only generic criteria (i.e. criteria that apply across different types of entry route); secondly, as each indicator is measured using an ordinal scale with three values, the measurement of monetary amounts would have significant (and arbitrary) cliff-edge effects on the results, depending on where thresholds were set. Since the cost of investment is clearly an important eligibility criterion for investor visas – for most people </w:t>
      </w:r>
      <w:r w:rsidR="00C75844">
        <w:rPr>
          <w:rFonts w:ascii="Times New Roman" w:hAnsi="Times New Roman" w:cs="Times New Roman"/>
          <w:lang w:val="en-GB"/>
        </w:rPr>
        <w:t>it</w:t>
      </w:r>
      <w:r w:rsidRPr="00480BE9">
        <w:rPr>
          <w:rFonts w:ascii="Times New Roman" w:hAnsi="Times New Roman" w:cs="Times New Roman"/>
          <w:lang w:val="en-GB"/>
        </w:rPr>
        <w:t xml:space="preserve"> will be </w:t>
      </w:r>
      <w:r w:rsidRPr="00480BE9">
        <w:rPr>
          <w:rFonts w:ascii="Times New Roman" w:hAnsi="Times New Roman" w:cs="Times New Roman"/>
          <w:i/>
          <w:iCs/>
          <w:lang w:val="en-GB"/>
        </w:rPr>
        <w:t>the</w:t>
      </w:r>
      <w:r w:rsidRPr="00480BE9">
        <w:rPr>
          <w:rFonts w:ascii="Times New Roman" w:hAnsi="Times New Roman" w:cs="Times New Roman"/>
          <w:lang w:val="en-GB"/>
        </w:rPr>
        <w:t xml:space="preserve"> most significant barrier to applying for such a visa – </w:t>
      </w:r>
      <w:r w:rsidR="00C75844">
        <w:rPr>
          <w:rFonts w:ascii="Times New Roman" w:hAnsi="Times New Roman" w:cs="Times New Roman"/>
          <w:lang w:val="en-GB"/>
        </w:rPr>
        <w:t>it</w:t>
      </w:r>
      <w:r w:rsidRPr="00480BE9">
        <w:rPr>
          <w:rFonts w:ascii="Times New Roman" w:hAnsi="Times New Roman" w:cs="Times New Roman"/>
          <w:lang w:val="en-GB"/>
        </w:rPr>
        <w:t xml:space="preserve"> should be considered when comparing schemes across countries. We address this in our case studies and the discussion that follows.</w:t>
      </w:r>
    </w:p>
    <w:p w14:paraId="208177C4" w14:textId="77777777" w:rsidR="00DC336A" w:rsidRPr="00480BE9" w:rsidRDefault="00DC336A" w:rsidP="00DC336A">
      <w:pPr>
        <w:spacing w:line="480" w:lineRule="auto"/>
        <w:jc w:val="both"/>
        <w:rPr>
          <w:rFonts w:ascii="Times New Roman" w:hAnsi="Times New Roman" w:cs="Times New Roman"/>
          <w:lang w:val="en-GB"/>
        </w:rPr>
      </w:pPr>
    </w:p>
    <w:p w14:paraId="21DC5F5D" w14:textId="4756C2DE" w:rsidR="00DC336A" w:rsidRPr="00480BE9" w:rsidRDefault="00DC336A" w:rsidP="00DC336A">
      <w:pPr>
        <w:spacing w:line="480" w:lineRule="auto"/>
        <w:jc w:val="both"/>
        <w:rPr>
          <w:rFonts w:ascii="Times New Roman" w:hAnsi="Times New Roman" w:cs="Times New Roman"/>
          <w:lang w:val="en-GB"/>
        </w:rPr>
      </w:pPr>
      <w:r w:rsidRPr="00480BE9">
        <w:rPr>
          <w:rFonts w:ascii="Times New Roman" w:hAnsi="Times New Roman" w:cs="Times New Roman"/>
          <w:lang w:val="en-GB"/>
        </w:rPr>
        <w:lastRenderedPageBreak/>
        <w:t xml:space="preserve">The case studies allow us to analyse the specificities of each country’s investor migration policies and situate them in political and economic context. Quantitative indexes such as ImPol allow the systematic comparison of policies within and across countries, but they cannot capture all the nuances of variation in policy. In the three case studies, we examine the specificities of each investor scheme, for example the kinds of investors or sectors that each country’s policy seeks to encourage, then consider how national </w:t>
      </w:r>
      <w:r w:rsidR="00C75844">
        <w:rPr>
          <w:rFonts w:ascii="Times New Roman" w:hAnsi="Times New Roman" w:cs="Times New Roman"/>
          <w:lang w:val="en-GB"/>
        </w:rPr>
        <w:t xml:space="preserve">political economy </w:t>
      </w:r>
      <w:r w:rsidRPr="00480BE9">
        <w:rPr>
          <w:rFonts w:ascii="Times New Roman" w:hAnsi="Times New Roman" w:cs="Times New Roman"/>
          <w:lang w:val="en-GB"/>
        </w:rPr>
        <w:t xml:space="preserve">influenced the timing and </w:t>
      </w:r>
      <w:r w:rsidR="00C75844">
        <w:rPr>
          <w:rFonts w:ascii="Times New Roman" w:hAnsi="Times New Roman" w:cs="Times New Roman"/>
          <w:lang w:val="en-GB"/>
        </w:rPr>
        <w:t>design</w:t>
      </w:r>
      <w:r w:rsidRPr="00480BE9">
        <w:rPr>
          <w:rFonts w:ascii="Times New Roman" w:hAnsi="Times New Roman" w:cs="Times New Roman"/>
          <w:lang w:val="en-GB"/>
        </w:rPr>
        <w:t xml:space="preserve"> of the investor visas.</w:t>
      </w:r>
    </w:p>
    <w:p w14:paraId="1E433F5D" w14:textId="77777777" w:rsidR="00DC336A" w:rsidRPr="00480BE9" w:rsidRDefault="00DC336A" w:rsidP="00DC336A">
      <w:pPr>
        <w:spacing w:line="480" w:lineRule="auto"/>
        <w:jc w:val="both"/>
        <w:rPr>
          <w:rFonts w:ascii="Times New Roman" w:hAnsi="Times New Roman" w:cs="Times New Roman"/>
        </w:rPr>
      </w:pPr>
    </w:p>
    <w:p w14:paraId="14E29EB1"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b/>
          <w:bCs/>
        </w:rPr>
        <w:t>Comparing investor visas in Western Europe</w:t>
      </w:r>
    </w:p>
    <w:p w14:paraId="54EE9FDA" w14:textId="77777777" w:rsidR="00DC336A" w:rsidRPr="00480BE9" w:rsidRDefault="00DC336A" w:rsidP="00DC336A">
      <w:pPr>
        <w:spacing w:line="480" w:lineRule="auto"/>
        <w:jc w:val="both"/>
        <w:rPr>
          <w:rFonts w:ascii="Times New Roman" w:hAnsi="Times New Roman" w:cs="Times New Roman"/>
        </w:rPr>
      </w:pPr>
    </w:p>
    <w:p w14:paraId="617746D5"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The wider trend towards residence-by-investment schemes can be seen in France, Spain and the UK. All three adopted an investor visa during the period 1990-2016. Table 1 gives details of the three schemes, while Figure 1 shows the ImPol scores for investor visas over time (higher scores indicate a more open and lower scores a more restrictive policy).</w:t>
      </w:r>
      <w:r w:rsidRPr="00480BE9">
        <w:rPr>
          <w:rStyle w:val="EndnoteReference"/>
          <w:rFonts w:ascii="Times New Roman" w:hAnsi="Times New Roman" w:cs="Times New Roman"/>
        </w:rPr>
        <w:endnoteReference w:id="3"/>
      </w:r>
      <w:r w:rsidRPr="00480BE9">
        <w:rPr>
          <w:rFonts w:ascii="Times New Roman" w:hAnsi="Times New Roman" w:cs="Times New Roman"/>
        </w:rPr>
        <w:t xml:space="preserve"> </w:t>
      </w:r>
      <w:r w:rsidRPr="00480BE9">
        <w:rPr>
          <w:rFonts w:ascii="Times New Roman" w:hAnsi="Times New Roman" w:cs="Times New Roman"/>
          <w:color w:val="1A1A1A"/>
        </w:rPr>
        <w:t xml:space="preserve">The UK operated a route for investors from 1994 to 2022, while France and Spain introduced their schemes in 2009 and 2013 respectively, part of the ‘second wave’ of investor visas following the Eurozone crisis. </w:t>
      </w:r>
      <w:r w:rsidRPr="00480BE9">
        <w:rPr>
          <w:rFonts w:ascii="Times New Roman" w:hAnsi="Times New Roman" w:cs="Times New Roman"/>
        </w:rPr>
        <w:t>The creation of two schemes, and the liberalization of the UK scheme, in the years after the 2008 financial crisis illustrates that these countries became more open to investment migration in the last decade or so.</w:t>
      </w:r>
    </w:p>
    <w:p w14:paraId="37E55503" w14:textId="77777777" w:rsidR="00DC336A" w:rsidRPr="00480BE9" w:rsidRDefault="00DC336A" w:rsidP="00DC336A">
      <w:pPr>
        <w:spacing w:line="480" w:lineRule="auto"/>
        <w:jc w:val="both"/>
        <w:rPr>
          <w:rFonts w:ascii="Times New Roman" w:hAnsi="Times New Roman" w:cs="Times New Roman"/>
        </w:rPr>
      </w:pPr>
    </w:p>
    <w:p w14:paraId="73FB22B0" w14:textId="77777777" w:rsidR="00DC336A" w:rsidRPr="00480BE9" w:rsidRDefault="00DC336A" w:rsidP="00DC336A">
      <w:pPr>
        <w:spacing w:line="480" w:lineRule="auto"/>
        <w:jc w:val="center"/>
        <w:rPr>
          <w:rFonts w:ascii="Times New Roman" w:hAnsi="Times New Roman" w:cs="Times New Roman"/>
        </w:rPr>
      </w:pPr>
      <w:r w:rsidRPr="00480BE9">
        <w:rPr>
          <w:rFonts w:ascii="Times New Roman" w:hAnsi="Times New Roman" w:cs="Times New Roman"/>
        </w:rPr>
        <w:t>TABLE 1:  Summary of investor visas in UK, France and Spain HERE</w:t>
      </w:r>
    </w:p>
    <w:p w14:paraId="046EA889" w14:textId="77777777" w:rsidR="00DC336A" w:rsidRPr="00480BE9" w:rsidRDefault="00DC336A" w:rsidP="00DC336A">
      <w:pPr>
        <w:spacing w:line="480" w:lineRule="auto"/>
        <w:jc w:val="center"/>
        <w:rPr>
          <w:rFonts w:ascii="Times New Roman" w:hAnsi="Times New Roman" w:cs="Times New Roman"/>
        </w:rPr>
      </w:pPr>
    </w:p>
    <w:p w14:paraId="24444725" w14:textId="77777777" w:rsidR="00DC336A" w:rsidRPr="00480BE9" w:rsidRDefault="00DC336A" w:rsidP="00DC336A">
      <w:pPr>
        <w:spacing w:line="480" w:lineRule="auto"/>
        <w:jc w:val="center"/>
        <w:rPr>
          <w:rFonts w:ascii="Times New Roman" w:hAnsi="Times New Roman" w:cs="Times New Roman"/>
        </w:rPr>
      </w:pPr>
      <w:r w:rsidRPr="00480BE9">
        <w:rPr>
          <w:rFonts w:ascii="Times New Roman" w:hAnsi="Times New Roman" w:cs="Times New Roman"/>
        </w:rPr>
        <w:t>FIGURE 1 Investors: all indicators HERE</w:t>
      </w:r>
    </w:p>
    <w:p w14:paraId="6A6A12D5" w14:textId="77777777" w:rsidR="00DC336A" w:rsidRPr="00480BE9" w:rsidRDefault="00DC336A" w:rsidP="00DC336A">
      <w:pPr>
        <w:spacing w:line="480" w:lineRule="auto"/>
        <w:jc w:val="both"/>
        <w:rPr>
          <w:rFonts w:ascii="Times New Roman" w:hAnsi="Times New Roman" w:cs="Times New Roman"/>
        </w:rPr>
      </w:pPr>
    </w:p>
    <w:p w14:paraId="02615EA8" w14:textId="7EA340A2"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lastRenderedPageBreak/>
        <w:t>While all three countries introduced investor visas during the period under analysis, the timing and degree of openness vary considerably. To examine this variation and compare investor routes in relation to work routes, we present a series of in-country analyses. For each country we present the ImPol data on investor, high-skilled and skilled work routes</w:t>
      </w:r>
      <w:r w:rsidR="00C75844">
        <w:rPr>
          <w:rFonts w:ascii="Times New Roman" w:hAnsi="Times New Roman" w:cs="Times New Roman"/>
        </w:rPr>
        <w:t>, and</w:t>
      </w:r>
      <w:r w:rsidRPr="00480BE9">
        <w:rPr>
          <w:rFonts w:ascii="Times New Roman" w:hAnsi="Times New Roman" w:cs="Times New Roman"/>
        </w:rPr>
        <w:t xml:space="preserve"> a case study which examines </w:t>
      </w:r>
      <w:r w:rsidR="00C75844">
        <w:rPr>
          <w:rFonts w:ascii="Times New Roman" w:hAnsi="Times New Roman" w:cs="Times New Roman"/>
        </w:rPr>
        <w:t>qualitative details of policies and their drivers</w:t>
      </w:r>
      <w:r w:rsidRPr="00480BE9">
        <w:rPr>
          <w:rFonts w:ascii="Times New Roman" w:hAnsi="Times New Roman" w:cs="Times New Roman"/>
        </w:rPr>
        <w:t>. We begin with the UK, one of the first European countries to introduce an investor visa (and, recently, the first to close its scheme).</w:t>
      </w:r>
    </w:p>
    <w:p w14:paraId="6C790E5F" w14:textId="77777777" w:rsidR="00DC336A" w:rsidRPr="00480BE9" w:rsidRDefault="00DC336A" w:rsidP="00DC336A">
      <w:pPr>
        <w:spacing w:line="480" w:lineRule="auto"/>
        <w:jc w:val="both"/>
        <w:rPr>
          <w:rFonts w:ascii="Times New Roman" w:hAnsi="Times New Roman" w:cs="Times New Roman"/>
        </w:rPr>
      </w:pPr>
    </w:p>
    <w:p w14:paraId="7B294D51" w14:textId="77777777" w:rsidR="00DC336A" w:rsidRPr="00480BE9" w:rsidRDefault="00DC336A" w:rsidP="00DC336A">
      <w:pPr>
        <w:spacing w:line="480" w:lineRule="auto"/>
        <w:jc w:val="both"/>
        <w:rPr>
          <w:rFonts w:ascii="Times New Roman" w:hAnsi="Times New Roman" w:cs="Times New Roman"/>
          <w:b/>
          <w:bCs/>
          <w:i/>
        </w:rPr>
      </w:pPr>
      <w:r w:rsidRPr="00480BE9">
        <w:rPr>
          <w:rFonts w:ascii="Times New Roman" w:hAnsi="Times New Roman" w:cs="Times New Roman"/>
          <w:b/>
          <w:bCs/>
          <w:i/>
        </w:rPr>
        <w:t>The United Kingdom: loosening investment, tightening work</w:t>
      </w:r>
    </w:p>
    <w:p w14:paraId="7A882877" w14:textId="77777777" w:rsidR="00DC336A" w:rsidRPr="00480BE9" w:rsidRDefault="00DC336A" w:rsidP="00DC336A">
      <w:pPr>
        <w:spacing w:line="480" w:lineRule="auto"/>
        <w:jc w:val="both"/>
        <w:rPr>
          <w:rFonts w:ascii="Times New Roman" w:hAnsi="Times New Roman" w:cs="Times New Roman"/>
        </w:rPr>
      </w:pPr>
    </w:p>
    <w:p w14:paraId="548549CD" w14:textId="3A500DA9"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The UK operates one of the oldest investor schemes in Europe. It was the first EU Member State to introduce an investor visa in 1994 (Surak 2020: 7). To obtain an investor visa in 1994, applicants needed £1 million in disposable cash and were required to invest no less than £750,000 in government bonds, share capital or loan capital in active and trading UK registered companies. In 2008, the UK’s investor route was placed in the new ‘Tier 1’ of the new Point Based System (PBS), as part of the Labour Government’s wider liberalization of economic migration, which included the creation of a new high-skilled work visa (</w:t>
      </w:r>
      <w:r>
        <w:rPr>
          <w:rFonts w:ascii="Times New Roman" w:hAnsi="Times New Roman" w:cs="Times New Roman"/>
        </w:rPr>
        <w:t xml:space="preserve">Consterdine </w:t>
      </w:r>
      <w:r w:rsidRPr="00480BE9">
        <w:rPr>
          <w:rFonts w:ascii="Times New Roman" w:hAnsi="Times New Roman" w:cs="Times New Roman"/>
        </w:rPr>
        <w:t xml:space="preserve">2018; </w:t>
      </w:r>
      <w:r>
        <w:rPr>
          <w:rFonts w:ascii="Times New Roman" w:hAnsi="Times New Roman" w:cs="Times New Roman"/>
        </w:rPr>
        <w:t>Consterdine and Hampshire</w:t>
      </w:r>
      <w:r w:rsidRPr="00480BE9">
        <w:rPr>
          <w:rFonts w:ascii="Times New Roman" w:hAnsi="Times New Roman" w:cs="Times New Roman"/>
        </w:rPr>
        <w:t xml:space="preserve"> 2014</w:t>
      </w:r>
      <w:r>
        <w:rPr>
          <w:rFonts w:ascii="Times New Roman" w:hAnsi="Times New Roman" w:cs="Times New Roman"/>
        </w:rPr>
        <w:t>; Wright 2012</w:t>
      </w:r>
      <w:r w:rsidRPr="00480BE9">
        <w:rPr>
          <w:rFonts w:ascii="Times New Roman" w:hAnsi="Times New Roman" w:cs="Times New Roman"/>
        </w:rPr>
        <w:t>). The Home Office announcement that a scheme ‘for those who have substantial funds to invest in the UK’ (Home Office 2006: 24) would be included in the PBS drew no opposition from the Conservatives (unsurprisingly, given it was the previous Conservative Government that had introduced an investor route). Both the investor and the new high-skilled visas were a good ideological fit with New Labour’s embrace of globalization, its commitment to attract the ‘brightest and best’ to the UK, and its support for financial services and associated industries in the City of London.</w:t>
      </w:r>
    </w:p>
    <w:p w14:paraId="186D1EF5" w14:textId="77777777" w:rsidR="00DC336A" w:rsidRPr="00480BE9" w:rsidRDefault="00DC336A" w:rsidP="00DC336A">
      <w:pPr>
        <w:spacing w:line="480" w:lineRule="auto"/>
        <w:jc w:val="both"/>
        <w:rPr>
          <w:rFonts w:ascii="Times New Roman" w:hAnsi="Times New Roman" w:cs="Times New Roman"/>
        </w:rPr>
      </w:pPr>
    </w:p>
    <w:p w14:paraId="2D495C8B" w14:textId="77777777" w:rsidR="00DC336A" w:rsidRPr="00480BE9" w:rsidRDefault="00DC336A" w:rsidP="00DC336A">
      <w:pPr>
        <w:spacing w:line="480" w:lineRule="auto"/>
        <w:jc w:val="center"/>
        <w:rPr>
          <w:rFonts w:ascii="Times New Roman" w:hAnsi="Times New Roman" w:cs="Times New Roman"/>
        </w:rPr>
      </w:pPr>
      <w:r w:rsidRPr="00480BE9">
        <w:rPr>
          <w:rFonts w:ascii="Times New Roman" w:hAnsi="Times New Roman" w:cs="Times New Roman"/>
        </w:rPr>
        <w:t>FIGURE 2: UK 1990-2016 Investor, General and High Skilled HERE</w:t>
      </w:r>
    </w:p>
    <w:p w14:paraId="72701B88" w14:textId="77777777" w:rsidR="00DC336A" w:rsidRPr="00480BE9" w:rsidRDefault="00DC336A" w:rsidP="00DC336A">
      <w:pPr>
        <w:spacing w:line="480" w:lineRule="auto"/>
        <w:jc w:val="both"/>
        <w:rPr>
          <w:rFonts w:ascii="Times New Roman" w:hAnsi="Times New Roman" w:cs="Times New Roman"/>
        </w:rPr>
      </w:pPr>
    </w:p>
    <w:p w14:paraId="51DD24D8" w14:textId="77777777" w:rsidR="00DC336A" w:rsidRPr="00480BE9" w:rsidRDefault="00DC336A" w:rsidP="00DC336A">
      <w:pPr>
        <w:spacing w:line="480" w:lineRule="auto"/>
        <w:jc w:val="both"/>
        <w:rPr>
          <w:rFonts w:ascii="Times New Roman" w:hAnsi="Times New Roman" w:cs="Times New Roman"/>
        </w:rPr>
      </w:pPr>
    </w:p>
    <w:p w14:paraId="2BDB56CD"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Applicants for a Tier 1 (Investor) visa were required to invest a minimum of £1 million in the UK, a sum increased to £2 million after 2015. In return, applicants were issued with a visa for three years, renewable for a further two years, at the end of which they could apply for permanent residency. In 2011, the government introduced provisions for accelerated settlement, under which applicants who invested more money gained faster access to permanent residence: in return for a £5 million investment, the residency requirement was reduced to three years, and for £10 million, to just two years.</w:t>
      </w:r>
    </w:p>
    <w:p w14:paraId="189DB245" w14:textId="77777777" w:rsidR="00DC336A" w:rsidRPr="00480BE9" w:rsidRDefault="00DC336A" w:rsidP="00DC336A">
      <w:pPr>
        <w:spacing w:line="480" w:lineRule="auto"/>
        <w:jc w:val="both"/>
        <w:rPr>
          <w:rFonts w:ascii="Times New Roman" w:hAnsi="Times New Roman" w:cs="Times New Roman"/>
        </w:rPr>
      </w:pPr>
    </w:p>
    <w:p w14:paraId="74CCB297"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The UK was a ‘passive’ investment scheme: applicants did not have to establish a business or create any jobs in the UK, nor was the investment targeted at a specific sector or region. Applicants usually made their investment in UK gilts, effectively loaning the UK government money for the duration of their visa. The Tier 1 Investor Visa was a no-strings-attached form of residence-by-investment: admission was granted in return for a loan to government and, unlike most other visas, applicants did not have to satisfy any English language requirements.</w:t>
      </w:r>
    </w:p>
    <w:p w14:paraId="6BEC4D87" w14:textId="77777777" w:rsidR="00DC336A" w:rsidRPr="00480BE9" w:rsidRDefault="00DC336A" w:rsidP="00DC336A">
      <w:pPr>
        <w:spacing w:line="480" w:lineRule="auto"/>
        <w:jc w:val="both"/>
        <w:rPr>
          <w:rFonts w:ascii="Times New Roman" w:hAnsi="Times New Roman" w:cs="Times New Roman"/>
        </w:rPr>
      </w:pPr>
    </w:p>
    <w:p w14:paraId="63672BDA"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The passive design of the scheme was a striking – and would later become a controversial – feature of the UK’s approach to investor migration. Without any requirement to invest in business or to direct funds to a particular region or sector of the economy, the UK investor visa enabled very wealthy people to establish themselves in the UK with few strings attached. One of the few demanding requirements of the UK visa was its comparatively stringent physical presence requirements. From 1994 until 2011, the visa-holder had to make the UK </w:t>
      </w:r>
      <w:r w:rsidRPr="00480BE9">
        <w:rPr>
          <w:rFonts w:ascii="Times New Roman" w:hAnsi="Times New Roman" w:cs="Times New Roman"/>
        </w:rPr>
        <w:lastRenderedPageBreak/>
        <w:t>their main home, with only short absences permitted: no more than three months at a time and a total of no more than six months over the five years. After 2011, this was relaxed so that investors could be absent from the UK for up to 180 days per year (MAC 2014: 12; Sumption and Hooper 2014: 16). Yet even these revised conditions were more demanding than other residence-by-investment programmes in the EU, which generally have lower requirements to spend time in the country. The UK scheme was therefore unsuitable for wealthy people seeking to acquire an EU passport while remaining domiciled in their country of origin.</w:t>
      </w:r>
    </w:p>
    <w:p w14:paraId="080A351F" w14:textId="77777777" w:rsidR="00DC336A" w:rsidRPr="00480BE9" w:rsidRDefault="00DC336A" w:rsidP="00DC336A">
      <w:pPr>
        <w:spacing w:line="480" w:lineRule="auto"/>
        <w:jc w:val="both"/>
        <w:rPr>
          <w:rFonts w:ascii="Times New Roman" w:hAnsi="Times New Roman" w:cs="Times New Roman"/>
        </w:rPr>
      </w:pPr>
    </w:p>
    <w:p w14:paraId="0AA4A175" w14:textId="789637D8" w:rsidR="00DC336A" w:rsidRPr="00480BE9" w:rsidRDefault="00DC336A" w:rsidP="00DC336A">
      <w:pPr>
        <w:widowControl w:val="0"/>
        <w:autoSpaceDE w:val="0"/>
        <w:autoSpaceDN w:val="0"/>
        <w:adjustRightInd w:val="0"/>
        <w:spacing w:line="480" w:lineRule="auto"/>
        <w:jc w:val="both"/>
        <w:rPr>
          <w:rFonts w:ascii="Times New Roman" w:hAnsi="Times New Roman" w:cs="Times New Roman"/>
        </w:rPr>
      </w:pPr>
      <w:r w:rsidRPr="00480BE9">
        <w:rPr>
          <w:rFonts w:ascii="Times New Roman" w:hAnsi="Times New Roman" w:cs="Times New Roman"/>
        </w:rPr>
        <w:t>Between 2008 and 2019, a total of 4,211 investor visas were issued (Surak 2022: 159), making the UK investor route one of the most popular in Europe. The most common nationalities issued with a Tier 1 Investor visa were China (33 percent), Russia (18 percent), and USA (6 percent).</w:t>
      </w:r>
      <w:r w:rsidRPr="00480BE9">
        <w:rPr>
          <w:rStyle w:val="EndnoteReference"/>
          <w:rFonts w:ascii="Times New Roman" w:hAnsi="Times New Roman" w:cs="Times New Roman"/>
        </w:rPr>
        <w:endnoteReference w:id="4"/>
      </w:r>
      <w:r w:rsidRPr="00480BE9">
        <w:rPr>
          <w:rFonts w:ascii="Times New Roman" w:hAnsi="Times New Roman" w:cs="Times New Roman"/>
        </w:rPr>
        <w:t xml:space="preserve"> The annual numbers were small at first</w:t>
      </w:r>
      <w:r w:rsidR="00671840">
        <w:rPr>
          <w:rFonts w:ascii="Times New Roman" w:hAnsi="Times New Roman" w:cs="Times New Roman"/>
        </w:rPr>
        <w:t>,</w:t>
      </w:r>
      <w:r w:rsidRPr="00480BE9">
        <w:rPr>
          <w:rFonts w:ascii="Times New Roman" w:hAnsi="Times New Roman" w:cs="Times New Roman"/>
        </w:rPr>
        <w:t xml:space="preserve"> but grew steadily, peaking in 2014 at 1,172</w:t>
      </w:r>
      <w:r w:rsidR="00671840">
        <w:rPr>
          <w:rFonts w:ascii="Times New Roman" w:hAnsi="Times New Roman" w:cs="Times New Roman"/>
        </w:rPr>
        <w:t xml:space="preserve">. </w:t>
      </w:r>
      <w:r w:rsidR="001552BA">
        <w:rPr>
          <w:rFonts w:ascii="Times New Roman" w:hAnsi="Times New Roman" w:cs="Times New Roman"/>
        </w:rPr>
        <w:t>T</w:t>
      </w:r>
      <w:r w:rsidR="00671840">
        <w:rPr>
          <w:rFonts w:ascii="Times New Roman" w:hAnsi="Times New Roman" w:cs="Times New Roman"/>
        </w:rPr>
        <w:t xml:space="preserve">he scheme was successful in terms of the number of applicants it attracted, </w:t>
      </w:r>
      <w:r w:rsidR="001552BA">
        <w:rPr>
          <w:rFonts w:ascii="Times New Roman" w:hAnsi="Times New Roman" w:cs="Times New Roman"/>
        </w:rPr>
        <w:t xml:space="preserve">but critics </w:t>
      </w:r>
      <w:r w:rsidR="00F81346">
        <w:rPr>
          <w:rFonts w:ascii="Times New Roman" w:hAnsi="Times New Roman" w:cs="Times New Roman"/>
        </w:rPr>
        <w:t>soon began to claim</w:t>
      </w:r>
      <w:r w:rsidR="001552BA">
        <w:rPr>
          <w:rFonts w:ascii="Times New Roman" w:hAnsi="Times New Roman" w:cs="Times New Roman"/>
        </w:rPr>
        <w:t xml:space="preserve"> that it</w:t>
      </w:r>
      <w:r w:rsidR="00F81346">
        <w:rPr>
          <w:rFonts w:ascii="Times New Roman" w:hAnsi="Times New Roman" w:cs="Times New Roman"/>
        </w:rPr>
        <w:t xml:space="preserve"> was</w:t>
      </w:r>
      <w:r w:rsidR="00B96136">
        <w:rPr>
          <w:rFonts w:ascii="Times New Roman" w:hAnsi="Times New Roman" w:cs="Times New Roman"/>
        </w:rPr>
        <w:t xml:space="preserve"> </w:t>
      </w:r>
      <w:r w:rsidR="001552BA">
        <w:rPr>
          <w:rFonts w:ascii="Times New Roman" w:hAnsi="Times New Roman" w:cs="Times New Roman"/>
        </w:rPr>
        <w:t>enabl</w:t>
      </w:r>
      <w:r w:rsidR="00F81346">
        <w:rPr>
          <w:rFonts w:ascii="Times New Roman" w:hAnsi="Times New Roman" w:cs="Times New Roman"/>
        </w:rPr>
        <w:t>ing</w:t>
      </w:r>
      <w:r w:rsidR="001552BA">
        <w:rPr>
          <w:rFonts w:ascii="Times New Roman" w:hAnsi="Times New Roman" w:cs="Times New Roman"/>
        </w:rPr>
        <w:t xml:space="preserve"> flows of illicit and corrupt money into the UK</w:t>
      </w:r>
      <w:r w:rsidR="00671840">
        <w:rPr>
          <w:rFonts w:ascii="Times New Roman" w:hAnsi="Times New Roman" w:cs="Times New Roman"/>
        </w:rPr>
        <w:t xml:space="preserve">. </w:t>
      </w:r>
      <w:r w:rsidR="00835AB9">
        <w:rPr>
          <w:rFonts w:ascii="Times New Roman" w:hAnsi="Times New Roman" w:cs="Times New Roman"/>
        </w:rPr>
        <w:t>Transparency International</w:t>
      </w:r>
      <w:r w:rsidR="00B96136">
        <w:rPr>
          <w:rFonts w:ascii="Times New Roman" w:hAnsi="Times New Roman" w:cs="Times New Roman"/>
        </w:rPr>
        <w:t xml:space="preserve"> described </w:t>
      </w:r>
      <w:r w:rsidRPr="00480BE9">
        <w:rPr>
          <w:rFonts w:ascii="Times New Roman" w:hAnsi="Times New Roman" w:cs="Times New Roman"/>
        </w:rPr>
        <w:t>the time between 2008 and 2015 as ‘the blind faith period’, concluding that there was ‘a reasonable basis for concern that the UK’s Tier 1 Investor programme has attracted corrupt Russian and Chinese high net worth individuals (Transparency International 2015: 6).</w:t>
      </w:r>
      <w:r w:rsidR="001552BA">
        <w:rPr>
          <w:rFonts w:ascii="Times New Roman" w:hAnsi="Times New Roman" w:cs="Times New Roman"/>
        </w:rPr>
        <w:t xml:space="preserve"> In response, in 2015</w:t>
      </w:r>
      <w:r w:rsidR="001552BA" w:rsidRPr="00480BE9">
        <w:rPr>
          <w:rFonts w:ascii="Times New Roman" w:hAnsi="Times New Roman" w:cs="Times New Roman"/>
        </w:rPr>
        <w:t xml:space="preserve"> the government doubled the investment threshold and introduced a requirement to establish a UK bank account </w:t>
      </w:r>
      <w:r w:rsidR="001552BA">
        <w:rPr>
          <w:rFonts w:ascii="Times New Roman" w:hAnsi="Times New Roman" w:cs="Times New Roman"/>
        </w:rPr>
        <w:t>to reduce</w:t>
      </w:r>
      <w:r w:rsidR="001552BA" w:rsidRPr="00480BE9">
        <w:rPr>
          <w:rFonts w:ascii="Times New Roman" w:hAnsi="Times New Roman" w:cs="Times New Roman"/>
        </w:rPr>
        <w:t xml:space="preserve"> the risk of money laundering.</w:t>
      </w:r>
    </w:p>
    <w:p w14:paraId="68D2CC02" w14:textId="77777777" w:rsidR="00DC336A" w:rsidRPr="00480BE9" w:rsidRDefault="00DC336A" w:rsidP="00DC336A">
      <w:pPr>
        <w:widowControl w:val="0"/>
        <w:autoSpaceDE w:val="0"/>
        <w:autoSpaceDN w:val="0"/>
        <w:adjustRightInd w:val="0"/>
        <w:spacing w:line="480" w:lineRule="auto"/>
        <w:jc w:val="both"/>
        <w:rPr>
          <w:rFonts w:ascii="Times New Roman" w:hAnsi="Times New Roman" w:cs="Times New Roman"/>
        </w:rPr>
      </w:pPr>
    </w:p>
    <w:p w14:paraId="5D867DE8" w14:textId="1E775508" w:rsidR="00B96136" w:rsidRDefault="00DC336A" w:rsidP="00DC336A">
      <w:pPr>
        <w:widowControl w:val="0"/>
        <w:autoSpaceDE w:val="0"/>
        <w:autoSpaceDN w:val="0"/>
        <w:adjustRightInd w:val="0"/>
        <w:spacing w:line="480" w:lineRule="auto"/>
        <w:jc w:val="both"/>
        <w:rPr>
          <w:rFonts w:ascii="Times New Roman" w:hAnsi="Times New Roman" w:cs="Times New Roman"/>
        </w:rPr>
      </w:pPr>
      <w:r w:rsidRPr="00480BE9">
        <w:rPr>
          <w:rFonts w:ascii="Times New Roman" w:hAnsi="Times New Roman" w:cs="Times New Roman"/>
        </w:rPr>
        <w:t xml:space="preserve">The UK’s investment route was consistently more open than its work migration routes – both the high-skilled route and ‘general’ work permits for migrants with a job offer (Tier 2 of the PBS). </w:t>
      </w:r>
      <w:r w:rsidRPr="002864C4">
        <w:rPr>
          <w:rFonts w:ascii="Times New Roman" w:hAnsi="Times New Roman" w:cs="Times New Roman"/>
        </w:rPr>
        <w:t xml:space="preserve">Unlike work migrants, applicants for the investor visa did not need to meet language </w:t>
      </w:r>
      <w:r w:rsidRPr="002864C4">
        <w:rPr>
          <w:rFonts w:ascii="Times New Roman" w:hAnsi="Times New Roman" w:cs="Times New Roman"/>
        </w:rPr>
        <w:lastRenderedPageBreak/>
        <w:t xml:space="preserve">requirements </w:t>
      </w:r>
      <w:r w:rsidR="002864C4" w:rsidRPr="00B96136">
        <w:rPr>
          <w:rFonts w:ascii="Times New Roman" w:hAnsi="Times New Roman" w:cs="Times New Roman"/>
        </w:rPr>
        <w:t>(</w:t>
      </w:r>
      <w:r w:rsidR="00B96136">
        <w:rPr>
          <w:rFonts w:ascii="Times New Roman" w:hAnsi="Times New Roman" w:cs="Times New Roman"/>
        </w:rPr>
        <w:t xml:space="preserve">it was </w:t>
      </w:r>
      <w:r w:rsidR="002864C4" w:rsidRPr="00B96136">
        <w:rPr>
          <w:rFonts w:ascii="Times New Roman" w:hAnsi="Times New Roman" w:cs="Times New Roman"/>
        </w:rPr>
        <w:t xml:space="preserve">one of the only visas exempt from language proficiency requirements) </w:t>
      </w:r>
      <w:r w:rsidR="00F81346">
        <w:rPr>
          <w:rFonts w:ascii="Times New Roman" w:hAnsi="Times New Roman" w:cs="Times New Roman"/>
        </w:rPr>
        <w:t>n</w:t>
      </w:r>
      <w:r w:rsidRPr="002864C4">
        <w:rPr>
          <w:rFonts w:ascii="Times New Roman" w:hAnsi="Times New Roman" w:cs="Times New Roman"/>
        </w:rPr>
        <w:t xml:space="preserve">or </w:t>
      </w:r>
      <w:r w:rsidR="00F81346">
        <w:rPr>
          <w:rFonts w:ascii="Times New Roman" w:hAnsi="Times New Roman" w:cs="Times New Roman"/>
        </w:rPr>
        <w:t xml:space="preserve">did they have to </w:t>
      </w:r>
      <w:r w:rsidRPr="002864C4">
        <w:rPr>
          <w:rFonts w:ascii="Times New Roman" w:hAnsi="Times New Roman" w:cs="Times New Roman"/>
        </w:rPr>
        <w:t>demonstrate a specified level of qualifications</w:t>
      </w:r>
      <w:r w:rsidR="005B5322">
        <w:rPr>
          <w:rFonts w:ascii="Times New Roman" w:hAnsi="Times New Roman" w:cs="Times New Roman"/>
        </w:rPr>
        <w:t xml:space="preserve"> or</w:t>
      </w:r>
      <w:r w:rsidR="00B96136">
        <w:rPr>
          <w:rFonts w:ascii="Times New Roman" w:hAnsi="Times New Roman" w:cs="Times New Roman"/>
        </w:rPr>
        <w:t xml:space="preserve"> </w:t>
      </w:r>
      <w:r w:rsidR="005B5322">
        <w:rPr>
          <w:rFonts w:ascii="Times New Roman" w:hAnsi="Times New Roman" w:cs="Times New Roman"/>
        </w:rPr>
        <w:t>experience</w:t>
      </w:r>
      <w:r w:rsidR="002864C4" w:rsidRPr="00B96136">
        <w:rPr>
          <w:rFonts w:ascii="Times New Roman" w:hAnsi="Times New Roman" w:cs="Times New Roman"/>
        </w:rPr>
        <w:t>. Moreover</w:t>
      </w:r>
      <w:r w:rsidR="00B96136">
        <w:rPr>
          <w:rFonts w:ascii="Times New Roman" w:hAnsi="Times New Roman" w:cs="Times New Roman"/>
        </w:rPr>
        <w:t>,</w:t>
      </w:r>
      <w:r w:rsidRPr="002864C4">
        <w:rPr>
          <w:rFonts w:ascii="Times New Roman" w:hAnsi="Times New Roman" w:cs="Times New Roman"/>
        </w:rPr>
        <w:t xml:space="preserve"> </w:t>
      </w:r>
      <w:r w:rsidR="00B96136">
        <w:rPr>
          <w:rFonts w:ascii="Times New Roman" w:hAnsi="Times New Roman" w:cs="Times New Roman"/>
        </w:rPr>
        <w:t>investor visa-holders’</w:t>
      </w:r>
      <w:r w:rsidRPr="002864C4">
        <w:rPr>
          <w:rFonts w:ascii="Times New Roman" w:hAnsi="Times New Roman" w:cs="Times New Roman"/>
        </w:rPr>
        <w:t xml:space="preserve"> residency rights</w:t>
      </w:r>
      <w:r w:rsidR="002864C4" w:rsidRPr="00B96136">
        <w:rPr>
          <w:rFonts w:ascii="Times New Roman" w:hAnsi="Times New Roman" w:cs="Times New Roman"/>
        </w:rPr>
        <w:t xml:space="preserve"> were more generous</w:t>
      </w:r>
      <w:r w:rsidR="00B96136">
        <w:rPr>
          <w:rFonts w:ascii="Times New Roman" w:hAnsi="Times New Roman" w:cs="Times New Roman"/>
        </w:rPr>
        <w:t>,</w:t>
      </w:r>
      <w:r w:rsidR="002864C4">
        <w:rPr>
          <w:rFonts w:ascii="Times New Roman" w:hAnsi="Times New Roman" w:cs="Times New Roman"/>
        </w:rPr>
        <w:t xml:space="preserve"> including a longer leave period of three years (</w:t>
      </w:r>
      <w:r w:rsidR="00B96136">
        <w:rPr>
          <w:rFonts w:ascii="Times New Roman" w:hAnsi="Times New Roman" w:cs="Times New Roman"/>
        </w:rPr>
        <w:t>compared</w:t>
      </w:r>
      <w:r w:rsidR="002864C4">
        <w:rPr>
          <w:rFonts w:ascii="Times New Roman" w:hAnsi="Times New Roman" w:cs="Times New Roman"/>
        </w:rPr>
        <w:t xml:space="preserve"> to two</w:t>
      </w:r>
      <w:r w:rsidR="00B96136">
        <w:rPr>
          <w:rFonts w:ascii="Times New Roman" w:hAnsi="Times New Roman" w:cs="Times New Roman"/>
        </w:rPr>
        <w:t xml:space="preserve"> years</w:t>
      </w:r>
      <w:r w:rsidR="002864C4">
        <w:rPr>
          <w:rFonts w:ascii="Times New Roman" w:hAnsi="Times New Roman" w:cs="Times New Roman"/>
        </w:rPr>
        <w:t xml:space="preserve"> under</w:t>
      </w:r>
      <w:r w:rsidR="005B5322">
        <w:rPr>
          <w:rFonts w:ascii="Times New Roman" w:hAnsi="Times New Roman" w:cs="Times New Roman"/>
        </w:rPr>
        <w:t xml:space="preserve"> m</w:t>
      </w:r>
      <w:r w:rsidR="00B96136">
        <w:rPr>
          <w:rFonts w:ascii="Times New Roman" w:hAnsi="Times New Roman" w:cs="Times New Roman"/>
        </w:rPr>
        <w:t>ost</w:t>
      </w:r>
      <w:r w:rsidR="002864C4">
        <w:rPr>
          <w:rFonts w:ascii="Times New Roman" w:hAnsi="Times New Roman" w:cs="Times New Roman"/>
        </w:rPr>
        <w:t xml:space="preserve"> work routes),</w:t>
      </w:r>
      <w:r w:rsidR="005B5322">
        <w:rPr>
          <w:rFonts w:ascii="Times New Roman" w:hAnsi="Times New Roman" w:cs="Times New Roman"/>
        </w:rPr>
        <w:t xml:space="preserve"> flexibility to transition to any other visa,</w:t>
      </w:r>
      <w:r w:rsidR="002864C4">
        <w:rPr>
          <w:rFonts w:ascii="Times New Roman" w:hAnsi="Times New Roman" w:cs="Times New Roman"/>
        </w:rPr>
        <w:t xml:space="preserve"> and </w:t>
      </w:r>
      <w:r w:rsidR="00B96136">
        <w:rPr>
          <w:rFonts w:ascii="Times New Roman" w:hAnsi="Times New Roman" w:cs="Times New Roman"/>
        </w:rPr>
        <w:t xml:space="preserve">a </w:t>
      </w:r>
      <w:r w:rsidR="002864C4">
        <w:rPr>
          <w:rFonts w:ascii="Times New Roman" w:hAnsi="Times New Roman" w:cs="Times New Roman"/>
        </w:rPr>
        <w:t>facilitated pathway to settlement</w:t>
      </w:r>
      <w:r w:rsidR="00B96136">
        <w:rPr>
          <w:rFonts w:ascii="Times New Roman" w:hAnsi="Times New Roman" w:cs="Times New Roman"/>
        </w:rPr>
        <w:t>, through which</w:t>
      </w:r>
      <w:r w:rsidR="002864C4">
        <w:rPr>
          <w:rFonts w:ascii="Times New Roman" w:hAnsi="Times New Roman" w:cs="Times New Roman"/>
        </w:rPr>
        <w:t xml:space="preserve"> it was possible to acquire indefinite leave to remain afte</w:t>
      </w:r>
      <w:r w:rsidR="00B96136">
        <w:rPr>
          <w:rFonts w:ascii="Times New Roman" w:hAnsi="Times New Roman" w:cs="Times New Roman"/>
        </w:rPr>
        <w:t>r</w:t>
      </w:r>
      <w:r w:rsidR="002864C4">
        <w:rPr>
          <w:rFonts w:ascii="Times New Roman" w:hAnsi="Times New Roman" w:cs="Times New Roman"/>
        </w:rPr>
        <w:t xml:space="preserve"> two years of continuous residence </w:t>
      </w:r>
      <w:r w:rsidR="00B96136">
        <w:rPr>
          <w:rFonts w:ascii="Times New Roman" w:hAnsi="Times New Roman" w:cs="Times New Roman"/>
        </w:rPr>
        <w:t>compared</w:t>
      </w:r>
      <w:r w:rsidR="002864C4">
        <w:rPr>
          <w:rFonts w:ascii="Times New Roman" w:hAnsi="Times New Roman" w:cs="Times New Roman"/>
        </w:rPr>
        <w:t xml:space="preserve"> to five years </w:t>
      </w:r>
      <w:r w:rsidR="00B96136">
        <w:rPr>
          <w:rFonts w:ascii="Times New Roman" w:hAnsi="Times New Roman" w:cs="Times New Roman"/>
        </w:rPr>
        <w:t>for</w:t>
      </w:r>
      <w:r w:rsidR="002864C4">
        <w:rPr>
          <w:rFonts w:ascii="Times New Roman" w:hAnsi="Times New Roman" w:cs="Times New Roman"/>
        </w:rPr>
        <w:t xml:space="preserve"> the </w:t>
      </w:r>
      <w:r w:rsidR="00B96136">
        <w:rPr>
          <w:rFonts w:ascii="Times New Roman" w:hAnsi="Times New Roman" w:cs="Times New Roman"/>
        </w:rPr>
        <w:t xml:space="preserve">Tier 2 </w:t>
      </w:r>
      <w:r w:rsidR="002864C4">
        <w:rPr>
          <w:rFonts w:ascii="Times New Roman" w:hAnsi="Times New Roman" w:cs="Times New Roman"/>
        </w:rPr>
        <w:t>general work route</w:t>
      </w:r>
      <w:r w:rsidRPr="002864C4">
        <w:rPr>
          <w:rFonts w:ascii="Times New Roman" w:hAnsi="Times New Roman" w:cs="Times New Roman"/>
        </w:rPr>
        <w:t>.</w:t>
      </w:r>
    </w:p>
    <w:p w14:paraId="0104A43B" w14:textId="77777777" w:rsidR="00B96136" w:rsidRDefault="00B96136" w:rsidP="00DC336A">
      <w:pPr>
        <w:widowControl w:val="0"/>
        <w:autoSpaceDE w:val="0"/>
        <w:autoSpaceDN w:val="0"/>
        <w:adjustRightInd w:val="0"/>
        <w:spacing w:line="480" w:lineRule="auto"/>
        <w:jc w:val="both"/>
        <w:rPr>
          <w:rFonts w:ascii="Times New Roman" w:hAnsi="Times New Roman" w:cs="Times New Roman"/>
        </w:rPr>
      </w:pPr>
    </w:p>
    <w:p w14:paraId="79E96601" w14:textId="2102423B" w:rsidR="00DC336A" w:rsidRPr="00480BE9" w:rsidRDefault="00DC336A" w:rsidP="00DC336A">
      <w:pPr>
        <w:widowControl w:val="0"/>
        <w:autoSpaceDE w:val="0"/>
        <w:autoSpaceDN w:val="0"/>
        <w:adjustRightInd w:val="0"/>
        <w:spacing w:line="480" w:lineRule="auto"/>
        <w:jc w:val="both"/>
        <w:rPr>
          <w:rFonts w:ascii="Times New Roman" w:hAnsi="Times New Roman" w:cs="Times New Roman"/>
        </w:rPr>
      </w:pPr>
      <w:r w:rsidRPr="00480BE9">
        <w:rPr>
          <w:rFonts w:ascii="Times New Roman" w:hAnsi="Times New Roman" w:cs="Times New Roman"/>
          <w:i/>
          <w:iCs/>
        </w:rPr>
        <w:t>Figure 2</w:t>
      </w:r>
      <w:r w:rsidRPr="00480BE9">
        <w:rPr>
          <w:rFonts w:ascii="Times New Roman" w:hAnsi="Times New Roman" w:cs="Times New Roman"/>
        </w:rPr>
        <w:t xml:space="preserve"> shows a</w:t>
      </w:r>
      <w:r w:rsidR="00B96136">
        <w:rPr>
          <w:rFonts w:ascii="Times New Roman" w:hAnsi="Times New Roman" w:cs="Times New Roman"/>
        </w:rPr>
        <w:t xml:space="preserve"> considerable and</w:t>
      </w:r>
      <w:r w:rsidRPr="00480BE9">
        <w:rPr>
          <w:rFonts w:ascii="Times New Roman" w:hAnsi="Times New Roman" w:cs="Times New Roman"/>
        </w:rPr>
        <w:t xml:space="preserve"> growing divergence between investment and work migration routes from 2010 onwards, so that by 2016 the discrepancy between investment and work was the largest of any of the countries we analysed. While the UK’s investor route scores lower than either France or Spain, by 2016 the gap between investment and work routes (about 0.4 on the ImPol scale, or 20 percent of total possible variance) was much higher in the UK than elsewhere. Relative to overall immigration policy, then, investment migration enjoyed a</w:t>
      </w:r>
      <w:r w:rsidR="00B96136">
        <w:rPr>
          <w:rFonts w:ascii="Times New Roman" w:hAnsi="Times New Roman" w:cs="Times New Roman"/>
        </w:rPr>
        <w:t>n especially</w:t>
      </w:r>
      <w:r w:rsidRPr="00480BE9">
        <w:rPr>
          <w:rFonts w:ascii="Times New Roman" w:hAnsi="Times New Roman" w:cs="Times New Roman"/>
        </w:rPr>
        <w:t xml:space="preserve"> privileged position in the UK. </w:t>
      </w:r>
    </w:p>
    <w:p w14:paraId="09FB292E" w14:textId="77777777" w:rsidR="00DC336A" w:rsidRPr="00480BE9" w:rsidRDefault="00DC336A" w:rsidP="00DC336A">
      <w:pPr>
        <w:spacing w:line="480" w:lineRule="auto"/>
        <w:jc w:val="both"/>
        <w:rPr>
          <w:rFonts w:ascii="Times New Roman" w:hAnsi="Times New Roman" w:cs="Times New Roman"/>
        </w:rPr>
      </w:pPr>
    </w:p>
    <w:p w14:paraId="03678416" w14:textId="66D85C6F" w:rsidR="00DC336A" w:rsidRPr="00480BE9" w:rsidRDefault="00F81346" w:rsidP="00DC336A">
      <w:pPr>
        <w:widowControl w:val="0"/>
        <w:autoSpaceDE w:val="0"/>
        <w:autoSpaceDN w:val="0"/>
        <w:adjustRightInd w:val="0"/>
        <w:spacing w:line="480" w:lineRule="auto"/>
        <w:jc w:val="both"/>
        <w:rPr>
          <w:rFonts w:ascii="Times New Roman" w:hAnsi="Times New Roman" w:cs="Times New Roman"/>
        </w:rPr>
      </w:pPr>
      <w:r>
        <w:rPr>
          <w:rFonts w:ascii="Times New Roman" w:hAnsi="Times New Roman" w:cs="Times New Roman"/>
        </w:rPr>
        <w:t>T</w:t>
      </w:r>
      <w:r w:rsidR="00DC336A" w:rsidRPr="00480BE9">
        <w:rPr>
          <w:rFonts w:ascii="Times New Roman" w:hAnsi="Times New Roman" w:cs="Times New Roman"/>
        </w:rPr>
        <w:t>he investment routes bucked the overall restrictive immigration policy trend from 2010 onwards. After committing to reduce net migration, the Conservative-led Coalition Government tightened work as well as family and student routes, while the investor scheme was liberalized. As the total number of investor visas was small compared to work, study, and family routes, investment migration had a negligible impact on the overall volume of migration to the UK, so it was not a route that had much effect on the net migration target. Nevertheless, at a time when UK policies for most other kinds of immigration – not only workers, but also international students and family migrants – were being tightened, the investor route became more open.</w:t>
      </w:r>
    </w:p>
    <w:p w14:paraId="3542E036" w14:textId="77777777" w:rsidR="00DC336A" w:rsidRPr="00480BE9" w:rsidRDefault="00DC336A" w:rsidP="00DC336A">
      <w:pPr>
        <w:spacing w:line="480" w:lineRule="auto"/>
        <w:jc w:val="both"/>
        <w:rPr>
          <w:rFonts w:ascii="Times New Roman" w:hAnsi="Times New Roman" w:cs="Times New Roman"/>
        </w:rPr>
      </w:pPr>
    </w:p>
    <w:p w14:paraId="61A05580" w14:textId="2E5C817E"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The UK closed its investor scheme in early 2022. Two factors converged to produce this outcome: growing scepticism among government officials that the investors had significant economic benefits for the UK; and concerns that the route was being used to launder money. </w:t>
      </w:r>
      <w:r w:rsidR="00F81346">
        <w:rPr>
          <w:rFonts w:ascii="Times New Roman" w:hAnsi="Times New Roman" w:cs="Times New Roman"/>
        </w:rPr>
        <w:t>Doubts</w:t>
      </w:r>
      <w:r w:rsidRPr="00480BE9">
        <w:rPr>
          <w:rFonts w:ascii="Times New Roman" w:hAnsi="Times New Roman" w:cs="Times New Roman"/>
        </w:rPr>
        <w:t xml:space="preserve"> about its economic benefits were publicly voiced in 2014 by the government’s own Migration Advisory Committee (MAC), in a report analysing the economic impacts of the Tier 1 (Investor) route. The MAC concluded that ‘we are sceptical that the route, as currently constituted, does deliver significant economic benefits’ (MAC, 2014: 89). The MAC acknowledged that there may be other benefits, such as signaling openness of the UK to ‘high net worth individuals’, and it did not advocate closure, but recommended reforms including raising the minimum investment threshold to £2 million.</w:t>
      </w:r>
      <w:r w:rsidRPr="00480BE9">
        <w:rPr>
          <w:rStyle w:val="EndnoteReference"/>
          <w:rFonts w:ascii="Times New Roman" w:hAnsi="Times New Roman" w:cs="Times New Roman"/>
        </w:rPr>
        <w:endnoteReference w:id="5"/>
      </w:r>
      <w:r w:rsidRPr="00480BE9">
        <w:rPr>
          <w:rFonts w:ascii="Times New Roman" w:hAnsi="Times New Roman" w:cs="Times New Roman"/>
        </w:rPr>
        <w:t xml:space="preserve"> The overall tone of the report was undoubtedly sceptical, and coming from the government’s own advisory committee, it put the economic case for the visa on shaky ground.</w:t>
      </w:r>
    </w:p>
    <w:p w14:paraId="5EFD0031" w14:textId="77777777" w:rsidR="00DC336A" w:rsidRPr="00480BE9" w:rsidRDefault="00DC336A" w:rsidP="00DC336A">
      <w:pPr>
        <w:spacing w:line="480" w:lineRule="auto"/>
        <w:jc w:val="both"/>
        <w:rPr>
          <w:rFonts w:ascii="Times New Roman" w:hAnsi="Times New Roman" w:cs="Times New Roman"/>
        </w:rPr>
      </w:pPr>
    </w:p>
    <w:p w14:paraId="2AFD38D6"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While the MAC report had thrown doubt on the economic benefits of the Tier 1 Investor visa, there were separate concerns – outside the committee’s purview – that the scheme was open to abuse by wealthy individuals with questionable motives and backgrounds. As media scrutiny of money flows through the ‘London laundromat’ intensified, and as allegations of Russian interference in politics mounted after the Brexit referendum, a Home Office audit of the investor visa scheme was begun in 2018. In July 2020, a report by the Intelligence and Security Committee of the House of Commons on Russian influence in the UK expressed concern that Britain had been ‘welcoming oligarchs with open arms’ and that ‘Londongrad’ had become the city of choice for both money and reputation laundering. The Committee found that ‘exploitation’ of the Tier 1 Investor visa was ‘the key to London’s appeal’ (Intelligence and Security Committee 2020: 15).</w:t>
      </w:r>
    </w:p>
    <w:p w14:paraId="4F7A25D6" w14:textId="77777777" w:rsidR="00DC336A" w:rsidRPr="00480BE9" w:rsidRDefault="00DC336A" w:rsidP="00DC336A">
      <w:pPr>
        <w:spacing w:line="480" w:lineRule="auto"/>
        <w:jc w:val="both"/>
        <w:rPr>
          <w:rFonts w:ascii="Times New Roman" w:hAnsi="Times New Roman" w:cs="Times New Roman"/>
        </w:rPr>
      </w:pPr>
    </w:p>
    <w:p w14:paraId="1C0A5025" w14:textId="5B6AC255"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As pressure built on the government to cut ties with Russia in the build-up to the invasion of Ukraine, the then Home Secretary, Priti Patel, announced the closure of the investor route with immediate effect in February 2022, claiming that it ‘had failed to deliver for the UK people and gave opportunities for corrupt elites to enter the UK’ (quoted in BBC 2022). In a written statement made on 12 January 2023, the new Home Secretary, Suella Braverman, reported that a review of the investor route had identified ‘a small minority of individuals connected to the Tier 1 (Investor) visa route that were potentially at high risk of having obtained wealth through either corruption or other illicit financial activity, and/or being engaged in serious and organized crime’. In language unthinkable a few years earlier, the Home Secretary stated that ‘kleptocracies such as Russia’, should not be able to ‘act with impunity overseas’. Any future scheme </w:t>
      </w:r>
      <w:r w:rsidR="00F81346">
        <w:rPr>
          <w:rFonts w:ascii="Times New Roman" w:hAnsi="Times New Roman" w:cs="Times New Roman"/>
        </w:rPr>
        <w:t>w</w:t>
      </w:r>
      <w:r w:rsidRPr="00480BE9">
        <w:rPr>
          <w:rFonts w:ascii="Times New Roman" w:hAnsi="Times New Roman" w:cs="Times New Roman"/>
        </w:rPr>
        <w:t>ould not be based on passive investment and ‘must not offer entry solely on the basis of the applicant’s personal wealth’ (House of</w:t>
      </w:r>
      <w:r>
        <w:rPr>
          <w:rFonts w:ascii="Times New Roman" w:hAnsi="Times New Roman" w:cs="Times New Roman"/>
        </w:rPr>
        <w:t xml:space="preserve"> Commons</w:t>
      </w:r>
      <w:r w:rsidRPr="00480BE9">
        <w:rPr>
          <w:rFonts w:ascii="Times New Roman" w:hAnsi="Times New Roman" w:cs="Times New Roman"/>
        </w:rPr>
        <w:t xml:space="preserve"> 2023).</w:t>
      </w:r>
    </w:p>
    <w:p w14:paraId="52B16745" w14:textId="77777777" w:rsidR="00DC336A" w:rsidRPr="00480BE9" w:rsidRDefault="00DC336A" w:rsidP="00DC336A">
      <w:pPr>
        <w:spacing w:line="480" w:lineRule="auto"/>
        <w:jc w:val="both"/>
        <w:rPr>
          <w:rFonts w:ascii="Times New Roman" w:hAnsi="Times New Roman" w:cs="Times New Roman"/>
        </w:rPr>
      </w:pPr>
    </w:p>
    <w:p w14:paraId="7AD39502" w14:textId="01367BF2" w:rsidR="00DC336A" w:rsidRPr="00480BE9" w:rsidRDefault="00FC2DE0" w:rsidP="00DC336A">
      <w:pPr>
        <w:spacing w:line="480" w:lineRule="auto"/>
        <w:rPr>
          <w:rFonts w:ascii="Times New Roman" w:hAnsi="Times New Roman" w:cs="Times New Roman"/>
          <w:b/>
          <w:bCs/>
          <w:i/>
        </w:rPr>
      </w:pPr>
      <w:r>
        <w:rPr>
          <w:rFonts w:ascii="Times New Roman" w:hAnsi="Times New Roman" w:cs="Times New Roman"/>
          <w:b/>
          <w:bCs/>
          <w:i/>
        </w:rPr>
        <w:t xml:space="preserve">‘Entrepreneur is the new France’: </w:t>
      </w:r>
      <w:r w:rsidR="00DC336A" w:rsidRPr="00480BE9">
        <w:rPr>
          <w:rFonts w:ascii="Times New Roman" w:hAnsi="Times New Roman" w:cs="Times New Roman"/>
          <w:b/>
          <w:bCs/>
          <w:i/>
        </w:rPr>
        <w:t>investors as agents of economic liberalization</w:t>
      </w:r>
    </w:p>
    <w:p w14:paraId="220870DA" w14:textId="07BA3349" w:rsidR="00DC336A" w:rsidRPr="00480BE9" w:rsidRDefault="00DC336A" w:rsidP="00DC336A">
      <w:pPr>
        <w:shd w:val="clear" w:color="auto" w:fill="FFFFFF"/>
        <w:spacing w:before="100" w:beforeAutospacing="1" w:after="100" w:afterAutospacing="1" w:line="480" w:lineRule="auto"/>
        <w:jc w:val="both"/>
        <w:rPr>
          <w:rFonts w:ascii="Times New Roman" w:eastAsia="Times New Roman" w:hAnsi="Times New Roman" w:cs="Times New Roman"/>
          <w:lang w:val="en-GB"/>
        </w:rPr>
      </w:pPr>
      <w:r w:rsidRPr="00480BE9">
        <w:rPr>
          <w:rFonts w:ascii="Times New Roman" w:hAnsi="Times New Roman" w:cs="Times New Roman"/>
        </w:rPr>
        <w:t xml:space="preserve">The French residence-by-investment scheme has, thus far, escaped the kind of political controversy seen in the UK. The first investor visa was introduced in 2008 during the wave of wealth-based immigration programmes following the financial crisis. The Exceptional Economic Contribution (EEC) Residence Permit was a business investment programme, with applicants required to invest a minimum of €10 million in fixed assets in the private sector or to create or ‘protect’ at least 50 jobs in France. </w:t>
      </w:r>
      <w:r w:rsidRPr="00480BE9">
        <w:rPr>
          <w:rFonts w:ascii="Times New Roman" w:eastAsiaTheme="minorEastAsia" w:hAnsi="Times New Roman" w:cs="Times New Roman"/>
          <w:lang w:val="en-GB"/>
        </w:rPr>
        <w:t>Direct investments included </w:t>
      </w:r>
      <w:r w:rsidRPr="00480BE9">
        <w:rPr>
          <w:rFonts w:ascii="Times New Roman" w:eastAsiaTheme="minorEastAsia" w:hAnsi="Times New Roman" w:cs="Times New Roman"/>
          <w:bCs/>
          <w:lang w:val="en-GB"/>
        </w:rPr>
        <w:t>share capital investments, reinvested earnings or ‘loans between affiliated companies’ (European Commission 2019b: 2)</w:t>
      </w:r>
      <w:r w:rsidRPr="00480BE9">
        <w:rPr>
          <w:rFonts w:ascii="Times New Roman" w:eastAsiaTheme="minorEastAsia" w:hAnsi="Times New Roman" w:cs="Times New Roman"/>
          <w:lang w:val="en-GB"/>
        </w:rPr>
        <w:t xml:space="preserve">; exclusively financial investments were outside the scope of the scheme. </w:t>
      </w:r>
      <w:r w:rsidRPr="00480BE9">
        <w:rPr>
          <w:rFonts w:ascii="Times New Roman" w:eastAsia="Times New Roman" w:hAnsi="Times New Roman" w:cs="Times New Roman"/>
          <w:lang w:val="en-GB"/>
        </w:rPr>
        <w:t>EEC permit holders were granted 10 years</w:t>
      </w:r>
      <w:r w:rsidR="00FC2DE0">
        <w:rPr>
          <w:rFonts w:ascii="Times New Roman" w:eastAsia="Times New Roman" w:hAnsi="Times New Roman" w:cs="Times New Roman"/>
          <w:lang w:val="en-GB"/>
        </w:rPr>
        <w:t>’</w:t>
      </w:r>
      <w:r w:rsidRPr="00480BE9">
        <w:rPr>
          <w:rFonts w:ascii="Times New Roman" w:eastAsia="Times New Roman" w:hAnsi="Times New Roman" w:cs="Times New Roman"/>
          <w:lang w:val="en-GB"/>
        </w:rPr>
        <w:t xml:space="preserve"> residency, which was renewable subject </w:t>
      </w:r>
      <w:r w:rsidRPr="00480BE9">
        <w:rPr>
          <w:rFonts w:ascii="Times New Roman" w:eastAsia="Times New Roman" w:hAnsi="Times New Roman" w:cs="Times New Roman"/>
          <w:lang w:val="en-GB"/>
        </w:rPr>
        <w:lastRenderedPageBreak/>
        <w:t xml:space="preserve">to continuing to meet the investment conditions. Permit holders were eligible for permanent residency after five years. Family dependants could accompany the permit holder and </w:t>
      </w:r>
      <w:r w:rsidR="00FC2DE0">
        <w:rPr>
          <w:rFonts w:ascii="Times New Roman" w:eastAsia="Times New Roman" w:hAnsi="Times New Roman" w:cs="Times New Roman"/>
          <w:lang w:val="en-GB"/>
        </w:rPr>
        <w:t>had</w:t>
      </w:r>
      <w:r w:rsidRPr="00480BE9">
        <w:rPr>
          <w:rFonts w:ascii="Times New Roman" w:eastAsia="Times New Roman" w:hAnsi="Times New Roman" w:cs="Times New Roman"/>
          <w:lang w:val="en-GB"/>
        </w:rPr>
        <w:t xml:space="preserve"> unrestricted access to the labour market.</w:t>
      </w:r>
    </w:p>
    <w:p w14:paraId="38DE303D" w14:textId="77777777" w:rsidR="00DC336A" w:rsidRPr="00480BE9" w:rsidRDefault="00DC336A" w:rsidP="00DC336A">
      <w:pPr>
        <w:shd w:val="clear" w:color="auto" w:fill="FFFFFF"/>
        <w:spacing w:before="100" w:beforeAutospacing="1" w:after="100" w:afterAutospacing="1" w:line="480" w:lineRule="auto"/>
        <w:jc w:val="both"/>
        <w:rPr>
          <w:rFonts w:ascii="Times New Roman" w:eastAsia="Times New Roman" w:hAnsi="Times New Roman" w:cs="Times New Roman"/>
          <w:lang w:val="en-GB"/>
        </w:rPr>
      </w:pPr>
    </w:p>
    <w:p w14:paraId="3EED7438" w14:textId="2E629709" w:rsidR="00DC336A" w:rsidRPr="00480BE9" w:rsidRDefault="00FE238E" w:rsidP="00DC336A">
      <w:pPr>
        <w:spacing w:before="100" w:beforeAutospacing="1" w:after="100" w:afterAutospacing="1" w:line="480" w:lineRule="auto"/>
        <w:jc w:val="both"/>
        <w:textAlignment w:val="baseline"/>
        <w:rPr>
          <w:rFonts w:ascii="Times New Roman" w:eastAsiaTheme="minorEastAsia" w:hAnsi="Times New Roman" w:cs="Times New Roman"/>
          <w:lang w:val="en-GB"/>
        </w:rPr>
      </w:pPr>
      <w:r>
        <w:rPr>
          <w:rFonts w:ascii="Times New Roman" w:eastAsia="Times New Roman" w:hAnsi="Times New Roman" w:cs="Times New Roman"/>
          <w:lang w:val="en-GB"/>
        </w:rPr>
        <w:t xml:space="preserve">The EEC permit was </w:t>
      </w:r>
      <w:r w:rsidR="00FC2DE0">
        <w:rPr>
          <w:rFonts w:ascii="Times New Roman" w:eastAsia="Times New Roman" w:hAnsi="Times New Roman" w:cs="Times New Roman"/>
          <w:lang w:val="en-GB"/>
        </w:rPr>
        <w:t>at first spectacularly</w:t>
      </w:r>
      <w:r>
        <w:rPr>
          <w:rFonts w:ascii="Times New Roman" w:eastAsia="Times New Roman" w:hAnsi="Times New Roman" w:cs="Times New Roman"/>
          <w:lang w:val="en-GB"/>
        </w:rPr>
        <w:t xml:space="preserve"> </w:t>
      </w:r>
      <w:r w:rsidR="00683733">
        <w:rPr>
          <w:rFonts w:ascii="Times New Roman" w:eastAsia="Times New Roman" w:hAnsi="Times New Roman" w:cs="Times New Roman"/>
          <w:lang w:val="en-GB"/>
        </w:rPr>
        <w:t>un</w:t>
      </w:r>
      <w:r>
        <w:rPr>
          <w:rFonts w:ascii="Times New Roman" w:eastAsia="Times New Roman" w:hAnsi="Times New Roman" w:cs="Times New Roman"/>
          <w:lang w:val="en-GB"/>
        </w:rPr>
        <w:t>successful</w:t>
      </w:r>
      <w:r w:rsidR="00FC2DE0">
        <w:rPr>
          <w:rFonts w:ascii="Times New Roman" w:eastAsia="Times New Roman" w:hAnsi="Times New Roman" w:cs="Times New Roman"/>
          <w:lang w:val="en-GB"/>
        </w:rPr>
        <w:t>,</w:t>
      </w:r>
      <w:r>
        <w:rPr>
          <w:rFonts w:ascii="Times New Roman" w:eastAsia="Times New Roman" w:hAnsi="Times New Roman" w:cs="Times New Roman"/>
          <w:lang w:val="en-GB"/>
        </w:rPr>
        <w:t xml:space="preserve"> </w:t>
      </w:r>
      <w:r w:rsidR="00683733">
        <w:rPr>
          <w:rFonts w:ascii="Times New Roman" w:eastAsia="Times New Roman" w:hAnsi="Times New Roman" w:cs="Times New Roman"/>
          <w:lang w:val="en-GB"/>
        </w:rPr>
        <w:t xml:space="preserve">with </w:t>
      </w:r>
      <w:r w:rsidR="00DC336A" w:rsidRPr="00480BE9">
        <w:rPr>
          <w:rFonts w:ascii="Times New Roman" w:eastAsia="Times New Roman" w:hAnsi="Times New Roman" w:cs="Times New Roman"/>
          <w:lang w:val="en-GB"/>
        </w:rPr>
        <w:t xml:space="preserve">a total of </w:t>
      </w:r>
      <w:r w:rsidR="00683733">
        <w:rPr>
          <w:rFonts w:ascii="Times New Roman" w:eastAsia="Times New Roman" w:hAnsi="Times New Roman" w:cs="Times New Roman"/>
          <w:lang w:val="en-GB"/>
        </w:rPr>
        <w:t>just</w:t>
      </w:r>
      <w:r w:rsidR="00DC336A" w:rsidRPr="00480BE9">
        <w:rPr>
          <w:rFonts w:ascii="Times New Roman" w:eastAsia="Times New Roman" w:hAnsi="Times New Roman" w:cs="Times New Roman"/>
          <w:lang w:val="en-GB"/>
        </w:rPr>
        <w:t xml:space="preserve"> </w:t>
      </w:r>
      <w:r w:rsidR="00DC336A" w:rsidRPr="00480BE9">
        <w:rPr>
          <w:rFonts w:ascii="Times New Roman" w:hAnsi="Times New Roman" w:cs="Times New Roman"/>
        </w:rPr>
        <w:t xml:space="preserve">nine applications between 2010 and 2013, likely </w:t>
      </w:r>
      <w:r w:rsidR="00DC336A" w:rsidRPr="00480BE9">
        <w:rPr>
          <w:rFonts w:ascii="Times New Roman" w:eastAsia="Times New Roman" w:hAnsi="Times New Roman" w:cs="Times New Roman"/>
          <w:lang w:val="en-GB"/>
        </w:rPr>
        <w:t>due to the high level of required investment (Sumption and Hooper 2014: 19)</w:t>
      </w:r>
      <w:r>
        <w:rPr>
          <w:rFonts w:ascii="Times New Roman" w:eastAsia="Times New Roman" w:hAnsi="Times New Roman" w:cs="Times New Roman"/>
          <w:lang w:val="en-GB"/>
        </w:rPr>
        <w:t>.</w:t>
      </w:r>
      <w:r w:rsidR="00DC336A" w:rsidRPr="00480BE9">
        <w:rPr>
          <w:rFonts w:ascii="Times New Roman" w:hAnsi="Times New Roman" w:cs="Times New Roman"/>
        </w:rPr>
        <w:t xml:space="preserve"> In </w:t>
      </w:r>
      <w:r w:rsidR="00683733">
        <w:rPr>
          <w:rFonts w:ascii="Times New Roman" w:hAnsi="Times New Roman" w:cs="Times New Roman"/>
        </w:rPr>
        <w:t>2017, t</w:t>
      </w:r>
      <w:r w:rsidR="00DC336A" w:rsidRPr="00480BE9">
        <w:rPr>
          <w:rFonts w:ascii="Times New Roman" w:hAnsi="Times New Roman" w:cs="Times New Roman"/>
        </w:rPr>
        <w:t xml:space="preserve">he EEC permit was replaced with the Business Investor </w:t>
      </w:r>
      <w:r w:rsidR="00683733">
        <w:rPr>
          <w:rFonts w:ascii="Times New Roman" w:hAnsi="Times New Roman" w:cs="Times New Roman"/>
        </w:rPr>
        <w:t>p</w:t>
      </w:r>
      <w:r w:rsidR="00DC336A" w:rsidRPr="00480BE9">
        <w:rPr>
          <w:rFonts w:ascii="Times New Roman" w:hAnsi="Times New Roman" w:cs="Times New Roman"/>
        </w:rPr>
        <w:t xml:space="preserve">ermit, with a much lower investment threshold of €300,000. The </w:t>
      </w:r>
      <w:r w:rsidR="00683733">
        <w:rPr>
          <w:rFonts w:ascii="Times New Roman" w:hAnsi="Times New Roman" w:cs="Times New Roman"/>
        </w:rPr>
        <w:t>new</w:t>
      </w:r>
      <w:r w:rsidR="00DC336A" w:rsidRPr="00480BE9">
        <w:rPr>
          <w:rFonts w:ascii="Times New Roman" w:hAnsi="Times New Roman" w:cs="Times New Roman"/>
        </w:rPr>
        <w:t xml:space="preserve"> </w:t>
      </w:r>
      <w:r w:rsidR="00683733">
        <w:rPr>
          <w:rFonts w:ascii="Times New Roman" w:hAnsi="Times New Roman" w:cs="Times New Roman"/>
        </w:rPr>
        <w:t>scheme</w:t>
      </w:r>
      <w:r w:rsidR="00DC336A" w:rsidRPr="00480BE9">
        <w:rPr>
          <w:rFonts w:ascii="Times New Roman" w:hAnsi="Times New Roman" w:cs="Times New Roman"/>
        </w:rPr>
        <w:t xml:space="preserve"> was part of a set of initiatives variously </w:t>
      </w:r>
      <w:r w:rsidR="00DC336A" w:rsidRPr="00480BE9">
        <w:rPr>
          <w:rFonts w:ascii="Times New Roman" w:eastAsiaTheme="minorEastAsia" w:hAnsi="Times New Roman" w:cs="Times New Roman"/>
          <w:lang w:val="en-GB"/>
        </w:rPr>
        <w:t xml:space="preserve">dubbed as ‘French Tech’ or ‘Talent Passports’, designed to encourage skilled professionals and entrepreneurs to migrate to France. While the investment threshold </w:t>
      </w:r>
      <w:r w:rsidR="00683733">
        <w:rPr>
          <w:rFonts w:ascii="Times New Roman" w:eastAsiaTheme="minorEastAsia" w:hAnsi="Times New Roman" w:cs="Times New Roman"/>
          <w:lang w:val="en-GB"/>
        </w:rPr>
        <w:t>was</w:t>
      </w:r>
      <w:r w:rsidR="00DC336A" w:rsidRPr="00480BE9">
        <w:rPr>
          <w:rFonts w:ascii="Times New Roman" w:eastAsiaTheme="minorEastAsia" w:hAnsi="Times New Roman" w:cs="Times New Roman"/>
          <w:lang w:val="en-GB"/>
        </w:rPr>
        <w:t xml:space="preserve"> reduced, the Business Investor permit ha</w:t>
      </w:r>
      <w:r w:rsidR="00DB3E13">
        <w:rPr>
          <w:rFonts w:ascii="Times New Roman" w:eastAsiaTheme="minorEastAsia" w:hAnsi="Times New Roman" w:cs="Times New Roman"/>
          <w:lang w:val="en-GB"/>
        </w:rPr>
        <w:t>s</w:t>
      </w:r>
      <w:r w:rsidR="00DC336A" w:rsidRPr="00480BE9">
        <w:rPr>
          <w:rFonts w:ascii="Times New Roman" w:eastAsiaTheme="minorEastAsia" w:hAnsi="Times New Roman" w:cs="Times New Roman"/>
          <w:lang w:val="en-GB"/>
        </w:rPr>
        <w:t xml:space="preserve"> broadly the same eligibility criteria as the previous EEC permit and </w:t>
      </w:r>
      <w:r w:rsidR="00683733">
        <w:rPr>
          <w:rFonts w:ascii="Times New Roman" w:eastAsiaTheme="minorEastAsia" w:hAnsi="Times New Roman" w:cs="Times New Roman"/>
          <w:lang w:val="en-GB"/>
        </w:rPr>
        <w:t xml:space="preserve">carries </w:t>
      </w:r>
      <w:r w:rsidR="00DC336A" w:rsidRPr="00480BE9">
        <w:rPr>
          <w:rFonts w:ascii="Times New Roman" w:eastAsiaTheme="minorEastAsia" w:hAnsi="Times New Roman" w:cs="Times New Roman"/>
          <w:lang w:val="en-GB"/>
        </w:rPr>
        <w:t>the same residency rights.</w:t>
      </w:r>
      <w:r w:rsidR="00E479E4">
        <w:rPr>
          <w:rFonts w:ascii="Times New Roman" w:eastAsiaTheme="minorEastAsia" w:hAnsi="Times New Roman" w:cs="Times New Roman"/>
          <w:lang w:val="en-GB"/>
        </w:rPr>
        <w:t xml:space="preserve"> </w:t>
      </w:r>
      <w:r w:rsidR="00683733">
        <w:rPr>
          <w:rFonts w:ascii="Times New Roman" w:eastAsiaTheme="minorEastAsia" w:hAnsi="Times New Roman" w:cs="Times New Roman"/>
          <w:lang w:val="en-GB"/>
        </w:rPr>
        <w:t>The effect on applications was</w:t>
      </w:r>
      <w:r w:rsidR="00FC2DE0">
        <w:rPr>
          <w:rFonts w:ascii="Times New Roman" w:eastAsiaTheme="minorEastAsia" w:hAnsi="Times New Roman" w:cs="Times New Roman"/>
          <w:lang w:val="en-GB"/>
        </w:rPr>
        <w:t>, however,</w:t>
      </w:r>
      <w:r w:rsidR="00683733">
        <w:rPr>
          <w:rFonts w:ascii="Times New Roman" w:eastAsiaTheme="minorEastAsia" w:hAnsi="Times New Roman" w:cs="Times New Roman"/>
          <w:lang w:val="en-GB"/>
        </w:rPr>
        <w:t xml:space="preserve"> modest: </w:t>
      </w:r>
      <w:r w:rsidR="00683733">
        <w:rPr>
          <w:rFonts w:ascii="Times New Roman" w:hAnsi="Times New Roman" w:cs="Times New Roman"/>
          <w:lang w:val="en-GB"/>
        </w:rPr>
        <w:t>o</w:t>
      </w:r>
      <w:r w:rsidR="00E479E4" w:rsidRPr="00683733">
        <w:rPr>
          <w:rFonts w:ascii="Times New Roman" w:hAnsi="Times New Roman" w:cs="Times New Roman"/>
          <w:lang w:val="en-GB"/>
        </w:rPr>
        <w:t>nly 29 residence permits were issued to investors in 2017</w:t>
      </w:r>
      <w:r w:rsidR="00DB3E13">
        <w:rPr>
          <w:rFonts w:ascii="Times New Roman" w:hAnsi="Times New Roman" w:cs="Times New Roman"/>
          <w:lang w:val="en-GB"/>
        </w:rPr>
        <w:t>, generating about</w:t>
      </w:r>
      <w:r w:rsidR="009D6822" w:rsidRPr="00683733">
        <w:rPr>
          <w:rFonts w:ascii="Times New Roman" w:hAnsi="Times New Roman" w:cs="Times New Roman"/>
          <w:lang w:val="en-GB"/>
        </w:rPr>
        <w:t xml:space="preserve"> </w:t>
      </w:r>
      <w:r w:rsidR="00DB3E13">
        <w:rPr>
          <w:rFonts w:ascii="Times New Roman" w:hAnsi="Times New Roman" w:cs="Times New Roman"/>
          <w:lang w:val="en-GB"/>
        </w:rPr>
        <w:t>€</w:t>
      </w:r>
      <w:r w:rsidR="009D6822" w:rsidRPr="00683733">
        <w:rPr>
          <w:rFonts w:ascii="Times New Roman" w:hAnsi="Times New Roman" w:cs="Times New Roman"/>
          <w:lang w:val="en-GB"/>
        </w:rPr>
        <w:t>9</w:t>
      </w:r>
      <w:r w:rsidR="00FC2DE0">
        <w:rPr>
          <w:rFonts w:ascii="Times New Roman" w:hAnsi="Times New Roman" w:cs="Times New Roman"/>
          <w:lang w:val="en-GB"/>
        </w:rPr>
        <w:t xml:space="preserve"> </w:t>
      </w:r>
      <w:r w:rsidR="009D6822" w:rsidRPr="00683733">
        <w:rPr>
          <w:rFonts w:ascii="Times New Roman" w:hAnsi="Times New Roman" w:cs="Times New Roman"/>
          <w:lang w:val="en-GB"/>
        </w:rPr>
        <w:t>million</w:t>
      </w:r>
      <w:r w:rsidR="00DB3E13">
        <w:rPr>
          <w:rFonts w:ascii="Times New Roman" w:hAnsi="Times New Roman" w:cs="Times New Roman"/>
          <w:lang w:val="en-GB"/>
        </w:rPr>
        <w:t xml:space="preserve"> </w:t>
      </w:r>
      <w:r w:rsidR="00FC2DE0">
        <w:rPr>
          <w:rFonts w:ascii="Times New Roman" w:hAnsi="Times New Roman" w:cs="Times New Roman"/>
          <w:lang w:val="en-GB"/>
        </w:rPr>
        <w:t xml:space="preserve">of </w:t>
      </w:r>
      <w:r w:rsidR="00DB3E13">
        <w:rPr>
          <w:rFonts w:ascii="Times New Roman" w:hAnsi="Times New Roman" w:cs="Times New Roman"/>
          <w:lang w:val="en-GB"/>
        </w:rPr>
        <w:t>inward investment</w:t>
      </w:r>
      <w:r w:rsidR="009D6822" w:rsidRPr="00683733">
        <w:rPr>
          <w:rFonts w:ascii="Times New Roman" w:hAnsi="Times New Roman" w:cs="Times New Roman"/>
          <w:lang w:val="en-GB"/>
        </w:rPr>
        <w:t xml:space="preserve"> (Commission 2019b).</w:t>
      </w:r>
      <w:r w:rsidR="009D6822">
        <w:rPr>
          <w:lang w:val="en-GB"/>
        </w:rPr>
        <w:t xml:space="preserve"> </w:t>
      </w:r>
    </w:p>
    <w:p w14:paraId="36905CF0" w14:textId="77777777" w:rsidR="00DC336A" w:rsidRPr="00480BE9" w:rsidRDefault="00DC336A" w:rsidP="00DC336A">
      <w:pPr>
        <w:spacing w:before="100" w:beforeAutospacing="1" w:after="100" w:afterAutospacing="1" w:line="480" w:lineRule="auto"/>
        <w:jc w:val="center"/>
        <w:textAlignment w:val="baseline"/>
        <w:rPr>
          <w:rFonts w:ascii="Times New Roman" w:eastAsia="Times New Roman" w:hAnsi="Times New Roman" w:cs="Times New Roman"/>
          <w:lang w:val="en-GB"/>
        </w:rPr>
      </w:pPr>
      <w:r w:rsidRPr="00480BE9">
        <w:rPr>
          <w:rFonts w:ascii="Times New Roman" w:eastAsiaTheme="minorEastAsia" w:hAnsi="Times New Roman" w:cs="Times New Roman"/>
          <w:lang w:val="en-GB"/>
        </w:rPr>
        <w:t>FIGURE 3: France 1990-2016, Investor, General and High Skilled HERE</w:t>
      </w:r>
    </w:p>
    <w:p w14:paraId="5B4A3FCC" w14:textId="77777777" w:rsidR="00DC336A" w:rsidRPr="00480BE9" w:rsidRDefault="00DC336A" w:rsidP="00DC336A">
      <w:pPr>
        <w:spacing w:line="480" w:lineRule="auto"/>
        <w:jc w:val="both"/>
        <w:rPr>
          <w:rFonts w:ascii="Times New Roman" w:hAnsi="Times New Roman" w:cs="Times New Roman"/>
        </w:rPr>
      </w:pPr>
    </w:p>
    <w:p w14:paraId="4A7E626E" w14:textId="05B081D3" w:rsidR="00DC336A" w:rsidRPr="00480BE9" w:rsidRDefault="00DB3E13" w:rsidP="00DC336A">
      <w:pPr>
        <w:spacing w:line="480" w:lineRule="auto"/>
        <w:jc w:val="both"/>
        <w:rPr>
          <w:rFonts w:ascii="Times New Roman" w:hAnsi="Times New Roman" w:cs="Times New Roman"/>
        </w:rPr>
      </w:pPr>
      <w:r>
        <w:rPr>
          <w:rFonts w:ascii="Times New Roman" w:hAnsi="Times New Roman" w:cs="Times New Roman"/>
        </w:rPr>
        <w:t xml:space="preserve">Yet </w:t>
      </w:r>
      <w:r w:rsidR="00DC336A" w:rsidRPr="00480BE9">
        <w:rPr>
          <w:rFonts w:ascii="Times New Roman" w:hAnsi="Times New Roman" w:cs="Times New Roman"/>
        </w:rPr>
        <w:t>France’s investor route is the most generous of our three cases (see Figure 1), particularly in terms of in-country rights</w:t>
      </w:r>
      <w:r w:rsidR="00DC336A" w:rsidRPr="000124FC">
        <w:rPr>
          <w:rFonts w:ascii="Times New Roman" w:hAnsi="Times New Roman" w:cs="Times New Roman"/>
        </w:rPr>
        <w:t xml:space="preserve">. The permit </w:t>
      </w:r>
      <w:r w:rsidR="00DC336A" w:rsidRPr="007C54BE">
        <w:rPr>
          <w:rFonts w:ascii="Times New Roman" w:eastAsia="Times New Roman" w:hAnsi="Times New Roman" w:cs="Times New Roman"/>
          <w:lang w:val="en-GB"/>
        </w:rPr>
        <w:t xml:space="preserve">did not require continuous physical residence </w:t>
      </w:r>
      <w:r w:rsidR="00DC336A" w:rsidRPr="007C54BE">
        <w:rPr>
          <w:rFonts w:ascii="Times New Roman" w:hAnsi="Times New Roman" w:cs="Times New Roman"/>
        </w:rPr>
        <w:t>and allowed holders to leave and return to France without having to re-apply for a permit.</w:t>
      </w:r>
      <w:r w:rsidR="00DC336A" w:rsidRPr="000124FC">
        <w:rPr>
          <w:rStyle w:val="EndnoteReference"/>
          <w:rFonts w:ascii="Times New Roman" w:hAnsi="Times New Roman" w:cs="Times New Roman"/>
        </w:rPr>
        <w:endnoteReference w:id="6"/>
      </w:r>
      <w:r w:rsidR="000124FC" w:rsidRPr="00F95DDD">
        <w:rPr>
          <w:rFonts w:ascii="Times New Roman" w:hAnsi="Times New Roman" w:cs="Times New Roman"/>
        </w:rPr>
        <w:t xml:space="preserve"> </w:t>
      </w:r>
      <w:r w:rsidR="000124FC" w:rsidRPr="000124FC">
        <w:rPr>
          <w:rFonts w:ascii="Times New Roman" w:hAnsi="Times New Roman" w:cs="Times New Roman"/>
        </w:rPr>
        <w:t>Éric</w:t>
      </w:r>
      <w:r w:rsidR="000124FC" w:rsidRPr="000124FC">
        <w:rPr>
          <w:rFonts w:ascii="Times New Roman" w:hAnsi="Times New Roman" w:cs="Times New Roman"/>
          <w:bCs/>
          <w:lang w:val="en-GB"/>
        </w:rPr>
        <w:t xml:space="preserve"> Besson, then Minister of Immigration</w:t>
      </w:r>
      <w:r w:rsidR="00F95DDD">
        <w:rPr>
          <w:rFonts w:ascii="Times New Roman" w:hAnsi="Times New Roman" w:cs="Times New Roman"/>
          <w:bCs/>
          <w:lang w:val="en-GB"/>
        </w:rPr>
        <w:t>,</w:t>
      </w:r>
      <w:r w:rsidR="000124FC" w:rsidRPr="00F95DDD">
        <w:rPr>
          <w:rFonts w:ascii="Times New Roman" w:hAnsi="Times New Roman" w:cs="Times New Roman"/>
        </w:rPr>
        <w:t xml:space="preserve"> boasted </w:t>
      </w:r>
      <w:r w:rsidR="00F95DDD">
        <w:rPr>
          <w:rFonts w:ascii="Times New Roman" w:hAnsi="Times New Roman" w:cs="Times New Roman"/>
        </w:rPr>
        <w:t>that</w:t>
      </w:r>
      <w:r w:rsidR="000124FC" w:rsidRPr="00F95DDD">
        <w:rPr>
          <w:rFonts w:ascii="Times New Roman" w:hAnsi="Times New Roman" w:cs="Times New Roman"/>
        </w:rPr>
        <w:t xml:space="preserve"> rather than the standard one</w:t>
      </w:r>
      <w:r w:rsidR="00F95DDD">
        <w:rPr>
          <w:rFonts w:ascii="Times New Roman" w:hAnsi="Times New Roman" w:cs="Times New Roman"/>
        </w:rPr>
        <w:t>-</w:t>
      </w:r>
      <w:r w:rsidR="000124FC" w:rsidRPr="00F95DDD">
        <w:rPr>
          <w:rFonts w:ascii="Times New Roman" w:hAnsi="Times New Roman" w:cs="Times New Roman"/>
        </w:rPr>
        <w:t xml:space="preserve">year </w:t>
      </w:r>
      <w:r w:rsidR="00F95DDD">
        <w:rPr>
          <w:rFonts w:ascii="Times New Roman" w:hAnsi="Times New Roman" w:cs="Times New Roman"/>
        </w:rPr>
        <w:t xml:space="preserve">renewable </w:t>
      </w:r>
      <w:r w:rsidR="007C54BE">
        <w:rPr>
          <w:rFonts w:ascii="Times New Roman" w:hAnsi="Times New Roman" w:cs="Times New Roman"/>
        </w:rPr>
        <w:t>leave</w:t>
      </w:r>
      <w:r w:rsidR="000124FC" w:rsidRPr="00F95DDD">
        <w:rPr>
          <w:rFonts w:ascii="Times New Roman" w:hAnsi="Times New Roman" w:cs="Times New Roman"/>
        </w:rPr>
        <w:t xml:space="preserve"> </w:t>
      </w:r>
      <w:r w:rsidR="007C54BE">
        <w:rPr>
          <w:rFonts w:ascii="Times New Roman" w:hAnsi="Times New Roman" w:cs="Times New Roman"/>
        </w:rPr>
        <w:t>attached to all other residence permits</w:t>
      </w:r>
      <w:r w:rsidR="000124FC" w:rsidRPr="00F95DDD">
        <w:rPr>
          <w:rFonts w:ascii="Times New Roman" w:hAnsi="Times New Roman" w:cs="Times New Roman"/>
        </w:rPr>
        <w:t>, the EEC permit granted a</w:t>
      </w:r>
      <w:r w:rsidR="007C54BE">
        <w:rPr>
          <w:rFonts w:ascii="Times New Roman" w:hAnsi="Times New Roman" w:cs="Times New Roman"/>
        </w:rPr>
        <w:t>n unprecedented</w:t>
      </w:r>
      <w:r w:rsidR="000124FC" w:rsidRPr="00F95DDD">
        <w:rPr>
          <w:rFonts w:ascii="Times New Roman" w:hAnsi="Times New Roman" w:cs="Times New Roman"/>
        </w:rPr>
        <w:t xml:space="preserve"> 10</w:t>
      </w:r>
      <w:r w:rsidR="00F95DDD">
        <w:rPr>
          <w:rFonts w:ascii="Times New Roman" w:hAnsi="Times New Roman" w:cs="Times New Roman"/>
        </w:rPr>
        <w:t>-</w:t>
      </w:r>
      <w:r w:rsidR="00F95DDD" w:rsidRPr="00F95DDD">
        <w:rPr>
          <w:rFonts w:ascii="Times New Roman" w:hAnsi="Times New Roman" w:cs="Times New Roman"/>
        </w:rPr>
        <w:t>year</w:t>
      </w:r>
      <w:r w:rsidR="000124FC" w:rsidRPr="00F95DDD">
        <w:rPr>
          <w:rFonts w:ascii="Times New Roman" w:hAnsi="Times New Roman" w:cs="Times New Roman"/>
        </w:rPr>
        <w:t xml:space="preserve"> residency card (Besson 2009).</w:t>
      </w:r>
      <w:r w:rsidR="00DC336A" w:rsidRPr="000124FC">
        <w:rPr>
          <w:rFonts w:ascii="Times New Roman" w:hAnsi="Times New Roman" w:cs="Times New Roman"/>
        </w:rPr>
        <w:t xml:space="preserve"> </w:t>
      </w:r>
      <w:r w:rsidR="007C54BE">
        <w:rPr>
          <w:rFonts w:ascii="Times New Roman" w:hAnsi="Times New Roman" w:cs="Times New Roman"/>
        </w:rPr>
        <w:t>Unlike the ordinary work route, t</w:t>
      </w:r>
      <w:r w:rsidR="00DC336A" w:rsidRPr="000124FC">
        <w:rPr>
          <w:rFonts w:ascii="Times New Roman" w:hAnsi="Times New Roman" w:cs="Times New Roman"/>
        </w:rPr>
        <w:t xml:space="preserve">here were also </w:t>
      </w:r>
      <w:r w:rsidR="007C54BE">
        <w:rPr>
          <w:rFonts w:ascii="Times New Roman" w:hAnsi="Times New Roman" w:cs="Times New Roman"/>
        </w:rPr>
        <w:t xml:space="preserve">no language requirements and </w:t>
      </w:r>
      <w:r w:rsidR="00DC336A" w:rsidRPr="000124FC">
        <w:rPr>
          <w:rFonts w:ascii="Times New Roman" w:hAnsi="Times New Roman" w:cs="Times New Roman"/>
        </w:rPr>
        <w:t xml:space="preserve">no requirements </w:t>
      </w:r>
      <w:r w:rsidR="00DD42DB">
        <w:rPr>
          <w:rFonts w:ascii="Times New Roman" w:hAnsi="Times New Roman" w:cs="Times New Roman"/>
        </w:rPr>
        <w:t>to demonstrate</w:t>
      </w:r>
      <w:r w:rsidR="00DC336A" w:rsidRPr="000124FC">
        <w:rPr>
          <w:rFonts w:ascii="Times New Roman" w:hAnsi="Times New Roman" w:cs="Times New Roman"/>
        </w:rPr>
        <w:t xml:space="preserve"> experience or </w:t>
      </w:r>
      <w:r w:rsidR="00DC336A" w:rsidRPr="000124FC">
        <w:rPr>
          <w:rFonts w:ascii="Times New Roman" w:hAnsi="Times New Roman" w:cs="Times New Roman"/>
        </w:rPr>
        <w:lastRenderedPageBreak/>
        <w:t>qualifications</w:t>
      </w:r>
      <w:r w:rsidR="00DC336A" w:rsidRPr="00480BE9">
        <w:rPr>
          <w:rFonts w:ascii="Times New Roman" w:hAnsi="Times New Roman" w:cs="Times New Roman"/>
        </w:rPr>
        <w:t>. As Figure 3 shows, France’s investor visa is considerably more generous than its high-skilled and skilled work routes.</w:t>
      </w:r>
    </w:p>
    <w:p w14:paraId="6D92F052" w14:textId="77777777" w:rsidR="00DC336A" w:rsidRPr="00480BE9" w:rsidRDefault="00DC336A" w:rsidP="00DC336A">
      <w:pPr>
        <w:spacing w:line="480" w:lineRule="auto"/>
        <w:jc w:val="both"/>
        <w:rPr>
          <w:rFonts w:ascii="Times New Roman" w:hAnsi="Times New Roman" w:cs="Times New Roman"/>
        </w:rPr>
      </w:pPr>
    </w:p>
    <w:p w14:paraId="391A7C3D" w14:textId="4D9EB53C"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What explains this openness in comparison to labour migration routes? And what explains the combination of a high investment threshold, with the comparatively liberal eligibility criteria and generous in-country rights which lie behind the high ImPol score? We argue that a mix of protectionism and liberalism embodied in the EEC permit is rooted in a particular juncture of French political economy; specifically, its ‘post-</w:t>
      </w:r>
      <w:r w:rsidRPr="00480BE9">
        <w:rPr>
          <w:rFonts w:ascii="Times New Roman" w:hAnsi="Times New Roman" w:cs="Times New Roman"/>
          <w:i/>
        </w:rPr>
        <w:t>dirigiste</w:t>
      </w:r>
      <w:r w:rsidRPr="00480BE9">
        <w:rPr>
          <w:rFonts w:ascii="Times New Roman" w:hAnsi="Times New Roman" w:cs="Times New Roman"/>
          <w:iCs/>
        </w:rPr>
        <w:t>’</w:t>
      </w:r>
      <w:r w:rsidRPr="00480BE9">
        <w:rPr>
          <w:rFonts w:ascii="Times New Roman" w:hAnsi="Times New Roman" w:cs="Times New Roman"/>
        </w:rPr>
        <w:t xml:space="preserve"> moment, in which capitalist restructuring and liberalization co-existed with longer traditions of state intervention (Clift and McDaniel 2021: 6). While the politics of immigration in France has ensured that labour migration policy remains relatively restrictive, the comparative openness of the investor programme, as well as its combination of a high investment threshold with liberal eligibility criteria and rights, reflects</w:t>
      </w:r>
      <w:r w:rsidR="00FC2DE0">
        <w:rPr>
          <w:rFonts w:ascii="Times New Roman" w:hAnsi="Times New Roman" w:cs="Times New Roman"/>
        </w:rPr>
        <w:t xml:space="preserve"> Presidents Sarkozy and Macron’s projects of</w:t>
      </w:r>
      <w:r w:rsidRPr="00480BE9">
        <w:rPr>
          <w:rFonts w:ascii="Times New Roman" w:hAnsi="Times New Roman" w:cs="Times New Roman"/>
        </w:rPr>
        <w:t xml:space="preserve"> economic liberalization. </w:t>
      </w:r>
    </w:p>
    <w:p w14:paraId="481D1324" w14:textId="77777777" w:rsidR="00DC336A" w:rsidRPr="00480BE9" w:rsidRDefault="00DC336A" w:rsidP="00DC336A">
      <w:pPr>
        <w:spacing w:line="480" w:lineRule="auto"/>
        <w:jc w:val="both"/>
        <w:rPr>
          <w:rFonts w:ascii="Times New Roman" w:hAnsi="Times New Roman" w:cs="Times New Roman"/>
          <w:color w:val="000000" w:themeColor="text1"/>
        </w:rPr>
      </w:pPr>
    </w:p>
    <w:p w14:paraId="1E7423E5" w14:textId="77777777" w:rsidR="00DC336A" w:rsidRPr="00480BE9" w:rsidRDefault="00DC336A" w:rsidP="00DC336A">
      <w:pPr>
        <w:widowControl w:val="0"/>
        <w:autoSpaceDE w:val="0"/>
        <w:autoSpaceDN w:val="0"/>
        <w:adjustRightInd w:val="0"/>
        <w:spacing w:line="480" w:lineRule="auto"/>
        <w:jc w:val="both"/>
        <w:rPr>
          <w:rFonts w:ascii="Times New Roman" w:eastAsiaTheme="minorEastAsia" w:hAnsi="Times New Roman" w:cs="Times New Roman"/>
          <w:color w:val="000000" w:themeColor="text1"/>
        </w:rPr>
      </w:pPr>
      <w:r w:rsidRPr="00480BE9">
        <w:rPr>
          <w:rFonts w:ascii="Times New Roman" w:hAnsi="Times New Roman" w:cs="Times New Roman"/>
          <w:color w:val="000000" w:themeColor="text1"/>
        </w:rPr>
        <w:t xml:space="preserve">Throughout the post-war period, successive French administrations adopted a </w:t>
      </w:r>
      <w:r w:rsidRPr="00480BE9">
        <w:rPr>
          <w:rFonts w:ascii="Times New Roman" w:hAnsi="Times New Roman" w:cs="Times New Roman"/>
          <w:i/>
          <w:color w:val="000000" w:themeColor="text1"/>
        </w:rPr>
        <w:t xml:space="preserve">dirigiste </w:t>
      </w:r>
      <w:r w:rsidRPr="00480BE9">
        <w:rPr>
          <w:rFonts w:ascii="Times New Roman" w:hAnsi="Times New Roman" w:cs="Times New Roman"/>
          <w:color w:val="000000" w:themeColor="text1"/>
        </w:rPr>
        <w:t xml:space="preserve">approach to economic management, distinguished by high levels of state intervention. In the early 1980s, a combination of international and domestic factors led the newly elected Left government to implement far-reaching liberalizing reforms, in what became known as the 1983 U-turn. This neoliberal turn was, however, ‘reluctant, hidden and half-hearted’ (Levy 2017: 608). France did not decisively break with its statist model, as evidenced by the increase in state spending on social and labour market programmes, the maintenance of high employment protection, and continued rescues of failing enterprises. Levy (2008) describes this as </w:t>
      </w:r>
      <w:r w:rsidRPr="00480BE9">
        <w:rPr>
          <w:rFonts w:ascii="Times New Roman" w:eastAsia="Times New Roman" w:hAnsi="Times New Roman" w:cs="Times New Roman"/>
          <w:color w:val="000000" w:themeColor="text1"/>
          <w:lang w:val="en-GB"/>
        </w:rPr>
        <w:t xml:space="preserve">‘social anaesthesia’ strategy, whereby state authorities pacified and demobilised potential opponents of economic liberalisation through increased spending. Since then, the </w:t>
      </w:r>
      <w:r w:rsidRPr="00480BE9">
        <w:rPr>
          <w:rFonts w:ascii="Times New Roman" w:eastAsia="Times New Roman" w:hAnsi="Times New Roman" w:cs="Times New Roman"/>
          <w:color w:val="000000" w:themeColor="text1"/>
          <w:lang w:val="en-GB"/>
        </w:rPr>
        <w:lastRenderedPageBreak/>
        <w:t>French approach to economic management has combined state intervention and protectionism with partial liberalisation.</w:t>
      </w:r>
    </w:p>
    <w:p w14:paraId="6891DD88" w14:textId="77777777" w:rsidR="00DC336A" w:rsidRPr="00480BE9" w:rsidRDefault="00DC336A" w:rsidP="00DC336A">
      <w:pPr>
        <w:spacing w:line="480" w:lineRule="auto"/>
        <w:jc w:val="both"/>
        <w:rPr>
          <w:rFonts w:ascii="Times New Roman" w:hAnsi="Times New Roman" w:cs="Times New Roman"/>
          <w:color w:val="000000" w:themeColor="text1"/>
        </w:rPr>
      </w:pPr>
    </w:p>
    <w:p w14:paraId="3EECA657" w14:textId="037CA0A3" w:rsidR="00DC336A" w:rsidRPr="00480BE9" w:rsidRDefault="00DC336A" w:rsidP="00DC336A">
      <w:pPr>
        <w:spacing w:line="480" w:lineRule="auto"/>
        <w:jc w:val="both"/>
        <w:rPr>
          <w:rFonts w:ascii="Times New Roman" w:hAnsi="Times New Roman" w:cs="Times New Roman"/>
          <w:color w:val="000000" w:themeColor="text1"/>
        </w:rPr>
      </w:pPr>
      <w:r w:rsidRPr="00480BE9">
        <w:rPr>
          <w:rFonts w:ascii="Times New Roman" w:eastAsia="Times New Roman" w:hAnsi="Times New Roman" w:cs="Times New Roman"/>
          <w:color w:val="000000" w:themeColor="text1"/>
          <w:lang w:val="en-GB"/>
        </w:rPr>
        <w:t xml:space="preserve">While the 2008 financial crisis seemed an opportune moment for a return to </w:t>
      </w:r>
      <w:r w:rsidRPr="00480BE9">
        <w:rPr>
          <w:rFonts w:ascii="Times New Roman" w:eastAsia="Times New Roman" w:hAnsi="Times New Roman" w:cs="Times New Roman"/>
          <w:i/>
          <w:iCs/>
          <w:color w:val="000000" w:themeColor="text1"/>
          <w:lang w:val="en-GB"/>
        </w:rPr>
        <w:t>dirigisme</w:t>
      </w:r>
      <w:r w:rsidRPr="00480BE9">
        <w:rPr>
          <w:rFonts w:ascii="Times New Roman" w:eastAsia="Times New Roman" w:hAnsi="Times New Roman" w:cs="Times New Roman"/>
          <w:color w:val="000000" w:themeColor="text1"/>
          <w:lang w:val="en-GB"/>
        </w:rPr>
        <w:t xml:space="preserve"> </w:t>
      </w:r>
      <w:r w:rsidRPr="00480BE9">
        <w:rPr>
          <w:rFonts w:ascii="Times New Roman" w:eastAsia="MS Gothic" w:hAnsi="Times New Roman" w:cs="Times New Roman"/>
          <w:color w:val="000000" w:themeColor="text1"/>
        </w:rPr>
        <w:t>–</w:t>
      </w:r>
      <w:r w:rsidRPr="00480BE9">
        <w:rPr>
          <w:rFonts w:ascii="Times New Roman" w:eastAsia="Times New Roman" w:hAnsi="Times New Roman" w:cs="Times New Roman"/>
          <w:color w:val="000000" w:themeColor="text1"/>
          <w:lang w:val="en-GB"/>
        </w:rPr>
        <w:t xml:space="preserve"> and the Sarkozy administration did indeed bail out auto industries and established a sovereign wealth fund to support French companies </w:t>
      </w:r>
      <w:r w:rsidRPr="00480BE9">
        <w:rPr>
          <w:rFonts w:ascii="Times New Roman" w:eastAsia="MS Gothic" w:hAnsi="Times New Roman" w:cs="Times New Roman"/>
          <w:color w:val="000000" w:themeColor="text1"/>
        </w:rPr>
        <w:t>−</w:t>
      </w:r>
      <w:r w:rsidRPr="00480BE9">
        <w:rPr>
          <w:rFonts w:ascii="Times New Roman" w:eastAsia="Times New Roman" w:hAnsi="Times New Roman" w:cs="Times New Roman"/>
          <w:color w:val="000000" w:themeColor="text1"/>
          <w:lang w:val="en-GB"/>
        </w:rPr>
        <w:t xml:space="preserve"> the government did not commit additional resources to industrial policy and did little to direct business strategies. Sarkozy was elected on a campaign of change, vowing to </w:t>
      </w:r>
      <w:r w:rsidRPr="00480BE9">
        <w:rPr>
          <w:rFonts w:ascii="Times New Roman" w:hAnsi="Times New Roman" w:cs="Times New Roman"/>
          <w:color w:val="000000" w:themeColor="text1"/>
          <w:shd w:val="clear" w:color="auto" w:fill="FFFFFF"/>
        </w:rPr>
        <w:t>‘break with the ideas, the habits and the behavior of the past’ (Sarkozy quoted in the Sciolino 2007).</w:t>
      </w:r>
      <w:r w:rsidRPr="00480BE9">
        <w:rPr>
          <w:rFonts w:ascii="Times New Roman" w:eastAsia="Times New Roman" w:hAnsi="Times New Roman" w:cs="Times New Roman"/>
          <w:color w:val="000000" w:themeColor="text1"/>
          <w:lang w:val="en-GB"/>
        </w:rPr>
        <w:t xml:space="preserve"> He </w:t>
      </w:r>
      <w:r w:rsidRPr="00480BE9">
        <w:rPr>
          <w:rFonts w:ascii="Times New Roman" w:hAnsi="Times New Roman" w:cs="Times New Roman"/>
          <w:color w:val="000000" w:themeColor="text1"/>
        </w:rPr>
        <w:t xml:space="preserve">blamed France’s social model for generating high rates of unemployment </w:t>
      </w:r>
      <w:r w:rsidR="00FC2DE0" w:rsidRPr="00480BE9">
        <w:rPr>
          <w:rFonts w:ascii="Times New Roman" w:hAnsi="Times New Roman" w:cs="Times New Roman"/>
          <w:color w:val="000000" w:themeColor="text1"/>
        </w:rPr>
        <w:t>and</w:t>
      </w:r>
      <w:r w:rsidRPr="00480BE9">
        <w:rPr>
          <w:rFonts w:ascii="Times New Roman" w:hAnsi="Times New Roman" w:cs="Times New Roman"/>
          <w:color w:val="000000" w:themeColor="text1"/>
        </w:rPr>
        <w:t xml:space="preserve"> </w:t>
      </w:r>
      <w:r w:rsidR="00FC2DE0">
        <w:rPr>
          <w:rFonts w:ascii="Times New Roman" w:hAnsi="Times New Roman" w:cs="Times New Roman"/>
          <w:color w:val="000000" w:themeColor="text1"/>
        </w:rPr>
        <w:t>advocated</w:t>
      </w:r>
      <w:r w:rsidRPr="00480BE9">
        <w:rPr>
          <w:rFonts w:ascii="Times New Roman" w:hAnsi="Times New Roman" w:cs="Times New Roman"/>
          <w:color w:val="000000" w:themeColor="text1"/>
        </w:rPr>
        <w:t xml:space="preserve"> a neoliberal economic model as the solution to economic stagnation. Sarkozy’s business-friendly proposals, including new tax breaks and limits on trade union powers, would, in his own words, administer ‘an economic and fiscal shock so that France sets out to capture this point of growth which it lacks’ (quoted in LeParmentier 2007). </w:t>
      </w:r>
      <w:r w:rsidRPr="00480BE9">
        <w:rPr>
          <w:rFonts w:ascii="Times New Roman" w:eastAsia="Times New Roman" w:hAnsi="Times New Roman" w:cs="Times New Roman"/>
          <w:color w:val="000000" w:themeColor="text1"/>
          <w:lang w:val="en-GB"/>
        </w:rPr>
        <w:t>As a result, by 2010 the state was heading towards a more liberal model of capitalism, notably in the financial sector (Clift and McDaniel 2021</w:t>
      </w:r>
      <w:r>
        <w:rPr>
          <w:rFonts w:ascii="Times New Roman" w:eastAsia="Times New Roman" w:hAnsi="Times New Roman" w:cs="Times New Roman"/>
          <w:color w:val="000000" w:themeColor="text1"/>
          <w:lang w:val="en-GB"/>
        </w:rPr>
        <w:t>;</w:t>
      </w:r>
      <w:r w:rsidRPr="00480BE9">
        <w:rPr>
          <w:rFonts w:ascii="Times New Roman" w:hAnsi="Times New Roman" w:cs="Times New Roman"/>
          <w:color w:val="000000" w:themeColor="text1"/>
        </w:rPr>
        <w:t xml:space="preserve"> </w:t>
      </w:r>
      <w:r w:rsidRPr="00480BE9">
        <w:rPr>
          <w:rFonts w:ascii="Times New Roman" w:eastAsia="Times New Roman" w:hAnsi="Times New Roman" w:cs="Times New Roman"/>
          <w:color w:val="000000" w:themeColor="text1"/>
          <w:lang w:val="en-GB"/>
        </w:rPr>
        <w:t>Levy 2017</w:t>
      </w:r>
      <w:r>
        <w:rPr>
          <w:rFonts w:ascii="Times New Roman" w:eastAsia="Times New Roman" w:hAnsi="Times New Roman" w:cs="Times New Roman"/>
          <w:color w:val="000000" w:themeColor="text1"/>
          <w:lang w:val="en-GB"/>
        </w:rPr>
        <w:t>).</w:t>
      </w:r>
      <w:r w:rsidRPr="00480BE9">
        <w:rPr>
          <w:rFonts w:ascii="Times New Roman" w:eastAsia="Times New Roman" w:hAnsi="Times New Roman" w:cs="Times New Roman"/>
          <w:color w:val="000000" w:themeColor="text1"/>
          <w:lang w:val="en-GB"/>
        </w:rPr>
        <w:t xml:space="preserve"> </w:t>
      </w:r>
    </w:p>
    <w:p w14:paraId="17B61BB8" w14:textId="77777777" w:rsidR="00DC336A" w:rsidRPr="00480BE9" w:rsidRDefault="00DC336A" w:rsidP="00DC336A">
      <w:pPr>
        <w:spacing w:line="480" w:lineRule="auto"/>
        <w:jc w:val="both"/>
        <w:rPr>
          <w:rFonts w:ascii="Times New Roman" w:hAnsi="Times New Roman" w:cs="Times New Roman"/>
        </w:rPr>
      </w:pPr>
    </w:p>
    <w:p w14:paraId="40521997" w14:textId="7A2C97A8" w:rsidR="00DC336A" w:rsidRPr="00480BE9" w:rsidRDefault="00DC336A" w:rsidP="00DC336A">
      <w:pPr>
        <w:spacing w:line="480" w:lineRule="auto"/>
        <w:jc w:val="both"/>
        <w:rPr>
          <w:rFonts w:ascii="Times New Roman" w:hAnsi="Times New Roman" w:cs="Times New Roman"/>
          <w:bCs/>
          <w:lang w:val="en-GB"/>
        </w:rPr>
      </w:pPr>
      <w:r w:rsidRPr="00480BE9">
        <w:rPr>
          <w:rFonts w:ascii="Times New Roman" w:hAnsi="Times New Roman" w:cs="Times New Roman"/>
        </w:rPr>
        <w:t>As part of this liberalization strategy</w:t>
      </w:r>
      <w:r w:rsidRPr="00480BE9">
        <w:rPr>
          <w:rFonts w:ascii="Times New Roman" w:hAnsi="Times New Roman" w:cs="Times New Roman"/>
          <w:bCs/>
          <w:lang w:val="en-GB"/>
        </w:rPr>
        <w:t>, France introduced a policy to attract technology entrepreneurs and businesses, in a programme called ‘la French Tech.’</w:t>
      </w:r>
      <w:r w:rsidRPr="00480BE9">
        <w:rPr>
          <w:rStyle w:val="EndnoteReference"/>
          <w:rFonts w:ascii="Times New Roman" w:hAnsi="Times New Roman" w:cs="Times New Roman"/>
          <w:bCs/>
          <w:lang w:val="en-GB"/>
        </w:rPr>
        <w:endnoteReference w:id="7"/>
      </w:r>
      <w:r w:rsidRPr="00480BE9">
        <w:rPr>
          <w:rFonts w:ascii="Times New Roman" w:hAnsi="Times New Roman" w:cs="Times New Roman"/>
          <w:bCs/>
          <w:lang w:val="en-GB"/>
        </w:rPr>
        <w:t xml:space="preserve"> The creation of an investor route in 2009 was a core part of this package. As </w:t>
      </w:r>
      <w:r w:rsidRPr="00480BE9">
        <w:rPr>
          <w:rFonts w:ascii="Times New Roman" w:hAnsi="Times New Roman" w:cs="Times New Roman"/>
        </w:rPr>
        <w:t>Éric</w:t>
      </w:r>
      <w:r w:rsidRPr="00480BE9">
        <w:rPr>
          <w:rFonts w:ascii="Times New Roman" w:hAnsi="Times New Roman" w:cs="Times New Roman"/>
          <w:bCs/>
          <w:lang w:val="en-GB"/>
        </w:rPr>
        <w:t xml:space="preserve"> Besson, then Minister of Immigration, put it, the aim was to ‘bring dynamism and innovation to our economy’ by ‘ensuring those who wish to invest benefit from a 10-year residency permit’ (Besson 2009). For the first time in France’s history, the criterion for issuing a residence permit was ‘directly and explicitly linked to the economic contribution made to our country’ (Besson 2009). </w:t>
      </w:r>
      <w:r w:rsidR="00FC2DE0" w:rsidRPr="00480BE9">
        <w:rPr>
          <w:rFonts w:ascii="Times New Roman" w:hAnsi="Times New Roman" w:cs="Times New Roman"/>
        </w:rPr>
        <w:t>Thus,</w:t>
      </w:r>
      <w:r w:rsidRPr="00480BE9">
        <w:rPr>
          <w:rFonts w:ascii="Times New Roman" w:hAnsi="Times New Roman" w:cs="Times New Roman"/>
        </w:rPr>
        <w:t xml:space="preserve"> the investor scheme was intended to facilitate foreign investment and internationalize the French economy. Besson spoke of a ‘Golden residence permit’ that was ‘meant to attract </w:t>
      </w:r>
      <w:r w:rsidRPr="00480BE9">
        <w:rPr>
          <w:rFonts w:ascii="Times New Roman" w:hAnsi="Times New Roman" w:cs="Times New Roman"/>
        </w:rPr>
        <w:lastRenderedPageBreak/>
        <w:t>foreign investors, entrepreneurs, talents from overseas.’ ‘We are now’ he claimed, ‘at a time of global competition to seduce the best’ (Besson quoted in Gabizon 2009). This discursive shift persisted under President Macron</w:t>
      </w:r>
      <w:r w:rsidR="00FC2DE0">
        <w:rPr>
          <w:rFonts w:ascii="Times New Roman" w:hAnsi="Times New Roman" w:cs="Times New Roman"/>
        </w:rPr>
        <w:t>,</w:t>
      </w:r>
      <w:r w:rsidRPr="00480BE9">
        <w:rPr>
          <w:rFonts w:ascii="Times New Roman" w:hAnsi="Times New Roman" w:cs="Times New Roman"/>
        </w:rPr>
        <w:t xml:space="preserve"> who has continued to promote La French Tech, claiming: ‘</w:t>
      </w:r>
      <w:r w:rsidRPr="00480BE9">
        <w:rPr>
          <w:rFonts w:ascii="Times New Roman" w:hAnsi="Times New Roman" w:cs="Times New Roman"/>
          <w:color w:val="171717"/>
        </w:rPr>
        <w:t xml:space="preserve">I want France to attract new entrepreneurs, new researchers, and be the nation for innovation and start-ups… I will ensure that we create a most attractive and creative environment, I will ensure that the state and government acts as a platform not a constraint… Entrepreneur is the new France’ (quoted in Kharpol 2017). </w:t>
      </w:r>
    </w:p>
    <w:p w14:paraId="28AC9517" w14:textId="77777777" w:rsidR="00DC336A" w:rsidRPr="00480BE9" w:rsidRDefault="00DC336A" w:rsidP="00DC336A">
      <w:pPr>
        <w:spacing w:line="480" w:lineRule="auto"/>
        <w:jc w:val="both"/>
        <w:rPr>
          <w:rFonts w:ascii="Times New Roman" w:hAnsi="Times New Roman" w:cs="Times New Roman"/>
        </w:rPr>
      </w:pPr>
    </w:p>
    <w:p w14:paraId="7FE06805" w14:textId="302E12A2" w:rsidR="00DC336A" w:rsidRPr="00480BE9" w:rsidRDefault="00DC336A" w:rsidP="00DC336A">
      <w:pPr>
        <w:spacing w:line="480" w:lineRule="auto"/>
        <w:jc w:val="both"/>
        <w:rPr>
          <w:rFonts w:ascii="Times New Roman" w:hAnsi="Times New Roman" w:cs="Times New Roman"/>
          <w:b/>
        </w:rPr>
      </w:pPr>
      <w:r w:rsidRPr="00480BE9">
        <w:rPr>
          <w:rFonts w:ascii="Times New Roman" w:hAnsi="Times New Roman" w:cs="Times New Roman"/>
        </w:rPr>
        <w:t xml:space="preserve">Despite Sarkozy and Macron’s neoliberalism, French authorities still aspired to </w:t>
      </w:r>
      <w:r w:rsidRPr="00480BE9">
        <w:rPr>
          <w:rFonts w:ascii="Times New Roman" w:hAnsi="Times New Roman" w:cs="Times New Roman"/>
          <w:iCs/>
        </w:rPr>
        <w:t>shape</w:t>
      </w:r>
      <w:r w:rsidRPr="00480BE9">
        <w:rPr>
          <w:rFonts w:ascii="Times New Roman" w:hAnsi="Times New Roman" w:cs="Times New Roman"/>
        </w:rPr>
        <w:t xml:space="preserve"> how French capitalism and corporate governance evolves, an approach Clift and McDaniel (2021: 6) describe as </w:t>
      </w:r>
      <w:r w:rsidRPr="00480BE9">
        <w:rPr>
          <w:rFonts w:ascii="Times New Roman" w:eastAsia="Times New Roman" w:hAnsi="Times New Roman" w:cs="Times New Roman"/>
          <w:lang w:val="en-GB"/>
        </w:rPr>
        <w:t>post-</w:t>
      </w:r>
      <w:r w:rsidRPr="00480BE9">
        <w:rPr>
          <w:rFonts w:ascii="Times New Roman" w:hAnsi="Times New Roman" w:cs="Times New Roman"/>
          <w:i/>
        </w:rPr>
        <w:t>dirigiste</w:t>
      </w:r>
      <w:r w:rsidRPr="00480BE9">
        <w:rPr>
          <w:rFonts w:ascii="Times New Roman" w:hAnsi="Times New Roman" w:cs="Times New Roman"/>
        </w:rPr>
        <w:t xml:space="preserve">. The EEC permit’s mix of protectionist characteristics (a high investment threshold and stipulation to protect French jobs) combined with a generous rights package arguably exemplifies </w:t>
      </w:r>
      <w:r w:rsidRPr="00480BE9">
        <w:rPr>
          <w:rFonts w:ascii="Times New Roman" w:eastAsia="Times New Roman" w:hAnsi="Times New Roman" w:cs="Times New Roman"/>
          <w:lang w:val="en-GB"/>
        </w:rPr>
        <w:t>post-</w:t>
      </w:r>
      <w:r w:rsidRPr="00480BE9">
        <w:rPr>
          <w:rFonts w:ascii="Times New Roman" w:hAnsi="Times New Roman" w:cs="Times New Roman"/>
          <w:i/>
        </w:rPr>
        <w:t>dirigisme</w:t>
      </w:r>
      <w:r w:rsidRPr="00480BE9">
        <w:rPr>
          <w:rFonts w:ascii="Times New Roman" w:hAnsi="Times New Roman" w:cs="Times New Roman"/>
        </w:rPr>
        <w:t>, where the state operates ‘with the grain of the market, albeit a French conception of market, comfortable with permissive interventionism and selective liberalization seeking to bolster international champions’ (Clift and McDaniel 2021: 8).</w:t>
      </w:r>
    </w:p>
    <w:p w14:paraId="5F0391C2" w14:textId="77777777" w:rsidR="00DC336A" w:rsidRPr="00480BE9" w:rsidRDefault="00DC336A" w:rsidP="00DC336A">
      <w:pPr>
        <w:tabs>
          <w:tab w:val="left" w:pos="3200"/>
        </w:tabs>
        <w:spacing w:line="480" w:lineRule="auto"/>
        <w:jc w:val="both"/>
        <w:rPr>
          <w:rFonts w:ascii="Times New Roman" w:hAnsi="Times New Roman" w:cs="Times New Roman"/>
        </w:rPr>
      </w:pPr>
      <w:r w:rsidRPr="00480BE9">
        <w:rPr>
          <w:rFonts w:ascii="Times New Roman" w:hAnsi="Times New Roman" w:cs="Times New Roman"/>
        </w:rPr>
        <w:tab/>
      </w:r>
    </w:p>
    <w:p w14:paraId="26FBA8C1" w14:textId="77777777" w:rsidR="00DC336A" w:rsidRPr="00480BE9" w:rsidRDefault="00DC336A" w:rsidP="00DC336A">
      <w:pPr>
        <w:spacing w:line="480" w:lineRule="auto"/>
        <w:rPr>
          <w:rFonts w:ascii="Times New Roman" w:hAnsi="Times New Roman" w:cs="Times New Roman"/>
          <w:b/>
          <w:bCs/>
          <w:i/>
        </w:rPr>
      </w:pPr>
      <w:r w:rsidRPr="00480BE9">
        <w:rPr>
          <w:rFonts w:ascii="Times New Roman" w:hAnsi="Times New Roman" w:cs="Times New Roman"/>
          <w:b/>
          <w:bCs/>
          <w:i/>
        </w:rPr>
        <w:t>Spain: reflating the property market</w:t>
      </w:r>
    </w:p>
    <w:p w14:paraId="1F85AF75" w14:textId="77777777" w:rsidR="00DC336A" w:rsidRPr="00480BE9" w:rsidRDefault="00DC336A" w:rsidP="00DC336A">
      <w:pPr>
        <w:spacing w:line="480" w:lineRule="auto"/>
        <w:jc w:val="both"/>
        <w:rPr>
          <w:rFonts w:ascii="Times New Roman" w:hAnsi="Times New Roman" w:cs="Times New Roman"/>
          <w:highlight w:val="yellow"/>
        </w:rPr>
      </w:pPr>
    </w:p>
    <w:p w14:paraId="66A8EFF2" w14:textId="79AD4308"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The Spanish government introduced an investor visa in </w:t>
      </w:r>
      <w:r w:rsidR="00034B56">
        <w:rPr>
          <w:rFonts w:ascii="Times New Roman" w:hAnsi="Times New Roman" w:cs="Times New Roman"/>
        </w:rPr>
        <w:t xml:space="preserve">the </w:t>
      </w:r>
      <w:r w:rsidRPr="00480BE9">
        <w:rPr>
          <w:rFonts w:ascii="Times New Roman" w:hAnsi="Times New Roman" w:cs="Times New Roman"/>
        </w:rPr>
        <w:t xml:space="preserve">2013 law to Support Entrepreneurs </w:t>
      </w:r>
      <w:r w:rsidRPr="00480BE9">
        <w:rPr>
          <w:rFonts w:ascii="Times New Roman" w:eastAsia="Times New Roman" w:hAnsi="Times New Roman" w:cs="Times New Roman"/>
          <w:bCs/>
          <w:color w:val="000000"/>
          <w:lang w:eastAsia="fr-FR"/>
        </w:rPr>
        <w:t>and their Internationalization,</w:t>
      </w:r>
      <w:r w:rsidRPr="00480BE9">
        <w:rPr>
          <w:rStyle w:val="EndnoteReference"/>
          <w:rFonts w:ascii="Times New Roman" w:eastAsia="Times New Roman" w:hAnsi="Times New Roman" w:cs="Times New Roman"/>
          <w:bCs/>
          <w:color w:val="000000"/>
          <w:lang w:eastAsia="fr-FR"/>
        </w:rPr>
        <w:endnoteReference w:id="8"/>
      </w:r>
      <w:r w:rsidRPr="00480BE9">
        <w:rPr>
          <w:rFonts w:ascii="Times New Roman" w:eastAsia="Times New Roman" w:hAnsi="Times New Roman" w:cs="Times New Roman"/>
          <w:bCs/>
          <w:color w:val="000000"/>
          <w:lang w:eastAsia="fr-FR"/>
        </w:rPr>
        <w:t xml:space="preserve"> which was passed in</w:t>
      </w:r>
      <w:r w:rsidRPr="00480BE9">
        <w:rPr>
          <w:rFonts w:ascii="Times New Roman" w:hAnsi="Times New Roman" w:cs="Times New Roman"/>
        </w:rPr>
        <w:t xml:space="preserve"> response to the </w:t>
      </w:r>
      <w:r w:rsidRPr="00480BE9">
        <w:rPr>
          <w:rFonts w:ascii="Times New Roman" w:eastAsia="Times New Roman" w:hAnsi="Times New Roman" w:cs="Times New Roman"/>
          <w:bCs/>
          <w:color w:val="000000"/>
          <w:lang w:eastAsia="fr-FR"/>
        </w:rPr>
        <w:t xml:space="preserve">economic crisis </w:t>
      </w:r>
      <w:r w:rsidR="00034B56">
        <w:rPr>
          <w:rFonts w:ascii="Times New Roman" w:eastAsia="Times New Roman" w:hAnsi="Times New Roman" w:cs="Times New Roman"/>
          <w:bCs/>
          <w:color w:val="000000"/>
          <w:lang w:eastAsia="fr-FR"/>
        </w:rPr>
        <w:t xml:space="preserve">engulfing the country </w:t>
      </w:r>
      <w:r w:rsidRPr="00480BE9">
        <w:rPr>
          <w:rFonts w:ascii="Times New Roman" w:eastAsia="Times New Roman" w:hAnsi="Times New Roman" w:cs="Times New Roman"/>
          <w:bCs/>
          <w:color w:val="000000"/>
          <w:lang w:eastAsia="fr-FR"/>
        </w:rPr>
        <w:t>after 2008.</w:t>
      </w:r>
      <w:r w:rsidRPr="00480BE9">
        <w:rPr>
          <w:rFonts w:ascii="Times New Roman" w:hAnsi="Times New Roman" w:cs="Times New Roman"/>
        </w:rPr>
        <w:t xml:space="preserve"> The investor visa has two main channels: real estate and capital investment. Applicants must make</w:t>
      </w:r>
      <w:r w:rsidR="00034B56">
        <w:rPr>
          <w:rFonts w:ascii="Times New Roman" w:hAnsi="Times New Roman" w:cs="Times New Roman"/>
        </w:rPr>
        <w:t xml:space="preserve"> either</w:t>
      </w:r>
      <w:r w:rsidRPr="00480BE9">
        <w:rPr>
          <w:rFonts w:ascii="Times New Roman" w:hAnsi="Times New Roman" w:cs="Times New Roman"/>
        </w:rPr>
        <w:t xml:space="preserve"> a €500,000 investment in property or a ‘significant capital investment’ in Spain of €1 million in either bank deposits or shares. Investor visas can also be granted to applicants with business projects that are assessed by the </w:t>
      </w:r>
      <w:r w:rsidRPr="00480BE9">
        <w:rPr>
          <w:rFonts w:ascii="Times New Roman" w:hAnsi="Times New Roman" w:cs="Times New Roman"/>
        </w:rPr>
        <w:lastRenderedPageBreak/>
        <w:t xml:space="preserve">Spanish Government to create jobs, impact a specific geographical area, or contribute to scientific or technological innovation. </w:t>
      </w:r>
    </w:p>
    <w:p w14:paraId="7A0A0BF3" w14:textId="77777777" w:rsidR="00DC336A" w:rsidRPr="00480BE9" w:rsidRDefault="00DC336A" w:rsidP="00DC336A">
      <w:pPr>
        <w:widowControl w:val="0"/>
        <w:autoSpaceDE w:val="0"/>
        <w:autoSpaceDN w:val="0"/>
        <w:adjustRightInd w:val="0"/>
        <w:spacing w:line="480" w:lineRule="auto"/>
        <w:jc w:val="both"/>
        <w:rPr>
          <w:rFonts w:ascii="Times New Roman" w:hAnsi="Times New Roman" w:cs="Times New Roman"/>
        </w:rPr>
      </w:pPr>
    </w:p>
    <w:p w14:paraId="6E795ED6" w14:textId="6F2063BB" w:rsidR="00DC336A" w:rsidRPr="00F52766" w:rsidRDefault="00DC336A" w:rsidP="00DC336A">
      <w:pPr>
        <w:widowControl w:val="0"/>
        <w:autoSpaceDE w:val="0"/>
        <w:autoSpaceDN w:val="0"/>
        <w:adjustRightInd w:val="0"/>
        <w:spacing w:line="480" w:lineRule="auto"/>
        <w:jc w:val="both"/>
        <w:rPr>
          <w:rFonts w:ascii="Times New Roman" w:hAnsi="Times New Roman" w:cs="Times New Roman"/>
        </w:rPr>
      </w:pPr>
      <w:r w:rsidRPr="00480BE9">
        <w:rPr>
          <w:rFonts w:ascii="Times New Roman" w:hAnsi="Times New Roman" w:cs="Times New Roman"/>
        </w:rPr>
        <w:t xml:space="preserve">Real estate investment is by far the most significant option in terms of both applications and amounts invested. Between 2014 and 2019, there were 6,064 applications for the investor visa (Surak and Tsuzuki 2021: 7), with the vast majority being issued for real estate: 94 per cent of all investor visas in Spain between 2013 and 2017 were through the real estate route, </w:t>
      </w:r>
      <w:r w:rsidRPr="00480BE9">
        <w:rPr>
          <w:rFonts w:ascii="Times New Roman" w:hAnsi="Times New Roman" w:cs="Times New Roman"/>
          <w:color w:val="000000"/>
        </w:rPr>
        <w:t>amounting to a total of €2.3 billion in property</w:t>
      </w:r>
      <w:r w:rsidR="00F52766">
        <w:rPr>
          <w:rFonts w:ascii="Times New Roman" w:hAnsi="Times New Roman" w:cs="Times New Roman"/>
          <w:color w:val="000000"/>
        </w:rPr>
        <w:t xml:space="preserve"> purchases</w:t>
      </w:r>
      <w:r w:rsidRPr="00480BE9">
        <w:rPr>
          <w:rFonts w:ascii="Times New Roman" w:hAnsi="Times New Roman" w:cs="Times New Roman"/>
          <w:color w:val="000000"/>
        </w:rPr>
        <w:t xml:space="preserve"> </w:t>
      </w:r>
      <w:r w:rsidRPr="00480BE9">
        <w:rPr>
          <w:rFonts w:ascii="Times New Roman" w:hAnsi="Times New Roman" w:cs="Times New Roman"/>
        </w:rPr>
        <w:t xml:space="preserve">(Surak and Tsuzuki 2021: 16). </w:t>
      </w:r>
      <w:r w:rsidR="00F52766">
        <w:rPr>
          <w:rFonts w:ascii="Times New Roman" w:hAnsi="Times New Roman" w:cs="Times New Roman"/>
        </w:rPr>
        <w:t xml:space="preserve">A total of </w:t>
      </w:r>
      <w:r w:rsidR="00BA6AF0">
        <w:rPr>
          <w:rFonts w:ascii="Times New Roman" w:hAnsi="Times New Roman" w:cs="Times New Roman"/>
        </w:rPr>
        <w:t xml:space="preserve">531 visas </w:t>
      </w:r>
      <w:r w:rsidR="00F52766">
        <w:rPr>
          <w:rFonts w:ascii="Times New Roman" w:hAnsi="Times New Roman" w:cs="Times New Roman"/>
        </w:rPr>
        <w:t xml:space="preserve">were </w:t>
      </w:r>
      <w:r w:rsidR="008906CF">
        <w:rPr>
          <w:rFonts w:ascii="Times New Roman" w:hAnsi="Times New Roman" w:cs="Times New Roman"/>
        </w:rPr>
        <w:t>issued in the first year</w:t>
      </w:r>
      <w:r w:rsidR="00F52766">
        <w:rPr>
          <w:rFonts w:ascii="Times New Roman" w:hAnsi="Times New Roman" w:cs="Times New Roman"/>
        </w:rPr>
        <w:t xml:space="preserve"> alone,</w:t>
      </w:r>
      <w:r w:rsidR="008906CF">
        <w:rPr>
          <w:rFonts w:ascii="Times New Roman" w:hAnsi="Times New Roman" w:cs="Times New Roman"/>
        </w:rPr>
        <w:t xml:space="preserve"> </w:t>
      </w:r>
      <w:r w:rsidR="00F52766">
        <w:rPr>
          <w:rFonts w:ascii="Times New Roman" w:hAnsi="Times New Roman" w:cs="Times New Roman"/>
        </w:rPr>
        <w:t>gener</w:t>
      </w:r>
      <w:r w:rsidR="008906CF">
        <w:rPr>
          <w:rFonts w:ascii="Times New Roman" w:hAnsi="Times New Roman" w:cs="Times New Roman"/>
        </w:rPr>
        <w:t>at</w:t>
      </w:r>
      <w:r w:rsidR="00F52766">
        <w:rPr>
          <w:rFonts w:ascii="Times New Roman" w:hAnsi="Times New Roman" w:cs="Times New Roman"/>
        </w:rPr>
        <w:t>ing</w:t>
      </w:r>
      <w:r w:rsidR="008906CF">
        <w:rPr>
          <w:rFonts w:ascii="Times New Roman" w:hAnsi="Times New Roman" w:cs="Times New Roman"/>
        </w:rPr>
        <w:t xml:space="preserve"> </w:t>
      </w:r>
      <w:r w:rsidR="00F52766">
        <w:rPr>
          <w:rFonts w:ascii="Times New Roman" w:hAnsi="Times New Roman" w:cs="Times New Roman"/>
        </w:rPr>
        <w:t>€</w:t>
      </w:r>
      <w:r w:rsidR="008906CF">
        <w:rPr>
          <w:rFonts w:ascii="Times New Roman" w:hAnsi="Times New Roman" w:cs="Times New Roman"/>
        </w:rPr>
        <w:t>446</w:t>
      </w:r>
      <w:r w:rsidR="00F52766">
        <w:rPr>
          <w:rFonts w:ascii="Times New Roman" w:hAnsi="Times New Roman" w:cs="Times New Roman"/>
        </w:rPr>
        <w:t xml:space="preserve"> million</w:t>
      </w:r>
      <w:r w:rsidR="006D3D12">
        <w:rPr>
          <w:rFonts w:ascii="Times New Roman" w:hAnsi="Times New Roman" w:cs="Times New Roman"/>
        </w:rPr>
        <w:t xml:space="preserve"> </w:t>
      </w:r>
      <w:r w:rsidR="00BA6AF0">
        <w:rPr>
          <w:rFonts w:ascii="Times New Roman" w:hAnsi="Times New Roman" w:cs="Times New Roman"/>
        </w:rPr>
        <w:t>(EU Commission</w:t>
      </w:r>
      <w:r w:rsidR="008906CF">
        <w:rPr>
          <w:rFonts w:ascii="Times New Roman" w:hAnsi="Times New Roman" w:cs="Times New Roman"/>
        </w:rPr>
        <w:t xml:space="preserve"> 2019c)</w:t>
      </w:r>
      <w:r w:rsidR="006D3D12">
        <w:rPr>
          <w:rFonts w:ascii="Times New Roman" w:hAnsi="Times New Roman" w:cs="Times New Roman"/>
        </w:rPr>
        <w:t>.</w:t>
      </w:r>
      <w:r w:rsidRPr="00480BE9">
        <w:rPr>
          <w:rFonts w:ascii="Times New Roman" w:hAnsi="Times New Roman" w:cs="Times New Roman"/>
        </w:rPr>
        <w:t xml:space="preserve"> </w:t>
      </w:r>
      <w:r w:rsidR="00F52766">
        <w:rPr>
          <w:rFonts w:ascii="Times New Roman" w:hAnsi="Times New Roman" w:cs="Times New Roman"/>
        </w:rPr>
        <w:t xml:space="preserve">The popularity of Spain’s scheme </w:t>
      </w:r>
      <w:r w:rsidRPr="00480BE9">
        <w:rPr>
          <w:rFonts w:ascii="Times New Roman" w:hAnsi="Times New Roman" w:cs="Times New Roman"/>
        </w:rPr>
        <w:t>has driven a wider surge in real estate investment visas, which now account for the majority of investor visa applications in the EU (Surak and Tsuzuki 2021: 16)</w:t>
      </w:r>
      <w:r w:rsidR="006D3D12">
        <w:rPr>
          <w:rFonts w:ascii="Times New Roman" w:hAnsi="Times New Roman" w:cs="Times New Roman"/>
        </w:rPr>
        <w:t>. A</w:t>
      </w:r>
      <w:r w:rsidR="008906CF">
        <w:rPr>
          <w:rFonts w:ascii="Times New Roman" w:hAnsi="Times New Roman" w:cs="Times New Roman"/>
        </w:rPr>
        <w:t xml:space="preserve">ccording to </w:t>
      </w:r>
      <w:r w:rsidR="006D3D12">
        <w:rPr>
          <w:rFonts w:ascii="Times New Roman" w:hAnsi="Times New Roman" w:cs="Times New Roman"/>
        </w:rPr>
        <w:t>the European Commission,</w:t>
      </w:r>
      <w:r w:rsidR="008906CF">
        <w:rPr>
          <w:rFonts w:ascii="Times New Roman" w:hAnsi="Times New Roman" w:cs="Times New Roman"/>
        </w:rPr>
        <w:t xml:space="preserve"> the scheme ‘established a favorable framework for internationalization of the Spanish market’ and ‘boost[ed] opportunities in the negotiation of international economic agreements’ (European Commission 2019c)</w:t>
      </w:r>
      <w:r w:rsidRPr="00480BE9">
        <w:rPr>
          <w:rFonts w:ascii="Times New Roman" w:hAnsi="Times New Roman" w:cs="Times New Roman"/>
        </w:rPr>
        <w:t>.</w:t>
      </w:r>
    </w:p>
    <w:p w14:paraId="413837CB" w14:textId="77777777" w:rsidR="00DC336A" w:rsidRPr="00480BE9" w:rsidRDefault="00DC336A" w:rsidP="00DC336A">
      <w:pPr>
        <w:spacing w:line="480" w:lineRule="auto"/>
        <w:jc w:val="both"/>
        <w:rPr>
          <w:rFonts w:ascii="Times New Roman" w:hAnsi="Times New Roman" w:cs="Times New Roman"/>
        </w:rPr>
      </w:pPr>
    </w:p>
    <w:p w14:paraId="24C150EC" w14:textId="46BB8C00" w:rsidR="00DC336A" w:rsidRPr="00480BE9" w:rsidRDefault="003A1501" w:rsidP="00DC336A">
      <w:pPr>
        <w:spacing w:line="480" w:lineRule="auto"/>
        <w:jc w:val="both"/>
        <w:rPr>
          <w:rFonts w:ascii="Times New Roman" w:hAnsi="Times New Roman" w:cs="Times New Roman"/>
        </w:rPr>
      </w:pPr>
      <w:r>
        <w:rPr>
          <w:rFonts w:ascii="Times New Roman" w:hAnsi="Times New Roman" w:cs="Times New Roman"/>
        </w:rPr>
        <w:t>A</w:t>
      </w:r>
      <w:r w:rsidRPr="00480BE9">
        <w:rPr>
          <w:rFonts w:ascii="Times New Roman" w:hAnsi="Times New Roman" w:cs="Times New Roman"/>
        </w:rPr>
        <w:t xml:space="preserve">s shown in Figure 4, </w:t>
      </w:r>
      <w:r>
        <w:rPr>
          <w:rFonts w:ascii="Times New Roman" w:hAnsi="Times New Roman" w:cs="Times New Roman"/>
        </w:rPr>
        <w:t>the investor visa</w:t>
      </w:r>
      <w:r w:rsidRPr="00480BE9">
        <w:rPr>
          <w:rFonts w:ascii="Times New Roman" w:hAnsi="Times New Roman" w:cs="Times New Roman"/>
        </w:rPr>
        <w:t xml:space="preserve"> is considerably more open than Spain’s work routes</w:t>
      </w:r>
      <w:r w:rsidR="00835AB9">
        <w:rPr>
          <w:rFonts w:ascii="Times New Roman" w:hAnsi="Times New Roman" w:cs="Times New Roman"/>
        </w:rPr>
        <w:t>:</w:t>
      </w:r>
      <w:r>
        <w:rPr>
          <w:rFonts w:ascii="Times New Roman" w:hAnsi="Times New Roman" w:cs="Times New Roman"/>
        </w:rPr>
        <w:t xml:space="preserve"> </w:t>
      </w:r>
      <w:r w:rsidRPr="002864C4">
        <w:rPr>
          <w:rFonts w:ascii="Times New Roman" w:hAnsi="Times New Roman" w:cs="Times New Roman"/>
        </w:rPr>
        <w:t>applicants for the investor visa d</w:t>
      </w:r>
      <w:r w:rsidR="00835AB9">
        <w:rPr>
          <w:rFonts w:ascii="Times New Roman" w:hAnsi="Times New Roman" w:cs="Times New Roman"/>
        </w:rPr>
        <w:t>o</w:t>
      </w:r>
      <w:r w:rsidRPr="002864C4">
        <w:rPr>
          <w:rFonts w:ascii="Times New Roman" w:hAnsi="Times New Roman" w:cs="Times New Roman"/>
        </w:rPr>
        <w:t xml:space="preserve"> not need to meet language requirements</w:t>
      </w:r>
      <w:r>
        <w:rPr>
          <w:rFonts w:ascii="Times New Roman" w:hAnsi="Times New Roman" w:cs="Times New Roman"/>
        </w:rPr>
        <w:t xml:space="preserve"> </w:t>
      </w:r>
      <w:r w:rsidRPr="002864C4">
        <w:rPr>
          <w:rFonts w:ascii="Times New Roman" w:hAnsi="Times New Roman" w:cs="Times New Roman"/>
        </w:rPr>
        <w:t>or demonstrate a specified level of qualifications</w:t>
      </w:r>
      <w:r>
        <w:rPr>
          <w:rFonts w:ascii="Times New Roman" w:hAnsi="Times New Roman" w:cs="Times New Roman"/>
        </w:rPr>
        <w:t xml:space="preserve"> or experience</w:t>
      </w:r>
      <w:r w:rsidR="00835AB9">
        <w:rPr>
          <w:rFonts w:ascii="Times New Roman" w:hAnsi="Times New Roman" w:cs="Times New Roman"/>
        </w:rPr>
        <w:t>; u</w:t>
      </w:r>
      <w:r>
        <w:rPr>
          <w:rFonts w:ascii="Times New Roman" w:hAnsi="Times New Roman" w:cs="Times New Roman"/>
        </w:rPr>
        <w:t xml:space="preserve">nlike </w:t>
      </w:r>
      <w:r w:rsidR="00835AB9">
        <w:rPr>
          <w:rFonts w:ascii="Times New Roman" w:hAnsi="Times New Roman" w:cs="Times New Roman"/>
        </w:rPr>
        <w:t>most</w:t>
      </w:r>
      <w:r>
        <w:rPr>
          <w:rFonts w:ascii="Times New Roman" w:hAnsi="Times New Roman" w:cs="Times New Roman"/>
        </w:rPr>
        <w:t xml:space="preserve"> work routes</w:t>
      </w:r>
      <w:r w:rsidR="00835AB9">
        <w:rPr>
          <w:rFonts w:ascii="Times New Roman" w:hAnsi="Times New Roman" w:cs="Times New Roman"/>
        </w:rPr>
        <w:t>,</w:t>
      </w:r>
      <w:r>
        <w:rPr>
          <w:rFonts w:ascii="Times New Roman" w:hAnsi="Times New Roman" w:cs="Times New Roman"/>
        </w:rPr>
        <w:t xml:space="preserve"> </w:t>
      </w:r>
      <w:r w:rsidR="00F46674">
        <w:rPr>
          <w:rFonts w:ascii="Times New Roman" w:hAnsi="Times New Roman" w:cs="Times New Roman"/>
        </w:rPr>
        <w:t xml:space="preserve">family dependents </w:t>
      </w:r>
      <w:r w:rsidR="00835AB9">
        <w:rPr>
          <w:rFonts w:ascii="Times New Roman" w:hAnsi="Times New Roman" w:cs="Times New Roman"/>
        </w:rPr>
        <w:t>of the investor are granted</w:t>
      </w:r>
      <w:r w:rsidR="00F46674">
        <w:rPr>
          <w:rFonts w:ascii="Times New Roman" w:hAnsi="Times New Roman" w:cs="Times New Roman"/>
        </w:rPr>
        <w:t xml:space="preserve"> unrestricted access to the labour market</w:t>
      </w:r>
      <w:r w:rsidR="00835AB9">
        <w:rPr>
          <w:rFonts w:ascii="Times New Roman" w:hAnsi="Times New Roman" w:cs="Times New Roman"/>
        </w:rPr>
        <w:t>; and</w:t>
      </w:r>
      <w:r w:rsidR="00F46674">
        <w:rPr>
          <w:rFonts w:ascii="Times New Roman" w:hAnsi="Times New Roman" w:cs="Times New Roman"/>
        </w:rPr>
        <w:t xml:space="preserve"> </w:t>
      </w:r>
      <w:r w:rsidR="00835AB9">
        <w:rPr>
          <w:rFonts w:ascii="Times New Roman" w:hAnsi="Times New Roman" w:cs="Times New Roman"/>
        </w:rPr>
        <w:t>i</w:t>
      </w:r>
      <w:r w:rsidR="00F46674">
        <w:rPr>
          <w:rFonts w:ascii="Times New Roman" w:hAnsi="Times New Roman" w:cs="Times New Roman"/>
        </w:rPr>
        <w:t>n contrast to the general one-year residency permit, t</w:t>
      </w:r>
      <w:r w:rsidR="00DC336A" w:rsidRPr="00480BE9">
        <w:rPr>
          <w:rFonts w:ascii="Times New Roman" w:hAnsi="Times New Roman" w:cs="Times New Roman"/>
        </w:rPr>
        <w:t xml:space="preserve">he investor visa grants residence </w:t>
      </w:r>
      <w:r w:rsidR="003D26E4">
        <w:rPr>
          <w:rFonts w:ascii="Times New Roman" w:hAnsi="Times New Roman" w:cs="Times New Roman"/>
        </w:rPr>
        <w:t>for</w:t>
      </w:r>
      <w:r w:rsidR="00DC336A" w:rsidRPr="00480BE9">
        <w:rPr>
          <w:rFonts w:ascii="Times New Roman" w:hAnsi="Times New Roman" w:cs="Times New Roman"/>
        </w:rPr>
        <w:t xml:space="preserve"> two years, with </w:t>
      </w:r>
      <w:r>
        <w:rPr>
          <w:rFonts w:ascii="Times New Roman" w:hAnsi="Times New Roman" w:cs="Times New Roman"/>
        </w:rPr>
        <w:t xml:space="preserve">facilitated </w:t>
      </w:r>
      <w:r w:rsidR="00DC336A" w:rsidRPr="00480BE9">
        <w:rPr>
          <w:rFonts w:ascii="Times New Roman" w:hAnsi="Times New Roman" w:cs="Times New Roman"/>
        </w:rPr>
        <w:t xml:space="preserve">eligibility for permanent residence after five years. Visa holders can renew their temporary permits without being physically present in Spain, but the visa requires that investors live in Spain for the majority of a five-year period in order to apply for permanent </w:t>
      </w:r>
      <w:r w:rsidR="00DC336A" w:rsidRPr="00480BE9">
        <w:rPr>
          <w:rFonts w:ascii="Times New Roman" w:hAnsi="Times New Roman" w:cs="Times New Roman"/>
        </w:rPr>
        <w:lastRenderedPageBreak/>
        <w:t>residence (Sumption and Hooper 2014: 16). Family dependents can accompany the main applicant</w:t>
      </w:r>
      <w:r w:rsidR="00F46674">
        <w:rPr>
          <w:rFonts w:ascii="Times New Roman" w:hAnsi="Times New Roman" w:cs="Times New Roman"/>
        </w:rPr>
        <w:t xml:space="preserve">. </w:t>
      </w:r>
    </w:p>
    <w:p w14:paraId="274A2FF9" w14:textId="77777777" w:rsidR="00DC336A" w:rsidRPr="00480BE9" w:rsidRDefault="00DC336A" w:rsidP="00DC336A">
      <w:pPr>
        <w:spacing w:line="480" w:lineRule="auto"/>
        <w:jc w:val="both"/>
        <w:rPr>
          <w:rFonts w:ascii="Times New Roman" w:hAnsi="Times New Roman" w:cs="Times New Roman"/>
        </w:rPr>
      </w:pPr>
    </w:p>
    <w:p w14:paraId="641F2CCF" w14:textId="77777777" w:rsidR="00DC336A" w:rsidRPr="00480BE9" w:rsidRDefault="00DC336A" w:rsidP="00DC336A">
      <w:pPr>
        <w:spacing w:line="480" w:lineRule="auto"/>
        <w:jc w:val="center"/>
        <w:rPr>
          <w:rFonts w:ascii="Times New Roman" w:hAnsi="Times New Roman" w:cs="Times New Roman"/>
        </w:rPr>
      </w:pPr>
      <w:r w:rsidRPr="00480BE9">
        <w:rPr>
          <w:rFonts w:ascii="Times New Roman" w:hAnsi="Times New Roman" w:cs="Times New Roman"/>
        </w:rPr>
        <w:t>FIGURE 4: Spain 1990-2016, Investor, General and High Skilled HERE</w:t>
      </w:r>
    </w:p>
    <w:p w14:paraId="1B06FABC" w14:textId="77777777" w:rsidR="00DC336A" w:rsidRPr="00480BE9" w:rsidRDefault="00DC336A" w:rsidP="00DC336A">
      <w:pPr>
        <w:spacing w:line="480" w:lineRule="auto"/>
        <w:jc w:val="both"/>
        <w:rPr>
          <w:rFonts w:ascii="Times New Roman" w:hAnsi="Times New Roman" w:cs="Times New Roman"/>
        </w:rPr>
      </w:pPr>
    </w:p>
    <w:p w14:paraId="75CDC999" w14:textId="77777777" w:rsidR="00DC336A" w:rsidRPr="00480BE9" w:rsidRDefault="00DC336A" w:rsidP="00DC336A">
      <w:pPr>
        <w:spacing w:line="480" w:lineRule="auto"/>
        <w:jc w:val="both"/>
        <w:rPr>
          <w:rFonts w:ascii="Times New Roman" w:hAnsi="Times New Roman" w:cs="Times New Roman"/>
        </w:rPr>
      </w:pPr>
    </w:p>
    <w:p w14:paraId="72BBE179" w14:textId="786BD16F"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Spain’s investor visa scores about the same as France on the ImPol measurement (see Figure 1). Once the relatively low investment threshold is taken into account, the Spanish investor route can be considered more open than France’s scheme. With a threshold of </w:t>
      </w:r>
      <w:r w:rsidRPr="00480BE9">
        <w:rPr>
          <w:rFonts w:ascii="Times New Roman" w:hAnsi="Times New Roman" w:cs="Times New Roman"/>
          <w:color w:val="000000"/>
        </w:rPr>
        <w:t xml:space="preserve">€500,000 for property, it has comfortably </w:t>
      </w:r>
      <w:r w:rsidRPr="00480BE9">
        <w:rPr>
          <w:rFonts w:ascii="Times New Roman" w:hAnsi="Times New Roman" w:cs="Times New Roman"/>
        </w:rPr>
        <w:t xml:space="preserve">the lowest investment threshold of the three countries. </w:t>
      </w:r>
    </w:p>
    <w:p w14:paraId="2CC5D891" w14:textId="77777777" w:rsidR="00DC336A" w:rsidRPr="00480BE9" w:rsidRDefault="00DC336A" w:rsidP="00DC336A">
      <w:pPr>
        <w:spacing w:line="480" w:lineRule="auto"/>
        <w:jc w:val="both"/>
        <w:rPr>
          <w:rFonts w:ascii="Times New Roman" w:hAnsi="Times New Roman" w:cs="Times New Roman"/>
        </w:rPr>
      </w:pPr>
    </w:p>
    <w:p w14:paraId="3D120506"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The investor visa was part of a wider shift in Spanish immigration policy towards an approach based on economic and labour market needs (Balch, 2010: 1039), as the Zapatero and then Rajoy governments attempted to harness migration for economic recovery. The introduction of the visa followed the 2011 protocol ‘Invest in Spain’, an agreement signed by the State of Secretary for Immigration and Emigration, Ana Terón, and the State Secretary for Foreign Trade, Alfredo Bonet, to ‘promote and attract foreign investment’ by ‘cutting through red tape’ (La Moncola 2011). High-skilled routes were liberalized in 2012 and the investor visa scheme followed the year after. The preamble to the Law to Support Entrepreneurs </w:t>
      </w:r>
      <w:r w:rsidRPr="00480BE9">
        <w:rPr>
          <w:rFonts w:ascii="Times New Roman" w:eastAsia="Times New Roman" w:hAnsi="Times New Roman" w:cs="Times New Roman"/>
          <w:bCs/>
          <w:color w:val="000000"/>
          <w:lang w:eastAsia="fr-FR"/>
        </w:rPr>
        <w:t>and their Internationalization</w:t>
      </w:r>
      <w:r w:rsidRPr="00480BE9">
        <w:rPr>
          <w:rFonts w:ascii="Times New Roman" w:hAnsi="Times New Roman" w:cs="Times New Roman"/>
        </w:rPr>
        <w:t xml:space="preserve"> explicitly referenced the ‘profound economic crisis that Spain has been suffering, with acute social consequences’ </w:t>
      </w:r>
      <w:r w:rsidRPr="00480BE9">
        <w:rPr>
          <w:rFonts w:ascii="Times New Roman" w:eastAsia="Times New Roman" w:hAnsi="Times New Roman" w:cs="Times New Roman"/>
          <w:bCs/>
          <w:color w:val="000000"/>
          <w:lang w:eastAsia="fr-FR"/>
        </w:rPr>
        <w:t>(Law 14/2013)</w:t>
      </w:r>
      <w:r w:rsidRPr="00480BE9">
        <w:rPr>
          <w:rFonts w:ascii="Times New Roman" w:hAnsi="Times New Roman" w:cs="Times New Roman"/>
        </w:rPr>
        <w:t>, as a reason for introducing the investor visa.</w:t>
      </w:r>
    </w:p>
    <w:p w14:paraId="7757828E" w14:textId="77777777" w:rsidR="00DC336A" w:rsidRPr="00480BE9" w:rsidRDefault="00DC336A" w:rsidP="00DC336A">
      <w:pPr>
        <w:spacing w:line="480" w:lineRule="auto"/>
        <w:jc w:val="both"/>
        <w:rPr>
          <w:rFonts w:ascii="Times New Roman" w:hAnsi="Times New Roman" w:cs="Times New Roman"/>
        </w:rPr>
      </w:pPr>
    </w:p>
    <w:p w14:paraId="73387772"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To understand why the Spanish scheme focused on property investment, it is necessary to situate it within Spain’s growth model, in which construction and property play an outsized </w:t>
      </w:r>
      <w:r w:rsidRPr="00480BE9">
        <w:rPr>
          <w:rFonts w:ascii="Times New Roman" w:hAnsi="Times New Roman" w:cs="Times New Roman"/>
        </w:rPr>
        <w:lastRenderedPageBreak/>
        <w:t xml:space="preserve">role compared to many other European countries. This model has its origins in the modernization programme of the Franco dictatorship in the late 1950s, which was premised on the development of mass-market tourism and the expansion of private home ownership. As López and Rodríguez (2011: 6) note, ‘this Thatcherism </w:t>
      </w:r>
      <w:r w:rsidRPr="00480BE9">
        <w:rPr>
          <w:rFonts w:ascii="Times New Roman" w:hAnsi="Times New Roman" w:cs="Times New Roman"/>
          <w:i/>
          <w:iCs/>
        </w:rPr>
        <w:t>avant la lettre</w:t>
      </w:r>
      <w:r w:rsidRPr="00480BE9">
        <w:rPr>
          <w:rFonts w:ascii="Times New Roman" w:hAnsi="Times New Roman" w:cs="Times New Roman"/>
        </w:rPr>
        <w:t xml:space="preserve"> transformed the Spanish housing market’. The election of a socialist government in 1982 did not result in a change of course. In fact, under Prime Minister Felipe Gonzalez, Spain’s economic reliance on tourism, property development, and construction deepened (López and Rodríguez, 2011: 7). Expansion of the construction sector was fueled by the Land Act of 1990, colloquially known as the ‘build anywhere’ law, which increased the scope of local governments to urbanize, and then by 1998 reforms passed by the Aznar government, which loosened procedures for building permits and significantly increased the stock of land available for construction (Baccaro and Bulfone 2022: 311). In the decade preceding the Eurozone crisis, domestic demand grew from 22 per cent of GDP in 1995 to 30 per cent in 2006, largely due to construction investment, which increased from 14 per cent to 21 per cent of GDP.</w:t>
      </w:r>
    </w:p>
    <w:p w14:paraId="584B45FA" w14:textId="77777777" w:rsidR="00DC336A" w:rsidRPr="00480BE9" w:rsidRDefault="00DC336A" w:rsidP="00DC336A">
      <w:pPr>
        <w:spacing w:line="480" w:lineRule="auto"/>
        <w:jc w:val="both"/>
        <w:rPr>
          <w:rFonts w:ascii="Times New Roman" w:hAnsi="Times New Roman" w:cs="Times New Roman"/>
          <w:highlight w:val="yellow"/>
        </w:rPr>
      </w:pPr>
    </w:p>
    <w:p w14:paraId="5AC86182"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The construction boom was to a large extent driven by immigration, as record numbers of migrants from Latin America and Eastern Europe, and the purchase of homes by foreign nationals, fueled demand (Baccaro and Bulfone 2022: 311). Spanish house prices more than tripled between the early 1990s and the mid-2000s, and housing stock expanded by 30 per cent (López and Rodríguez, 2011), while household debt doubled as a percentage of disposable income. As Baccaro and Pontusson (2022: 214) put it, ‘all the elements of a debt-driven construction boom’ were present. And indeed, after the Eurozone crisis came a housing crash: the market collapsed, and property prices fell by 42 per cent.</w:t>
      </w:r>
    </w:p>
    <w:p w14:paraId="5451A253" w14:textId="77777777" w:rsidR="00DC336A" w:rsidRPr="00480BE9" w:rsidRDefault="00DC336A" w:rsidP="00DC336A">
      <w:pPr>
        <w:spacing w:line="480" w:lineRule="auto"/>
        <w:jc w:val="both"/>
        <w:rPr>
          <w:rFonts w:ascii="Times New Roman" w:hAnsi="Times New Roman" w:cs="Times New Roman"/>
        </w:rPr>
      </w:pPr>
    </w:p>
    <w:p w14:paraId="5ACD2BC8" w14:textId="5F73BBD4"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lastRenderedPageBreak/>
        <w:t xml:space="preserve">The investor visa was one of several policies designed to reflate the property market. The Spanish scheme, with a </w:t>
      </w:r>
      <w:r w:rsidR="00034B56">
        <w:rPr>
          <w:rFonts w:ascii="Times New Roman" w:hAnsi="Times New Roman" w:cs="Times New Roman"/>
        </w:rPr>
        <w:t xml:space="preserve">much </w:t>
      </w:r>
      <w:r w:rsidRPr="00480BE9">
        <w:rPr>
          <w:rFonts w:ascii="Times New Roman" w:hAnsi="Times New Roman" w:cs="Times New Roman"/>
        </w:rPr>
        <w:t>lower investment threshold reserved for those who invest in property, was an explicit attempt to inject cash into the construction sector, in the hope of stimulating a domestic demand-led recovery. The investor programme certainly generated a significant inflow of foreign capital: investment through the visa programme represented about 13-15 per cent of all foreign transactions in the real estate market between 2013 and 2017 (Surak and Tsuzuki 2021: 17).</w:t>
      </w:r>
    </w:p>
    <w:p w14:paraId="0C158B80" w14:textId="77777777" w:rsidR="00DC336A" w:rsidRPr="00480BE9" w:rsidRDefault="00DC336A" w:rsidP="00DC336A">
      <w:pPr>
        <w:spacing w:line="480" w:lineRule="auto"/>
        <w:jc w:val="both"/>
        <w:rPr>
          <w:rFonts w:ascii="Times New Roman" w:hAnsi="Times New Roman" w:cs="Times New Roman"/>
        </w:rPr>
      </w:pPr>
    </w:p>
    <w:p w14:paraId="319559EF" w14:textId="77777777" w:rsidR="00DC336A" w:rsidRPr="00480BE9" w:rsidRDefault="00DC336A" w:rsidP="00DC336A">
      <w:pPr>
        <w:spacing w:line="480" w:lineRule="auto"/>
        <w:jc w:val="both"/>
        <w:rPr>
          <w:rFonts w:ascii="Times New Roman" w:eastAsia="MS Gothic" w:hAnsi="Times New Roman" w:cs="Times New Roman"/>
          <w:color w:val="000000"/>
        </w:rPr>
      </w:pPr>
      <w:r w:rsidRPr="00480BE9">
        <w:rPr>
          <w:rFonts w:ascii="Times New Roman" w:hAnsi="Times New Roman" w:cs="Times New Roman"/>
        </w:rPr>
        <w:t xml:space="preserve">While the two main governing parties </w:t>
      </w:r>
      <w:r w:rsidRPr="00480BE9">
        <w:rPr>
          <w:rFonts w:ascii="Times New Roman" w:eastAsia="MS Gothic" w:hAnsi="Times New Roman" w:cs="Times New Roman"/>
          <w:color w:val="000000"/>
        </w:rPr>
        <w:t>–</w:t>
      </w:r>
      <w:r w:rsidRPr="00480BE9">
        <w:rPr>
          <w:rFonts w:ascii="Times New Roman" w:hAnsi="Times New Roman" w:cs="Times New Roman"/>
        </w:rPr>
        <w:t xml:space="preserve"> the Conservative People’s Party (PP) and the Spanish Socialist Workers Party (PSOE) </w:t>
      </w:r>
      <w:r w:rsidRPr="00480BE9">
        <w:rPr>
          <w:rFonts w:ascii="Times New Roman" w:eastAsia="MS Gothic" w:hAnsi="Times New Roman" w:cs="Times New Roman"/>
          <w:color w:val="000000"/>
        </w:rPr>
        <w:t>– diverge on many other issues, there is a long-established political consensus over the construction-centric economic model. Both parties have pursued similar policies towards construction and housing when in government (</w:t>
      </w:r>
      <w:r w:rsidRPr="00480BE9">
        <w:rPr>
          <w:rFonts w:ascii="Times New Roman" w:hAnsi="Times New Roman" w:cs="Times New Roman"/>
        </w:rPr>
        <w:t>Baccaro and Pontusson 2022: 215)</w:t>
      </w:r>
      <w:r w:rsidRPr="00480BE9">
        <w:rPr>
          <w:rFonts w:ascii="Times New Roman" w:eastAsia="MS Gothic" w:hAnsi="Times New Roman" w:cs="Times New Roman"/>
          <w:color w:val="000000"/>
        </w:rPr>
        <w:t xml:space="preserve"> and both parties</w:t>
      </w:r>
      <w:r w:rsidRPr="00480BE9">
        <w:rPr>
          <w:rFonts w:ascii="Times New Roman" w:hAnsi="Times New Roman" w:cs="Times New Roman"/>
        </w:rPr>
        <w:t xml:space="preserve"> sought to encourage foreign investment in property after the crash.</w:t>
      </w:r>
      <w:r w:rsidRPr="00480BE9">
        <w:rPr>
          <w:rFonts w:ascii="Times New Roman" w:eastAsia="MS Gothic" w:hAnsi="Times New Roman" w:cs="Times New Roman"/>
          <w:color w:val="000000"/>
        </w:rPr>
        <w:t xml:space="preserve"> López and Rodríguez describe how rising property values was seen as ‘a matter of the state’ </w:t>
      </w:r>
      <w:r w:rsidRPr="00480BE9">
        <w:rPr>
          <w:rFonts w:ascii="Times New Roman" w:hAnsi="Times New Roman" w:cs="Times New Roman"/>
        </w:rPr>
        <w:t xml:space="preserve">(2011: 17). </w:t>
      </w:r>
    </w:p>
    <w:p w14:paraId="49A7F4A6" w14:textId="77777777" w:rsidR="00DC336A" w:rsidRPr="00480BE9" w:rsidRDefault="00DC336A" w:rsidP="00DC336A">
      <w:pPr>
        <w:spacing w:line="480" w:lineRule="auto"/>
        <w:jc w:val="both"/>
        <w:rPr>
          <w:rFonts w:ascii="Times New Roman" w:eastAsia="MS Gothic" w:hAnsi="Times New Roman" w:cs="Times New Roman"/>
          <w:color w:val="000000"/>
        </w:rPr>
      </w:pPr>
    </w:p>
    <w:p w14:paraId="4B616171" w14:textId="5A1F190D"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With a relatively modest threshold of </w:t>
      </w:r>
      <w:r w:rsidRPr="00480BE9">
        <w:rPr>
          <w:rFonts w:ascii="Times New Roman" w:hAnsi="Times New Roman" w:cs="Times New Roman"/>
          <w:color w:val="000000"/>
        </w:rPr>
        <w:t xml:space="preserve">€500,000, exactly half the amount required if an applicant opts for the capital investment route, </w:t>
      </w:r>
      <w:r w:rsidR="00034B56" w:rsidRPr="00480BE9">
        <w:rPr>
          <w:rFonts w:ascii="Times New Roman" w:hAnsi="Times New Roman" w:cs="Times New Roman"/>
          <w:color w:val="000000"/>
        </w:rPr>
        <w:t>Spain’s</w:t>
      </w:r>
      <w:r w:rsidRPr="00480BE9">
        <w:rPr>
          <w:rFonts w:ascii="Times New Roman" w:hAnsi="Times New Roman" w:cs="Times New Roman"/>
        </w:rPr>
        <w:t xml:space="preserve"> investor scheme is </w:t>
      </w:r>
      <w:r w:rsidR="00034B56">
        <w:rPr>
          <w:rFonts w:ascii="Times New Roman" w:hAnsi="Times New Roman" w:cs="Times New Roman"/>
        </w:rPr>
        <w:t xml:space="preserve">clearly </w:t>
      </w:r>
      <w:r w:rsidRPr="00480BE9">
        <w:rPr>
          <w:rFonts w:ascii="Times New Roman" w:hAnsi="Times New Roman" w:cs="Times New Roman"/>
        </w:rPr>
        <w:t xml:space="preserve">focused more on generating investment into the property market than on attracting high net worth foreigners. Unlike the French policy, Spain’s investor visa does not look to attract entrepreneurial migrants, so much as stimulate growth in the housing sector. While both policies emerged </w:t>
      </w:r>
      <w:r w:rsidR="00034B56">
        <w:rPr>
          <w:rFonts w:ascii="Times New Roman" w:hAnsi="Times New Roman" w:cs="Times New Roman"/>
        </w:rPr>
        <w:t>in</w:t>
      </w:r>
      <w:r w:rsidRPr="00480BE9">
        <w:rPr>
          <w:rFonts w:ascii="Times New Roman" w:hAnsi="Times New Roman" w:cs="Times New Roman"/>
        </w:rPr>
        <w:t xml:space="preserve"> response to the Eurozone crisis, the contrast between them illustrates how different economic models</w:t>
      </w:r>
      <w:r w:rsidR="00034B56">
        <w:rPr>
          <w:rFonts w:ascii="Times New Roman" w:hAnsi="Times New Roman" w:cs="Times New Roman"/>
        </w:rPr>
        <w:t>, and the diagnosis of economic problems and their solutions by political elites within the context of those models,</w:t>
      </w:r>
      <w:r w:rsidRPr="00480BE9">
        <w:rPr>
          <w:rFonts w:ascii="Times New Roman" w:hAnsi="Times New Roman" w:cs="Times New Roman"/>
        </w:rPr>
        <w:t xml:space="preserve"> have </w:t>
      </w:r>
      <w:r w:rsidR="00034B56">
        <w:rPr>
          <w:rFonts w:ascii="Times New Roman" w:hAnsi="Times New Roman" w:cs="Times New Roman"/>
        </w:rPr>
        <w:t>shaped</w:t>
      </w:r>
      <w:r w:rsidRPr="00480BE9">
        <w:rPr>
          <w:rFonts w:ascii="Times New Roman" w:hAnsi="Times New Roman" w:cs="Times New Roman"/>
        </w:rPr>
        <w:t xml:space="preserve"> the </w:t>
      </w:r>
      <w:r w:rsidR="00034B56">
        <w:rPr>
          <w:rFonts w:ascii="Times New Roman" w:hAnsi="Times New Roman" w:cs="Times New Roman"/>
        </w:rPr>
        <w:t xml:space="preserve">types of investment targeted by </w:t>
      </w:r>
      <w:r w:rsidRPr="00480BE9">
        <w:rPr>
          <w:rFonts w:ascii="Times New Roman" w:hAnsi="Times New Roman" w:cs="Times New Roman"/>
        </w:rPr>
        <w:t>investor programmes.</w:t>
      </w:r>
    </w:p>
    <w:p w14:paraId="71E3FD6C" w14:textId="77777777" w:rsidR="00DC336A" w:rsidRPr="00480BE9" w:rsidRDefault="00DC336A" w:rsidP="00DC336A">
      <w:pPr>
        <w:spacing w:line="480" w:lineRule="auto"/>
        <w:jc w:val="both"/>
        <w:rPr>
          <w:rFonts w:ascii="Times New Roman" w:hAnsi="Times New Roman" w:cs="Times New Roman"/>
        </w:rPr>
      </w:pPr>
    </w:p>
    <w:p w14:paraId="527DFC1D" w14:textId="77777777"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b/>
          <w:bCs/>
        </w:rPr>
        <w:t>Discussion</w:t>
      </w:r>
    </w:p>
    <w:p w14:paraId="463DC352" w14:textId="77777777" w:rsidR="00DC336A" w:rsidRPr="00480BE9" w:rsidRDefault="00DC336A" w:rsidP="00DC336A">
      <w:pPr>
        <w:spacing w:line="480" w:lineRule="auto"/>
        <w:jc w:val="both"/>
        <w:rPr>
          <w:rFonts w:ascii="Times New Roman" w:hAnsi="Times New Roman" w:cs="Times New Roman"/>
        </w:rPr>
      </w:pPr>
    </w:p>
    <w:p w14:paraId="4A7AF203" w14:textId="1F32ABD6"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 xml:space="preserve">Our case studies show that behind the common trend towards residence-by-investment schemes, </w:t>
      </w:r>
      <w:r w:rsidR="008B2E71">
        <w:rPr>
          <w:rFonts w:ascii="Times New Roman" w:hAnsi="Times New Roman" w:cs="Times New Roman"/>
        </w:rPr>
        <w:t>lie</w:t>
      </w:r>
      <w:r w:rsidRPr="00480BE9">
        <w:rPr>
          <w:rFonts w:ascii="Times New Roman" w:hAnsi="Times New Roman" w:cs="Times New Roman"/>
        </w:rPr>
        <w:t xml:space="preserve"> significant differences in their </w:t>
      </w:r>
      <w:r w:rsidR="002353DF">
        <w:rPr>
          <w:rFonts w:ascii="Times New Roman" w:hAnsi="Times New Roman" w:cs="Times New Roman"/>
        </w:rPr>
        <w:t xml:space="preserve">policy </w:t>
      </w:r>
      <w:r w:rsidRPr="00480BE9">
        <w:rPr>
          <w:rFonts w:ascii="Times New Roman" w:hAnsi="Times New Roman" w:cs="Times New Roman"/>
        </w:rPr>
        <w:t>aims</w:t>
      </w:r>
      <w:r w:rsidR="002353DF">
        <w:rPr>
          <w:rFonts w:ascii="Times New Roman" w:hAnsi="Times New Roman" w:cs="Times New Roman"/>
        </w:rPr>
        <w:t>.</w:t>
      </w:r>
      <w:r w:rsidRPr="00480BE9">
        <w:rPr>
          <w:rFonts w:ascii="Times New Roman" w:hAnsi="Times New Roman" w:cs="Times New Roman"/>
        </w:rPr>
        <w:t xml:space="preserve"> On the one hand, the introduction or liberalization of investor schemes after the 2008 crisis can be seen in all three countries. As part of their attempts to stimulate economic growth in the context of recession and fiscal austerity, the governments of the three countries all sought to facilitate migration of the global rich: France and Spain by introducing a new investor route, the UK by liberalizing its existing one. In all three cases, the admissions criteria and in-country rights afforded to investors were significantly more generous than for skilled and high-skilled workers.</w:t>
      </w:r>
    </w:p>
    <w:p w14:paraId="69A33308" w14:textId="77777777" w:rsidR="00DC336A" w:rsidRPr="00480BE9" w:rsidRDefault="00DC336A" w:rsidP="00DC336A">
      <w:pPr>
        <w:spacing w:line="480" w:lineRule="auto"/>
        <w:jc w:val="both"/>
        <w:rPr>
          <w:rFonts w:ascii="Times New Roman" w:hAnsi="Times New Roman" w:cs="Times New Roman"/>
        </w:rPr>
      </w:pPr>
    </w:p>
    <w:p w14:paraId="34E9A0DC" w14:textId="12712B2D" w:rsidR="00DC336A" w:rsidRPr="00480BE9" w:rsidRDefault="00DC336A" w:rsidP="00DC336A">
      <w:pPr>
        <w:spacing w:line="480" w:lineRule="auto"/>
        <w:jc w:val="both"/>
        <w:rPr>
          <w:rFonts w:ascii="Times New Roman" w:hAnsi="Times New Roman" w:cs="Times New Roman"/>
        </w:rPr>
      </w:pPr>
      <w:r w:rsidRPr="00480BE9">
        <w:rPr>
          <w:rFonts w:ascii="Times New Roman" w:hAnsi="Times New Roman" w:cs="Times New Roman"/>
        </w:rPr>
        <w:t>Another common theme is the relative absence of political contestation surrounding the introduction of residence-by-investment schemes. The introduction of investor visa</w:t>
      </w:r>
      <w:r w:rsidR="006B120F">
        <w:rPr>
          <w:rFonts w:ascii="Times New Roman" w:hAnsi="Times New Roman" w:cs="Times New Roman"/>
        </w:rPr>
        <w:t>s</w:t>
      </w:r>
      <w:r w:rsidRPr="00480BE9">
        <w:rPr>
          <w:rFonts w:ascii="Times New Roman" w:hAnsi="Times New Roman" w:cs="Times New Roman"/>
        </w:rPr>
        <w:t xml:space="preserve"> did not, at least initially, attract political controversy that often surrounds proposals to open routes for migrant workers. This is surely in part because investor migration is much smaller than labour migration, so barely registers on overall numbers; but it also seems to reflect </w:t>
      </w:r>
      <w:r w:rsidR="008B2E71">
        <w:rPr>
          <w:rFonts w:ascii="Times New Roman" w:hAnsi="Times New Roman" w:cs="Times New Roman"/>
        </w:rPr>
        <w:t>cross-party</w:t>
      </w:r>
      <w:r w:rsidRPr="00480BE9">
        <w:rPr>
          <w:rFonts w:ascii="Times New Roman" w:hAnsi="Times New Roman" w:cs="Times New Roman"/>
        </w:rPr>
        <w:t xml:space="preserve"> assumption</w:t>
      </w:r>
      <w:r w:rsidR="008B2E71">
        <w:rPr>
          <w:rFonts w:ascii="Times New Roman" w:hAnsi="Times New Roman" w:cs="Times New Roman"/>
        </w:rPr>
        <w:t>s</w:t>
      </w:r>
      <w:r w:rsidRPr="00480BE9">
        <w:rPr>
          <w:rFonts w:ascii="Times New Roman" w:hAnsi="Times New Roman" w:cs="Times New Roman"/>
        </w:rPr>
        <w:t xml:space="preserve"> that investor migration could be championed as a straightforward benefit to the host country. In none of the three countries we examined did opposition parties mobilize against investor migration. Indeed, there was a cross-party consensus that attracting wealthy people w</w:t>
      </w:r>
      <w:r w:rsidR="006B120F">
        <w:rPr>
          <w:rFonts w:ascii="Times New Roman" w:hAnsi="Times New Roman" w:cs="Times New Roman"/>
        </w:rPr>
        <w:t>as beneficial</w:t>
      </w:r>
      <w:r w:rsidRPr="00480BE9">
        <w:rPr>
          <w:rFonts w:ascii="Times New Roman" w:hAnsi="Times New Roman" w:cs="Times New Roman"/>
        </w:rPr>
        <w:t>, whether to stimulate the housing market (Spain), liberalize the economy (France), or enable flows of foreign capital into a global financial centre (the UK).</w:t>
      </w:r>
    </w:p>
    <w:p w14:paraId="4543E7A1" w14:textId="77777777" w:rsidR="006B120F" w:rsidRDefault="006B120F" w:rsidP="00DC336A">
      <w:pPr>
        <w:spacing w:line="480" w:lineRule="auto"/>
        <w:jc w:val="both"/>
        <w:rPr>
          <w:rFonts w:ascii="Times New Roman" w:hAnsi="Times New Roman" w:cs="Times New Roman"/>
          <w:highlight w:val="yellow"/>
        </w:rPr>
      </w:pPr>
    </w:p>
    <w:p w14:paraId="2BF0F3B5" w14:textId="1D364F3D" w:rsidR="00DC336A" w:rsidRDefault="008B2E71" w:rsidP="00DC336A">
      <w:pPr>
        <w:spacing w:line="480" w:lineRule="auto"/>
        <w:jc w:val="both"/>
        <w:rPr>
          <w:rFonts w:ascii="Times New Roman" w:hAnsi="Times New Roman" w:cs="Times New Roman"/>
        </w:rPr>
      </w:pPr>
      <w:r>
        <w:rPr>
          <w:rFonts w:ascii="Times New Roman" w:hAnsi="Times New Roman" w:cs="Times New Roman"/>
          <w:color w:val="000000" w:themeColor="text1"/>
        </w:rPr>
        <w:t>This said, w</w:t>
      </w:r>
      <w:r w:rsidR="003C3FF2" w:rsidRPr="006B120F">
        <w:rPr>
          <w:rFonts w:ascii="Times New Roman" w:hAnsi="Times New Roman" w:cs="Times New Roman"/>
          <w:color w:val="000000" w:themeColor="text1"/>
        </w:rPr>
        <w:t xml:space="preserve">ith the closure of the UK scheme in 2022, and the announcement by the Portuguese government in February 2023 that it intends to close its </w:t>
      </w:r>
      <w:r w:rsidR="006B120F">
        <w:rPr>
          <w:rFonts w:ascii="Times New Roman" w:hAnsi="Times New Roman" w:cs="Times New Roman"/>
          <w:color w:val="000000" w:themeColor="text1"/>
        </w:rPr>
        <w:t xml:space="preserve">golden </w:t>
      </w:r>
      <w:r w:rsidR="003C3FF2" w:rsidRPr="006B120F">
        <w:rPr>
          <w:rFonts w:ascii="Times New Roman" w:hAnsi="Times New Roman" w:cs="Times New Roman"/>
          <w:color w:val="000000" w:themeColor="text1"/>
        </w:rPr>
        <w:t>visa scheme</w:t>
      </w:r>
      <w:r w:rsidR="006B120F">
        <w:rPr>
          <w:rFonts w:ascii="Times New Roman" w:hAnsi="Times New Roman" w:cs="Times New Roman"/>
          <w:color w:val="000000" w:themeColor="text1"/>
        </w:rPr>
        <w:t>,</w:t>
      </w:r>
      <w:r w:rsidR="00DC336A" w:rsidRPr="00480BE9">
        <w:rPr>
          <w:rFonts w:ascii="Times New Roman" w:hAnsi="Times New Roman" w:cs="Times New Roman"/>
        </w:rPr>
        <w:t xml:space="preserve"> </w:t>
      </w:r>
      <w:r w:rsidR="00DC336A" w:rsidRPr="00480BE9">
        <w:rPr>
          <w:rFonts w:ascii="Times New Roman" w:hAnsi="Times New Roman" w:cs="Times New Roman"/>
        </w:rPr>
        <w:lastRenderedPageBreak/>
        <w:t>cracks</w:t>
      </w:r>
      <w:r w:rsidR="006B120F">
        <w:rPr>
          <w:rFonts w:ascii="Times New Roman" w:hAnsi="Times New Roman" w:cs="Times New Roman"/>
        </w:rPr>
        <w:t xml:space="preserve"> are</w:t>
      </w:r>
      <w:r>
        <w:rPr>
          <w:rFonts w:ascii="Times New Roman" w:hAnsi="Times New Roman" w:cs="Times New Roman"/>
        </w:rPr>
        <w:t xml:space="preserve"> beginning to show</w:t>
      </w:r>
      <w:r w:rsidR="00DC336A" w:rsidRPr="00480BE9">
        <w:rPr>
          <w:rFonts w:ascii="Times New Roman" w:hAnsi="Times New Roman" w:cs="Times New Roman"/>
        </w:rPr>
        <w:t xml:space="preserve"> in this consensus.</w:t>
      </w:r>
      <w:r w:rsidR="006B120F">
        <w:rPr>
          <w:rFonts w:ascii="Times New Roman" w:hAnsi="Times New Roman" w:cs="Times New Roman"/>
        </w:rPr>
        <w:t xml:space="preserve"> </w:t>
      </w:r>
      <w:r>
        <w:rPr>
          <w:rFonts w:ascii="Times New Roman" w:hAnsi="Times New Roman" w:cs="Times New Roman"/>
        </w:rPr>
        <w:t>As long ago as</w:t>
      </w:r>
      <w:r w:rsidR="00DC336A" w:rsidRPr="00480BE9">
        <w:rPr>
          <w:rFonts w:ascii="Times New Roman" w:hAnsi="Times New Roman" w:cs="Times New Roman"/>
        </w:rPr>
        <w:t xml:space="preserve"> 2014, research for the UK government </w:t>
      </w:r>
      <w:r>
        <w:rPr>
          <w:rFonts w:ascii="Times New Roman" w:hAnsi="Times New Roman" w:cs="Times New Roman"/>
        </w:rPr>
        <w:t xml:space="preserve">had </w:t>
      </w:r>
      <w:r w:rsidR="00DC336A" w:rsidRPr="00480BE9">
        <w:rPr>
          <w:rFonts w:ascii="Times New Roman" w:hAnsi="Times New Roman" w:cs="Times New Roman"/>
        </w:rPr>
        <w:t xml:space="preserve">found the economic benefits of </w:t>
      </w:r>
      <w:r>
        <w:rPr>
          <w:rFonts w:ascii="Times New Roman" w:hAnsi="Times New Roman" w:cs="Times New Roman"/>
        </w:rPr>
        <w:t>the Tier 1</w:t>
      </w:r>
      <w:r w:rsidR="00DC336A" w:rsidRPr="00480BE9">
        <w:rPr>
          <w:rFonts w:ascii="Times New Roman" w:hAnsi="Times New Roman" w:cs="Times New Roman"/>
        </w:rPr>
        <w:t xml:space="preserve"> investor scheme to be unclear (MAC, 2014). Others have questioned the potential for investor visas to facilitate illegal and corrupt activity. The European Commission raised concerns that investor visas may facilitate money laundering and tax evasion (Commission 2019a). Ana Gomes, the former Portuguese MEP who campaigned on corruption, was more direct: ‘golden visas are an insane program, because obviously they are conduits for importing organized crime in the European Union’ (quoted in Transparency International 2015: 16). </w:t>
      </w:r>
      <w:r w:rsidR="00DC336A" w:rsidRPr="006B120F">
        <w:rPr>
          <w:rFonts w:ascii="Times New Roman" w:hAnsi="Times New Roman" w:cs="Times New Roman"/>
        </w:rPr>
        <w:t xml:space="preserve">It is too early to judge whether the closure of the UK </w:t>
      </w:r>
      <w:r w:rsidR="006B120F" w:rsidRPr="006B120F">
        <w:rPr>
          <w:rFonts w:ascii="Times New Roman" w:hAnsi="Times New Roman" w:cs="Times New Roman"/>
        </w:rPr>
        <w:t xml:space="preserve">and Portuguese schemes </w:t>
      </w:r>
      <w:r w:rsidR="00DC336A" w:rsidRPr="006B120F">
        <w:rPr>
          <w:rFonts w:ascii="Times New Roman" w:hAnsi="Times New Roman" w:cs="Times New Roman"/>
        </w:rPr>
        <w:t>will be followed by a wider retrenchment</w:t>
      </w:r>
      <w:r w:rsidR="006B120F">
        <w:rPr>
          <w:rFonts w:ascii="Times New Roman" w:hAnsi="Times New Roman" w:cs="Times New Roman"/>
        </w:rPr>
        <w:t>, but geopolitical shifts do appear to be undermining European governments’ enthusiasm for golden visas.</w:t>
      </w:r>
    </w:p>
    <w:p w14:paraId="303D6AC3" w14:textId="77777777" w:rsidR="006B120F" w:rsidRDefault="006B120F" w:rsidP="00DC336A">
      <w:pPr>
        <w:spacing w:line="480" w:lineRule="auto"/>
        <w:jc w:val="both"/>
        <w:rPr>
          <w:rFonts w:ascii="Times New Roman" w:hAnsi="Times New Roman" w:cs="Times New Roman"/>
        </w:rPr>
      </w:pPr>
    </w:p>
    <w:p w14:paraId="0595A8E3" w14:textId="73F806E9" w:rsidR="006B120F" w:rsidRPr="00480BE9" w:rsidRDefault="006B120F" w:rsidP="00DC336A">
      <w:pPr>
        <w:spacing w:line="480" w:lineRule="auto"/>
        <w:jc w:val="both"/>
        <w:rPr>
          <w:rFonts w:ascii="Times New Roman" w:hAnsi="Times New Roman" w:cs="Times New Roman"/>
        </w:rPr>
      </w:pPr>
      <w:r>
        <w:rPr>
          <w:rFonts w:ascii="Times New Roman" w:hAnsi="Times New Roman" w:cs="Times New Roman"/>
        </w:rPr>
        <w:t>The elite-driven character of investor visa policymaking arguably means that investor visas are more susceptible to geopolitic</w:t>
      </w:r>
      <w:r w:rsidR="00A630E0">
        <w:rPr>
          <w:rFonts w:ascii="Times New Roman" w:hAnsi="Times New Roman" w:cs="Times New Roman"/>
        </w:rPr>
        <w:t>al shifts</w:t>
      </w:r>
      <w:r>
        <w:rPr>
          <w:rFonts w:ascii="Times New Roman" w:hAnsi="Times New Roman" w:cs="Times New Roman"/>
        </w:rPr>
        <w:t xml:space="preserve"> than </w:t>
      </w:r>
      <w:r w:rsidR="00A630E0">
        <w:rPr>
          <w:rFonts w:ascii="Times New Roman" w:hAnsi="Times New Roman" w:cs="Times New Roman"/>
        </w:rPr>
        <w:t xml:space="preserve">labour migration </w:t>
      </w:r>
      <w:r>
        <w:rPr>
          <w:rFonts w:ascii="Times New Roman" w:hAnsi="Times New Roman" w:cs="Times New Roman"/>
        </w:rPr>
        <w:t xml:space="preserve">policies </w:t>
      </w:r>
      <w:r w:rsidR="008B2E71">
        <w:rPr>
          <w:rFonts w:ascii="Times New Roman" w:hAnsi="Times New Roman" w:cs="Times New Roman"/>
        </w:rPr>
        <w:t>embedded in</w:t>
      </w:r>
      <w:r w:rsidR="00A630E0">
        <w:rPr>
          <w:rFonts w:ascii="Times New Roman" w:hAnsi="Times New Roman" w:cs="Times New Roman"/>
        </w:rPr>
        <w:t xml:space="preserve"> the demands of </w:t>
      </w:r>
      <w:r>
        <w:rPr>
          <w:rFonts w:ascii="Times New Roman" w:hAnsi="Times New Roman" w:cs="Times New Roman"/>
        </w:rPr>
        <w:t xml:space="preserve">domestic interest groups. When the political heat goes up, investor visas can be quickly dropped, as the UK case illustrates. The Russian invasion of Ukraine, and </w:t>
      </w:r>
      <w:r w:rsidR="00A630E0">
        <w:rPr>
          <w:rFonts w:ascii="Times New Roman" w:hAnsi="Times New Roman" w:cs="Times New Roman"/>
        </w:rPr>
        <w:t xml:space="preserve">what </w:t>
      </w:r>
      <w:r>
        <w:rPr>
          <w:rFonts w:ascii="Times New Roman" w:hAnsi="Times New Roman" w:cs="Times New Roman"/>
        </w:rPr>
        <w:t>the European Commission President, Ursula von der Leyen</w:t>
      </w:r>
      <w:r w:rsidR="00242D17">
        <w:rPr>
          <w:rFonts w:ascii="Times New Roman" w:hAnsi="Times New Roman" w:cs="Times New Roman"/>
        </w:rPr>
        <w:t>,</w:t>
      </w:r>
      <w:r>
        <w:rPr>
          <w:rFonts w:ascii="Times New Roman" w:hAnsi="Times New Roman" w:cs="Times New Roman"/>
        </w:rPr>
        <w:t xml:space="preserve"> has </w:t>
      </w:r>
      <w:r w:rsidR="00A630E0">
        <w:rPr>
          <w:rFonts w:ascii="Times New Roman" w:hAnsi="Times New Roman" w:cs="Times New Roman"/>
        </w:rPr>
        <w:t>called</w:t>
      </w:r>
      <w:r>
        <w:rPr>
          <w:rFonts w:ascii="Times New Roman" w:hAnsi="Times New Roman" w:cs="Times New Roman"/>
        </w:rPr>
        <w:t xml:space="preserve"> ‘more distant and more difficult’</w:t>
      </w:r>
      <w:r w:rsidR="00A630E0">
        <w:rPr>
          <w:rFonts w:ascii="Times New Roman" w:hAnsi="Times New Roman" w:cs="Times New Roman"/>
        </w:rPr>
        <w:t xml:space="preserve"> relations with China (European Commission 2023)</w:t>
      </w:r>
      <w:r>
        <w:rPr>
          <w:rFonts w:ascii="Times New Roman" w:hAnsi="Times New Roman" w:cs="Times New Roman"/>
        </w:rPr>
        <w:t xml:space="preserve"> </w:t>
      </w:r>
      <w:r w:rsidR="00E2633B">
        <w:rPr>
          <w:rFonts w:ascii="Times New Roman" w:hAnsi="Times New Roman" w:cs="Times New Roman"/>
        </w:rPr>
        <w:t>have redrawn the geopolitical map, reinforcing concerns about permissive approaches towards those country’s elites</w:t>
      </w:r>
      <w:r w:rsidR="00982CC4">
        <w:rPr>
          <w:rFonts w:ascii="Times New Roman" w:hAnsi="Times New Roman" w:cs="Times New Roman"/>
        </w:rPr>
        <w:t xml:space="preserve"> </w:t>
      </w:r>
      <w:r>
        <w:rPr>
          <w:rFonts w:ascii="Times New Roman" w:hAnsi="Times New Roman" w:cs="Times New Roman"/>
        </w:rPr>
        <w:t>(</w:t>
      </w:r>
      <w:r w:rsidR="008B2E71">
        <w:rPr>
          <w:rFonts w:ascii="Times New Roman" w:hAnsi="Times New Roman" w:cs="Times New Roman"/>
        </w:rPr>
        <w:t>n</w:t>
      </w:r>
      <w:r>
        <w:rPr>
          <w:rFonts w:ascii="Times New Roman" w:hAnsi="Times New Roman" w:cs="Times New Roman"/>
        </w:rPr>
        <w:t xml:space="preserve">otably, Russia and China were the top two nationalities for the UK </w:t>
      </w:r>
      <w:r w:rsidR="00E2633B">
        <w:rPr>
          <w:rFonts w:ascii="Times New Roman" w:hAnsi="Times New Roman" w:cs="Times New Roman"/>
        </w:rPr>
        <w:t xml:space="preserve">investor </w:t>
      </w:r>
      <w:r>
        <w:rPr>
          <w:rFonts w:ascii="Times New Roman" w:hAnsi="Times New Roman" w:cs="Times New Roman"/>
        </w:rPr>
        <w:t>scheme</w:t>
      </w:r>
      <w:r w:rsidR="008B2E71">
        <w:rPr>
          <w:rFonts w:ascii="Times New Roman" w:hAnsi="Times New Roman" w:cs="Times New Roman"/>
        </w:rPr>
        <w:t>).</w:t>
      </w:r>
      <w:r>
        <w:rPr>
          <w:rFonts w:ascii="Times New Roman" w:hAnsi="Times New Roman" w:cs="Times New Roman"/>
        </w:rPr>
        <w:t xml:space="preserve"> </w:t>
      </w:r>
      <w:r w:rsidR="00A630E0">
        <w:rPr>
          <w:rFonts w:ascii="Times New Roman" w:hAnsi="Times New Roman" w:cs="Times New Roman"/>
        </w:rPr>
        <w:t>It is possible that other i</w:t>
      </w:r>
      <w:r>
        <w:rPr>
          <w:rFonts w:ascii="Times New Roman" w:hAnsi="Times New Roman" w:cs="Times New Roman"/>
        </w:rPr>
        <w:t>nvestor visa</w:t>
      </w:r>
      <w:r w:rsidR="00A630E0">
        <w:rPr>
          <w:rFonts w:ascii="Times New Roman" w:hAnsi="Times New Roman" w:cs="Times New Roman"/>
        </w:rPr>
        <w:t xml:space="preserve"> schemes</w:t>
      </w:r>
      <w:r>
        <w:rPr>
          <w:rFonts w:ascii="Times New Roman" w:hAnsi="Times New Roman" w:cs="Times New Roman"/>
        </w:rPr>
        <w:t xml:space="preserve"> </w:t>
      </w:r>
      <w:r w:rsidR="00A630E0">
        <w:rPr>
          <w:rFonts w:ascii="Times New Roman" w:hAnsi="Times New Roman" w:cs="Times New Roman"/>
        </w:rPr>
        <w:t>will</w:t>
      </w:r>
      <w:r>
        <w:rPr>
          <w:rFonts w:ascii="Times New Roman" w:hAnsi="Times New Roman" w:cs="Times New Roman"/>
        </w:rPr>
        <w:t xml:space="preserve"> </w:t>
      </w:r>
      <w:r w:rsidR="00A630E0">
        <w:rPr>
          <w:rFonts w:ascii="Times New Roman" w:hAnsi="Times New Roman" w:cs="Times New Roman"/>
        </w:rPr>
        <w:t>come under pressure given the ‘economic de-risking’ that von der Leyen advocate</w:t>
      </w:r>
      <w:r w:rsidR="00982CC4">
        <w:rPr>
          <w:rFonts w:ascii="Times New Roman" w:hAnsi="Times New Roman" w:cs="Times New Roman"/>
        </w:rPr>
        <w:t>s,</w:t>
      </w:r>
      <w:r w:rsidR="00A630E0">
        <w:rPr>
          <w:rFonts w:ascii="Times New Roman" w:hAnsi="Times New Roman" w:cs="Times New Roman"/>
        </w:rPr>
        <w:t xml:space="preserve"> and</w:t>
      </w:r>
      <w:r w:rsidR="00982CC4">
        <w:rPr>
          <w:rFonts w:ascii="Times New Roman" w:hAnsi="Times New Roman" w:cs="Times New Roman"/>
        </w:rPr>
        <w:t xml:space="preserve"> </w:t>
      </w:r>
      <w:r w:rsidR="00A630E0">
        <w:rPr>
          <w:rFonts w:ascii="Times New Roman" w:hAnsi="Times New Roman" w:cs="Times New Roman"/>
        </w:rPr>
        <w:t xml:space="preserve">the </w:t>
      </w:r>
      <w:r w:rsidR="00F0362F">
        <w:rPr>
          <w:rFonts w:ascii="Times New Roman" w:hAnsi="Times New Roman" w:cs="Times New Roman"/>
        </w:rPr>
        <w:t>EU’s</w:t>
      </w:r>
      <w:r w:rsidR="00A630E0">
        <w:rPr>
          <w:rFonts w:ascii="Times New Roman" w:hAnsi="Times New Roman" w:cs="Times New Roman"/>
        </w:rPr>
        <w:t xml:space="preserve"> wider</w:t>
      </w:r>
      <w:r>
        <w:rPr>
          <w:rFonts w:ascii="Times New Roman" w:hAnsi="Times New Roman" w:cs="Times New Roman"/>
        </w:rPr>
        <w:t xml:space="preserve"> ‘strategic autonomy’</w:t>
      </w:r>
      <w:r w:rsidR="00F0362F">
        <w:rPr>
          <w:rFonts w:ascii="Times New Roman" w:hAnsi="Times New Roman" w:cs="Times New Roman"/>
        </w:rPr>
        <w:t xml:space="preserve"> agenda</w:t>
      </w:r>
      <w:r>
        <w:rPr>
          <w:rFonts w:ascii="Times New Roman" w:hAnsi="Times New Roman" w:cs="Times New Roman"/>
        </w:rPr>
        <w:t>.</w:t>
      </w:r>
    </w:p>
    <w:p w14:paraId="55C229D1" w14:textId="160F92EA" w:rsidR="00DC336A" w:rsidRPr="00480BE9" w:rsidRDefault="00DC336A" w:rsidP="00DC336A">
      <w:pPr>
        <w:spacing w:line="480" w:lineRule="auto"/>
        <w:jc w:val="both"/>
        <w:rPr>
          <w:rFonts w:ascii="Times New Roman" w:hAnsi="Times New Roman" w:cs="Times New Roman"/>
        </w:rPr>
      </w:pPr>
    </w:p>
    <w:p w14:paraId="7688FD5C" w14:textId="20B74F8B" w:rsidR="00DC336A" w:rsidRPr="00480BE9" w:rsidRDefault="00982CC4" w:rsidP="00DC336A">
      <w:pPr>
        <w:spacing w:line="480" w:lineRule="auto"/>
        <w:jc w:val="both"/>
        <w:rPr>
          <w:rFonts w:ascii="Times New Roman" w:hAnsi="Times New Roman" w:cs="Times New Roman"/>
        </w:rPr>
      </w:pPr>
      <w:r>
        <w:rPr>
          <w:rFonts w:ascii="Times New Roman" w:hAnsi="Times New Roman" w:cs="Times New Roman"/>
        </w:rPr>
        <w:t>At the same</w:t>
      </w:r>
      <w:r w:rsidR="008B2E71">
        <w:rPr>
          <w:rFonts w:ascii="Times New Roman" w:hAnsi="Times New Roman" w:cs="Times New Roman"/>
        </w:rPr>
        <w:t xml:space="preserve"> time</w:t>
      </w:r>
      <w:r>
        <w:rPr>
          <w:rFonts w:ascii="Times New Roman" w:hAnsi="Times New Roman" w:cs="Times New Roman"/>
        </w:rPr>
        <w:t xml:space="preserve">, we have shown that </w:t>
      </w:r>
      <w:r w:rsidR="006B120F">
        <w:rPr>
          <w:rFonts w:ascii="Times New Roman" w:hAnsi="Times New Roman" w:cs="Times New Roman"/>
        </w:rPr>
        <w:t>investor visas policies are embedded in national political economies</w:t>
      </w:r>
      <w:r>
        <w:rPr>
          <w:rFonts w:ascii="Times New Roman" w:hAnsi="Times New Roman" w:cs="Times New Roman"/>
        </w:rPr>
        <w:t xml:space="preserve"> in ways that may ensure their resilience where the risks are perceived to be low and economic benefits high. </w:t>
      </w:r>
      <w:r w:rsidR="008B2E71">
        <w:rPr>
          <w:rFonts w:ascii="Times New Roman" w:hAnsi="Times New Roman" w:cs="Times New Roman"/>
        </w:rPr>
        <w:t>T</w:t>
      </w:r>
      <w:r>
        <w:rPr>
          <w:rFonts w:ascii="Times New Roman" w:hAnsi="Times New Roman" w:cs="Times New Roman"/>
        </w:rPr>
        <w:t>he</w:t>
      </w:r>
      <w:r w:rsidR="00DC336A" w:rsidRPr="00480BE9">
        <w:rPr>
          <w:rFonts w:ascii="Times New Roman" w:hAnsi="Times New Roman" w:cs="Times New Roman"/>
        </w:rPr>
        <w:t xml:space="preserve"> differen</w:t>
      </w:r>
      <w:r>
        <w:rPr>
          <w:rFonts w:ascii="Times New Roman" w:hAnsi="Times New Roman" w:cs="Times New Roman"/>
        </w:rPr>
        <w:t>t</w:t>
      </w:r>
      <w:r w:rsidR="00DC336A" w:rsidRPr="00480BE9">
        <w:rPr>
          <w:rFonts w:ascii="Times New Roman" w:hAnsi="Times New Roman" w:cs="Times New Roman"/>
        </w:rPr>
        <w:t xml:space="preserve"> aims and </w:t>
      </w:r>
      <w:r>
        <w:rPr>
          <w:rFonts w:ascii="Times New Roman" w:hAnsi="Times New Roman" w:cs="Times New Roman"/>
        </w:rPr>
        <w:t>investment targets of t</w:t>
      </w:r>
      <w:r w:rsidR="00DC336A" w:rsidRPr="00480BE9">
        <w:rPr>
          <w:rFonts w:ascii="Times New Roman" w:hAnsi="Times New Roman" w:cs="Times New Roman"/>
        </w:rPr>
        <w:t xml:space="preserve">he </w:t>
      </w:r>
      <w:r>
        <w:rPr>
          <w:rFonts w:ascii="Times New Roman" w:hAnsi="Times New Roman" w:cs="Times New Roman"/>
        </w:rPr>
        <w:t xml:space="preserve">various </w:t>
      </w:r>
      <w:r w:rsidR="00DC336A" w:rsidRPr="00480BE9">
        <w:rPr>
          <w:rFonts w:ascii="Times New Roman" w:hAnsi="Times New Roman" w:cs="Times New Roman"/>
        </w:rPr>
        <w:lastRenderedPageBreak/>
        <w:t xml:space="preserve">schemes can be traced to </w:t>
      </w:r>
      <w:r w:rsidR="008B2E71">
        <w:rPr>
          <w:rFonts w:ascii="Times New Roman" w:hAnsi="Times New Roman" w:cs="Times New Roman"/>
        </w:rPr>
        <w:t>differences in the sectoral composition and drivers of growth in national economic models, and to elites’ diagnoses of how to revive growth in the aftermath of the 2008 crisis</w:t>
      </w:r>
      <w:r w:rsidR="00DC336A" w:rsidRPr="00480BE9">
        <w:rPr>
          <w:rFonts w:ascii="Times New Roman" w:hAnsi="Times New Roman" w:cs="Times New Roman"/>
        </w:rPr>
        <w:t xml:space="preserve">. </w:t>
      </w:r>
      <w:r>
        <w:rPr>
          <w:rFonts w:ascii="Times New Roman" w:hAnsi="Times New Roman" w:cs="Times New Roman"/>
        </w:rPr>
        <w:t>Thus</w:t>
      </w:r>
      <w:r w:rsidR="008B2E71">
        <w:rPr>
          <w:rFonts w:ascii="Times New Roman" w:hAnsi="Times New Roman" w:cs="Times New Roman"/>
        </w:rPr>
        <w:t>,</w:t>
      </w:r>
      <w:r>
        <w:rPr>
          <w:rFonts w:ascii="Times New Roman" w:hAnsi="Times New Roman" w:cs="Times New Roman"/>
        </w:rPr>
        <w:t xml:space="preserve"> s</w:t>
      </w:r>
      <w:r w:rsidR="00DC336A" w:rsidRPr="00480BE9">
        <w:rPr>
          <w:rFonts w:ascii="Times New Roman" w:hAnsi="Times New Roman" w:cs="Times New Roman"/>
        </w:rPr>
        <w:t xml:space="preserve">uccessive UK governments sought to fuel London as a global financial centre, enabling the super-rich to channel </w:t>
      </w:r>
      <w:r w:rsidR="008B2E71">
        <w:rPr>
          <w:rFonts w:ascii="Times New Roman" w:hAnsi="Times New Roman" w:cs="Times New Roman"/>
        </w:rPr>
        <w:t>money</w:t>
      </w:r>
      <w:r w:rsidR="00DC336A" w:rsidRPr="00480BE9">
        <w:rPr>
          <w:rFonts w:ascii="Times New Roman" w:hAnsi="Times New Roman" w:cs="Times New Roman"/>
        </w:rPr>
        <w:t xml:space="preserve"> into the City</w:t>
      </w:r>
      <w:r w:rsidR="008B2E71">
        <w:rPr>
          <w:rFonts w:ascii="Times New Roman" w:hAnsi="Times New Roman" w:cs="Times New Roman"/>
        </w:rPr>
        <w:t xml:space="preserve"> of London</w:t>
      </w:r>
      <w:r w:rsidR="00DC336A" w:rsidRPr="00480BE9">
        <w:rPr>
          <w:rFonts w:ascii="Times New Roman" w:hAnsi="Times New Roman" w:cs="Times New Roman"/>
        </w:rPr>
        <w:t>, property, and luxury consumption</w:t>
      </w:r>
      <w:r>
        <w:rPr>
          <w:rFonts w:ascii="Times New Roman" w:hAnsi="Times New Roman" w:cs="Times New Roman"/>
        </w:rPr>
        <w:t>; t</w:t>
      </w:r>
      <w:r w:rsidR="00DC336A" w:rsidRPr="00480BE9">
        <w:rPr>
          <w:rFonts w:ascii="Times New Roman" w:hAnsi="Times New Roman" w:cs="Times New Roman"/>
        </w:rPr>
        <w:t>he French investor policy was part of the Sarkozy government’s attempt to attract technology entrepreneurs and liberalize the French economy</w:t>
      </w:r>
      <w:r>
        <w:rPr>
          <w:rFonts w:ascii="Times New Roman" w:hAnsi="Times New Roman" w:cs="Times New Roman"/>
        </w:rPr>
        <w:t>; while</w:t>
      </w:r>
      <w:r w:rsidR="00DC336A" w:rsidRPr="00480BE9">
        <w:rPr>
          <w:rFonts w:ascii="Times New Roman" w:hAnsi="Times New Roman" w:cs="Times New Roman"/>
        </w:rPr>
        <w:t xml:space="preserve"> Spain’s investor scheme was intended to reflate the property market and </w:t>
      </w:r>
      <w:r w:rsidR="008B2E71">
        <w:rPr>
          <w:rFonts w:ascii="Times New Roman" w:hAnsi="Times New Roman" w:cs="Times New Roman"/>
        </w:rPr>
        <w:t xml:space="preserve">rescue </w:t>
      </w:r>
      <w:r>
        <w:rPr>
          <w:rFonts w:ascii="Times New Roman" w:hAnsi="Times New Roman" w:cs="Times New Roman"/>
        </w:rPr>
        <w:t xml:space="preserve">the dominant </w:t>
      </w:r>
      <w:r w:rsidR="00DC336A" w:rsidRPr="00480BE9">
        <w:rPr>
          <w:rFonts w:ascii="Times New Roman" w:hAnsi="Times New Roman" w:cs="Times New Roman"/>
        </w:rPr>
        <w:t>construction sector</w:t>
      </w:r>
      <w:r>
        <w:rPr>
          <w:rFonts w:ascii="Times New Roman" w:hAnsi="Times New Roman" w:cs="Times New Roman"/>
        </w:rPr>
        <w:t xml:space="preserve"> by </w:t>
      </w:r>
      <w:r w:rsidR="00DC336A" w:rsidRPr="00480BE9">
        <w:rPr>
          <w:rFonts w:ascii="Times New Roman" w:hAnsi="Times New Roman" w:cs="Times New Roman"/>
        </w:rPr>
        <w:t>attract</w:t>
      </w:r>
      <w:r>
        <w:rPr>
          <w:rFonts w:ascii="Times New Roman" w:hAnsi="Times New Roman" w:cs="Times New Roman"/>
        </w:rPr>
        <w:t>ing</w:t>
      </w:r>
      <w:r w:rsidR="00DC336A" w:rsidRPr="00480BE9">
        <w:rPr>
          <w:rFonts w:ascii="Times New Roman" w:hAnsi="Times New Roman" w:cs="Times New Roman"/>
        </w:rPr>
        <w:t xml:space="preserve"> real estate investment</w:t>
      </w:r>
      <w:r>
        <w:rPr>
          <w:rFonts w:ascii="Times New Roman" w:hAnsi="Times New Roman" w:cs="Times New Roman"/>
        </w:rPr>
        <w:t>s</w:t>
      </w:r>
      <w:r w:rsidR="00DC336A" w:rsidRPr="00480BE9">
        <w:rPr>
          <w:rFonts w:ascii="Times New Roman" w:hAnsi="Times New Roman" w:cs="Times New Roman"/>
        </w:rPr>
        <w:t>.</w:t>
      </w:r>
      <w:r>
        <w:rPr>
          <w:rFonts w:ascii="Times New Roman" w:hAnsi="Times New Roman" w:cs="Times New Roman"/>
        </w:rPr>
        <w:t xml:space="preserve"> </w:t>
      </w:r>
      <w:r w:rsidR="00DC336A" w:rsidRPr="00480BE9">
        <w:rPr>
          <w:rFonts w:ascii="Times New Roman" w:hAnsi="Times New Roman" w:cs="Times New Roman"/>
        </w:rPr>
        <w:t xml:space="preserve">These findings contribute to our understanding of investor visas </w:t>
      </w:r>
      <w:r w:rsidR="008B2E71" w:rsidRPr="00480BE9">
        <w:rPr>
          <w:rFonts w:ascii="Times New Roman" w:hAnsi="Times New Roman" w:cs="Times New Roman"/>
        </w:rPr>
        <w:t>and</w:t>
      </w:r>
      <w:r>
        <w:rPr>
          <w:rFonts w:ascii="Times New Roman" w:hAnsi="Times New Roman" w:cs="Times New Roman"/>
        </w:rPr>
        <w:t xml:space="preserve"> </w:t>
      </w:r>
      <w:r w:rsidR="00DC336A" w:rsidRPr="00480BE9">
        <w:rPr>
          <w:rFonts w:ascii="Times New Roman" w:hAnsi="Times New Roman" w:cs="Times New Roman"/>
        </w:rPr>
        <w:t>to the wider literature on the comparative political economy of immigration polic</w:t>
      </w:r>
      <w:r>
        <w:rPr>
          <w:rFonts w:ascii="Times New Roman" w:hAnsi="Times New Roman" w:cs="Times New Roman"/>
        </w:rPr>
        <w:t>y</w:t>
      </w:r>
      <w:r w:rsidR="00DC336A" w:rsidRPr="00480BE9">
        <w:rPr>
          <w:rFonts w:ascii="Times New Roman" w:hAnsi="Times New Roman" w:cs="Times New Roman"/>
        </w:rPr>
        <w:t xml:space="preserve">. </w:t>
      </w:r>
      <w:r w:rsidR="002B4EC1">
        <w:rPr>
          <w:rFonts w:ascii="Times New Roman" w:hAnsi="Times New Roman" w:cs="Times New Roman"/>
        </w:rPr>
        <w:t>I</w:t>
      </w:r>
      <w:r w:rsidR="00DC336A" w:rsidRPr="00480BE9">
        <w:rPr>
          <w:rFonts w:ascii="Times New Roman" w:hAnsi="Times New Roman" w:cs="Times New Roman"/>
        </w:rPr>
        <w:t xml:space="preserve">nvestor visas reflect </w:t>
      </w:r>
      <w:r w:rsidR="002353DF" w:rsidRPr="002C046E">
        <w:rPr>
          <w:rFonts w:ascii="Times New Roman" w:hAnsi="Times New Roman" w:cs="Times New Roman"/>
        </w:rPr>
        <w:t>policymak</w:t>
      </w:r>
      <w:r w:rsidR="002353DF">
        <w:rPr>
          <w:rFonts w:ascii="Times New Roman" w:hAnsi="Times New Roman" w:cs="Times New Roman"/>
        </w:rPr>
        <w:t>ing elites’ ideas about economic growth</w:t>
      </w:r>
      <w:r>
        <w:rPr>
          <w:rFonts w:ascii="Times New Roman" w:hAnsi="Times New Roman" w:cs="Times New Roman"/>
        </w:rPr>
        <w:t xml:space="preserve">, which are </w:t>
      </w:r>
      <w:r w:rsidR="008B2E71">
        <w:rPr>
          <w:rFonts w:ascii="Times New Roman" w:hAnsi="Times New Roman" w:cs="Times New Roman"/>
        </w:rPr>
        <w:t>influenced</w:t>
      </w:r>
      <w:r>
        <w:rPr>
          <w:rFonts w:ascii="Times New Roman" w:hAnsi="Times New Roman" w:cs="Times New Roman"/>
        </w:rPr>
        <w:t xml:space="preserve"> by</w:t>
      </w:r>
      <w:r w:rsidR="007D4BC6">
        <w:rPr>
          <w:rFonts w:ascii="Times New Roman" w:hAnsi="Times New Roman" w:cs="Times New Roman"/>
        </w:rPr>
        <w:t xml:space="preserve"> </w:t>
      </w:r>
      <w:r w:rsidR="008B2E71">
        <w:rPr>
          <w:rFonts w:ascii="Times New Roman" w:hAnsi="Times New Roman" w:cs="Times New Roman"/>
        </w:rPr>
        <w:t xml:space="preserve">dominant sectors of </w:t>
      </w:r>
      <w:r>
        <w:rPr>
          <w:rFonts w:ascii="Times New Roman" w:hAnsi="Times New Roman" w:cs="Times New Roman"/>
        </w:rPr>
        <w:t xml:space="preserve">the </w:t>
      </w:r>
      <w:r w:rsidR="002353DF" w:rsidRPr="002C046E">
        <w:rPr>
          <w:rFonts w:ascii="Times New Roman" w:hAnsi="Times New Roman" w:cs="Times New Roman"/>
        </w:rPr>
        <w:t>prevailing ‘growth model’ (Baccaro, Blyth and Pontusson 2022)</w:t>
      </w:r>
      <w:r w:rsidR="00DC336A" w:rsidRPr="00480BE9">
        <w:rPr>
          <w:rFonts w:ascii="Times New Roman" w:hAnsi="Times New Roman" w:cs="Times New Roman"/>
        </w:rPr>
        <w:t>.</w:t>
      </w:r>
      <w:r>
        <w:rPr>
          <w:rFonts w:ascii="Times New Roman" w:hAnsi="Times New Roman" w:cs="Times New Roman"/>
        </w:rPr>
        <w:t xml:space="preserve"> </w:t>
      </w:r>
      <w:r w:rsidR="00DC336A" w:rsidRPr="00480BE9">
        <w:rPr>
          <w:rFonts w:ascii="Times New Roman" w:hAnsi="Times New Roman" w:cs="Times New Roman"/>
        </w:rPr>
        <w:t xml:space="preserve">Drawing out these connections illustrates how economic structures interact with </w:t>
      </w:r>
      <w:r>
        <w:rPr>
          <w:rFonts w:ascii="Times New Roman" w:hAnsi="Times New Roman" w:cs="Times New Roman"/>
        </w:rPr>
        <w:t xml:space="preserve">both domestic and global </w:t>
      </w:r>
      <w:r w:rsidR="00DC336A" w:rsidRPr="00480BE9">
        <w:rPr>
          <w:rFonts w:ascii="Times New Roman" w:hAnsi="Times New Roman" w:cs="Times New Roman"/>
        </w:rPr>
        <w:t>politics to influence immigration policy</w:t>
      </w:r>
      <w:r>
        <w:rPr>
          <w:rFonts w:ascii="Times New Roman" w:hAnsi="Times New Roman" w:cs="Times New Roman"/>
        </w:rPr>
        <w:t xml:space="preserve"> outputs.</w:t>
      </w:r>
    </w:p>
    <w:p w14:paraId="006CA0DF" w14:textId="77777777" w:rsidR="00DC336A" w:rsidRPr="00480BE9" w:rsidRDefault="00DC336A" w:rsidP="00DC336A">
      <w:pPr>
        <w:spacing w:line="480" w:lineRule="auto"/>
        <w:jc w:val="both"/>
        <w:rPr>
          <w:rFonts w:ascii="Times New Roman" w:hAnsi="Times New Roman" w:cs="Times New Roman"/>
          <w:color w:val="000000" w:themeColor="text1"/>
        </w:rPr>
      </w:pPr>
    </w:p>
    <w:p w14:paraId="62643498" w14:textId="77777777" w:rsidR="00DC336A" w:rsidRPr="00480BE9" w:rsidRDefault="00DC336A" w:rsidP="00DC336A">
      <w:pPr>
        <w:spacing w:line="480" w:lineRule="auto"/>
        <w:jc w:val="both"/>
        <w:rPr>
          <w:rFonts w:ascii="Times New Roman" w:hAnsi="Times New Roman" w:cs="Times New Roman"/>
          <w:color w:val="000000" w:themeColor="text1"/>
        </w:rPr>
      </w:pPr>
      <w:r w:rsidRPr="00480BE9">
        <w:rPr>
          <w:rFonts w:ascii="Times New Roman" w:hAnsi="Times New Roman" w:cs="Times New Roman"/>
          <w:b/>
          <w:bCs/>
          <w:color w:val="000000" w:themeColor="text1"/>
        </w:rPr>
        <w:t>Conclusion</w:t>
      </w:r>
    </w:p>
    <w:p w14:paraId="3942A428" w14:textId="77777777" w:rsidR="00DC336A" w:rsidRPr="00480BE9" w:rsidRDefault="00DC336A" w:rsidP="00DC336A">
      <w:pPr>
        <w:spacing w:line="480" w:lineRule="auto"/>
        <w:jc w:val="both"/>
        <w:rPr>
          <w:rFonts w:ascii="Times New Roman" w:hAnsi="Times New Roman" w:cs="Times New Roman"/>
          <w:color w:val="000000" w:themeColor="text1"/>
        </w:rPr>
      </w:pPr>
    </w:p>
    <w:p w14:paraId="4CA057EA" w14:textId="544E712C" w:rsidR="00DC336A" w:rsidRPr="00480BE9" w:rsidRDefault="00DC336A" w:rsidP="00DC336A">
      <w:pPr>
        <w:spacing w:line="480" w:lineRule="auto"/>
        <w:jc w:val="both"/>
        <w:rPr>
          <w:rFonts w:ascii="Times New Roman" w:hAnsi="Times New Roman" w:cs="Times New Roman"/>
          <w:color w:val="000000" w:themeColor="text1"/>
        </w:rPr>
      </w:pPr>
      <w:r w:rsidRPr="00480BE9">
        <w:rPr>
          <w:rFonts w:ascii="Times New Roman" w:hAnsi="Times New Roman" w:cs="Times New Roman"/>
          <w:color w:val="000000" w:themeColor="text1"/>
        </w:rPr>
        <w:t xml:space="preserve">In this paper we have made two contributions to the literature on residence-by-investment schemes. First, by comparing investor visas with labour migration policies we have shown that admission is easier for the wealthy than for those who migrate to work </w:t>
      </w:r>
      <w:r w:rsidR="003C3FF2">
        <w:rPr>
          <w:rFonts w:ascii="Times New Roman" w:hAnsi="Times New Roman" w:cs="Times New Roman"/>
          <w:color w:val="000000" w:themeColor="text1"/>
        </w:rPr>
        <w:t>across</w:t>
      </w:r>
      <w:r w:rsidRPr="00480BE9">
        <w:rPr>
          <w:rFonts w:ascii="Times New Roman" w:hAnsi="Times New Roman" w:cs="Times New Roman"/>
          <w:color w:val="000000" w:themeColor="text1"/>
        </w:rPr>
        <w:t xml:space="preserve"> three major European economies. In all three of the countries we examined, admissions criteria </w:t>
      </w:r>
      <w:r w:rsidR="003C3FF2">
        <w:rPr>
          <w:rFonts w:ascii="Times New Roman" w:hAnsi="Times New Roman" w:cs="Times New Roman"/>
          <w:color w:val="000000" w:themeColor="text1"/>
        </w:rPr>
        <w:t>we</w:t>
      </w:r>
      <w:r w:rsidRPr="00480BE9">
        <w:rPr>
          <w:rFonts w:ascii="Times New Roman" w:hAnsi="Times New Roman" w:cs="Times New Roman"/>
          <w:color w:val="000000" w:themeColor="text1"/>
        </w:rPr>
        <w:t xml:space="preserve">re less stringent, and in-country rights more generous, for those with </w:t>
      </w:r>
      <w:r w:rsidR="00700F6D">
        <w:rPr>
          <w:rFonts w:ascii="Times New Roman" w:hAnsi="Times New Roman" w:cs="Times New Roman"/>
          <w:color w:val="000000" w:themeColor="text1"/>
        </w:rPr>
        <w:t xml:space="preserve">significant </w:t>
      </w:r>
      <w:r w:rsidRPr="00480BE9">
        <w:rPr>
          <w:rFonts w:ascii="Times New Roman" w:hAnsi="Times New Roman" w:cs="Times New Roman"/>
          <w:color w:val="000000" w:themeColor="text1"/>
        </w:rPr>
        <w:t xml:space="preserve">financial </w:t>
      </w:r>
      <w:r w:rsidR="00700F6D">
        <w:rPr>
          <w:rFonts w:ascii="Times New Roman" w:hAnsi="Times New Roman" w:cs="Times New Roman"/>
          <w:color w:val="000000" w:themeColor="text1"/>
        </w:rPr>
        <w:t xml:space="preserve">and not merely </w:t>
      </w:r>
      <w:r w:rsidRPr="00480BE9">
        <w:rPr>
          <w:rFonts w:ascii="Times New Roman" w:hAnsi="Times New Roman" w:cs="Times New Roman"/>
          <w:color w:val="000000" w:themeColor="text1"/>
        </w:rPr>
        <w:t xml:space="preserve">human capital. This finding reinforces the argument that </w:t>
      </w:r>
      <w:r w:rsidR="00700F6D">
        <w:rPr>
          <w:rFonts w:ascii="Times New Roman" w:hAnsi="Times New Roman" w:cs="Times New Roman"/>
          <w:color w:val="000000" w:themeColor="text1"/>
        </w:rPr>
        <w:t xml:space="preserve">even among migrants that states ‘court’, let alone those </w:t>
      </w:r>
      <w:r w:rsidR="003C3FF2">
        <w:rPr>
          <w:rFonts w:ascii="Times New Roman" w:hAnsi="Times New Roman" w:cs="Times New Roman"/>
          <w:color w:val="000000" w:themeColor="text1"/>
        </w:rPr>
        <w:t xml:space="preserve">that </w:t>
      </w:r>
      <w:r w:rsidR="00700F6D">
        <w:rPr>
          <w:rFonts w:ascii="Times New Roman" w:hAnsi="Times New Roman" w:cs="Times New Roman"/>
          <w:color w:val="000000" w:themeColor="text1"/>
        </w:rPr>
        <w:t>they seek to ‘fend off’ such as family migrants (Joppke 202</w:t>
      </w:r>
      <w:r w:rsidR="003C3FF2">
        <w:rPr>
          <w:rFonts w:ascii="Times New Roman" w:hAnsi="Times New Roman" w:cs="Times New Roman"/>
          <w:color w:val="000000" w:themeColor="text1"/>
        </w:rPr>
        <w:t>1</w:t>
      </w:r>
      <w:r w:rsidR="00700F6D">
        <w:rPr>
          <w:rFonts w:ascii="Times New Roman" w:hAnsi="Times New Roman" w:cs="Times New Roman"/>
          <w:color w:val="000000" w:themeColor="text1"/>
        </w:rPr>
        <w:t xml:space="preserve">: 68), </w:t>
      </w:r>
      <w:r w:rsidRPr="00480BE9">
        <w:rPr>
          <w:rFonts w:ascii="Times New Roman" w:hAnsi="Times New Roman" w:cs="Times New Roman"/>
          <w:color w:val="000000" w:themeColor="text1"/>
        </w:rPr>
        <w:t xml:space="preserve">access to residence in Europe </w:t>
      </w:r>
      <w:r w:rsidR="00700F6D">
        <w:rPr>
          <w:rFonts w:ascii="Times New Roman" w:hAnsi="Times New Roman" w:cs="Times New Roman"/>
          <w:color w:val="000000" w:themeColor="text1"/>
        </w:rPr>
        <w:t>has been</w:t>
      </w:r>
      <w:r w:rsidRPr="00480BE9">
        <w:rPr>
          <w:rFonts w:ascii="Times New Roman" w:hAnsi="Times New Roman" w:cs="Times New Roman"/>
          <w:color w:val="000000" w:themeColor="text1"/>
        </w:rPr>
        <w:t xml:space="preserve"> commodified</w:t>
      </w:r>
      <w:r w:rsidR="00700F6D">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00700F6D">
        <w:rPr>
          <w:rFonts w:ascii="Times New Roman" w:hAnsi="Times New Roman" w:cs="Times New Roman"/>
          <w:color w:val="000000" w:themeColor="text1"/>
        </w:rPr>
        <w:t>I</w:t>
      </w:r>
      <w:r w:rsidRPr="00480BE9">
        <w:rPr>
          <w:rFonts w:ascii="Times New Roman" w:hAnsi="Times New Roman" w:cs="Times New Roman"/>
          <w:color w:val="000000" w:themeColor="text1"/>
        </w:rPr>
        <w:t xml:space="preserve">n France, Spain and (until </w:t>
      </w:r>
      <w:r w:rsidRPr="00480BE9">
        <w:rPr>
          <w:rFonts w:ascii="Times New Roman" w:hAnsi="Times New Roman" w:cs="Times New Roman"/>
          <w:color w:val="000000" w:themeColor="text1"/>
        </w:rPr>
        <w:lastRenderedPageBreak/>
        <w:t>2022) the UK, wealthy foreigners could gain residence on terms that were significantly more advantageous than migrant workers, including those deemed to be highly skilled. European governments often talk about attracting the ‘brightest and best’, but it is</w:t>
      </w:r>
      <w:r w:rsidR="002B4EC1">
        <w:rPr>
          <w:rFonts w:ascii="Times New Roman" w:hAnsi="Times New Roman" w:cs="Times New Roman"/>
          <w:color w:val="000000" w:themeColor="text1"/>
        </w:rPr>
        <w:t>, to coin a phrase,</w:t>
      </w:r>
      <w:r w:rsidRPr="00480BE9">
        <w:rPr>
          <w:rFonts w:ascii="Times New Roman" w:hAnsi="Times New Roman" w:cs="Times New Roman"/>
          <w:color w:val="000000" w:themeColor="text1"/>
        </w:rPr>
        <w:t xml:space="preserve"> the ‘wealthy who invest’ </w:t>
      </w:r>
      <w:r w:rsidR="008B2E71">
        <w:rPr>
          <w:rFonts w:ascii="Times New Roman" w:hAnsi="Times New Roman" w:cs="Times New Roman"/>
          <w:color w:val="000000" w:themeColor="text1"/>
        </w:rPr>
        <w:t>who</w:t>
      </w:r>
      <w:r w:rsidRPr="00480BE9">
        <w:rPr>
          <w:rFonts w:ascii="Times New Roman" w:hAnsi="Times New Roman" w:cs="Times New Roman"/>
          <w:color w:val="000000" w:themeColor="text1"/>
        </w:rPr>
        <w:t xml:space="preserve"> </w:t>
      </w:r>
      <w:r w:rsidR="008B2E71">
        <w:rPr>
          <w:rFonts w:ascii="Times New Roman" w:hAnsi="Times New Roman" w:cs="Times New Roman"/>
          <w:color w:val="000000" w:themeColor="text1"/>
        </w:rPr>
        <w:t xml:space="preserve">often </w:t>
      </w:r>
      <w:r w:rsidRPr="00480BE9">
        <w:rPr>
          <w:rFonts w:ascii="Times New Roman" w:hAnsi="Times New Roman" w:cs="Times New Roman"/>
          <w:color w:val="000000" w:themeColor="text1"/>
        </w:rPr>
        <w:t>enjoy preferential entry conditions and rights</w:t>
      </w:r>
      <w:r w:rsidR="002B4EC1">
        <w:rPr>
          <w:rFonts w:ascii="Times New Roman" w:hAnsi="Times New Roman" w:cs="Times New Roman"/>
          <w:color w:val="000000" w:themeColor="text1"/>
        </w:rPr>
        <w:t>.</w:t>
      </w:r>
    </w:p>
    <w:p w14:paraId="3E598D7D" w14:textId="77777777" w:rsidR="00DC336A" w:rsidRPr="00480BE9" w:rsidRDefault="00DC336A" w:rsidP="00DC336A">
      <w:pPr>
        <w:spacing w:line="480" w:lineRule="auto"/>
        <w:jc w:val="both"/>
        <w:rPr>
          <w:rFonts w:ascii="Times New Roman" w:hAnsi="Times New Roman" w:cs="Times New Roman"/>
          <w:color w:val="000000" w:themeColor="text1"/>
        </w:rPr>
      </w:pPr>
    </w:p>
    <w:p w14:paraId="0C95DA51" w14:textId="608BF013" w:rsidR="00DC336A" w:rsidRDefault="00DC336A" w:rsidP="00DC336A">
      <w:pPr>
        <w:spacing w:line="480" w:lineRule="auto"/>
        <w:jc w:val="both"/>
        <w:rPr>
          <w:rFonts w:ascii="Times New Roman" w:hAnsi="Times New Roman" w:cs="Times New Roman"/>
          <w:color w:val="000000" w:themeColor="text1"/>
        </w:rPr>
      </w:pPr>
      <w:r w:rsidRPr="00480BE9">
        <w:rPr>
          <w:rFonts w:ascii="Times New Roman" w:hAnsi="Times New Roman" w:cs="Times New Roman"/>
          <w:color w:val="000000" w:themeColor="text1"/>
        </w:rPr>
        <w:t xml:space="preserve">Second, we have explored how variation in investor visas is influenced by national </w:t>
      </w:r>
      <w:r w:rsidR="008B2E71">
        <w:rPr>
          <w:rFonts w:ascii="Times New Roman" w:hAnsi="Times New Roman" w:cs="Times New Roman"/>
          <w:color w:val="000000" w:themeColor="text1"/>
        </w:rPr>
        <w:t>configurations</w:t>
      </w:r>
      <w:r w:rsidRPr="00480BE9">
        <w:rPr>
          <w:rFonts w:ascii="Times New Roman" w:hAnsi="Times New Roman" w:cs="Times New Roman"/>
          <w:color w:val="000000" w:themeColor="text1"/>
        </w:rPr>
        <w:t xml:space="preserve"> of capitalism. While there </w:t>
      </w:r>
      <w:r w:rsidR="00700F6D">
        <w:rPr>
          <w:rFonts w:ascii="Times New Roman" w:hAnsi="Times New Roman" w:cs="Times New Roman"/>
          <w:color w:val="000000" w:themeColor="text1"/>
        </w:rPr>
        <w:t>has been</w:t>
      </w:r>
      <w:r w:rsidRPr="00480BE9">
        <w:rPr>
          <w:rFonts w:ascii="Times New Roman" w:hAnsi="Times New Roman" w:cs="Times New Roman"/>
          <w:color w:val="000000" w:themeColor="text1"/>
        </w:rPr>
        <w:t xml:space="preserve"> a Europe-wide trend to adopt residence-by-investment programmes, investor visa policies</w:t>
      </w:r>
      <w:r w:rsidR="00700F6D">
        <w:rPr>
          <w:rFonts w:ascii="Times New Roman" w:hAnsi="Times New Roman" w:cs="Times New Roman"/>
          <w:color w:val="000000" w:themeColor="text1"/>
        </w:rPr>
        <w:t xml:space="preserve"> take different forms across countries.</w:t>
      </w:r>
      <w:r w:rsidRPr="00480BE9">
        <w:rPr>
          <w:rFonts w:ascii="Times New Roman" w:hAnsi="Times New Roman" w:cs="Times New Roman"/>
          <w:color w:val="000000" w:themeColor="text1"/>
        </w:rPr>
        <w:t xml:space="preserve"> </w:t>
      </w:r>
      <w:r w:rsidR="00700F6D">
        <w:rPr>
          <w:rFonts w:ascii="Times New Roman" w:hAnsi="Times New Roman" w:cs="Times New Roman"/>
          <w:color w:val="000000" w:themeColor="text1"/>
        </w:rPr>
        <w:t xml:space="preserve">We have shown how investor visa policies </w:t>
      </w:r>
      <w:r w:rsidRPr="00480BE9">
        <w:rPr>
          <w:rFonts w:ascii="Times New Roman" w:hAnsi="Times New Roman" w:cs="Times New Roman"/>
          <w:color w:val="000000" w:themeColor="text1"/>
        </w:rPr>
        <w:t xml:space="preserve">are </w:t>
      </w:r>
      <w:r w:rsidR="00700F6D">
        <w:rPr>
          <w:rFonts w:ascii="Times New Roman" w:hAnsi="Times New Roman" w:cs="Times New Roman"/>
          <w:color w:val="000000" w:themeColor="text1"/>
        </w:rPr>
        <w:t>shaped</w:t>
      </w:r>
      <w:r w:rsidRPr="00480BE9">
        <w:rPr>
          <w:rFonts w:ascii="Times New Roman" w:hAnsi="Times New Roman" w:cs="Times New Roman"/>
          <w:color w:val="000000" w:themeColor="text1"/>
        </w:rPr>
        <w:t xml:space="preserve"> by</w:t>
      </w:r>
      <w:r w:rsidR="00100EE1">
        <w:rPr>
          <w:rFonts w:ascii="Times New Roman" w:hAnsi="Times New Roman" w:cs="Times New Roman"/>
          <w:color w:val="000000" w:themeColor="text1"/>
        </w:rPr>
        <w:t xml:space="preserve"> political elites</w:t>
      </w:r>
      <w:r w:rsidR="002B4EC1">
        <w:rPr>
          <w:rFonts w:ascii="Times New Roman" w:hAnsi="Times New Roman" w:cs="Times New Roman"/>
          <w:color w:val="000000" w:themeColor="text1"/>
        </w:rPr>
        <w:t>’</w:t>
      </w:r>
      <w:r w:rsidR="00100EE1">
        <w:rPr>
          <w:rFonts w:ascii="Times New Roman" w:hAnsi="Times New Roman" w:cs="Times New Roman"/>
          <w:color w:val="000000" w:themeColor="text1"/>
        </w:rPr>
        <w:t xml:space="preserve"> </w:t>
      </w:r>
      <w:r w:rsidR="00700F6D">
        <w:rPr>
          <w:rFonts w:ascii="Times New Roman" w:hAnsi="Times New Roman" w:cs="Times New Roman"/>
          <w:color w:val="000000" w:themeColor="text1"/>
        </w:rPr>
        <w:t>ideas about</w:t>
      </w:r>
      <w:r w:rsidR="00100EE1">
        <w:rPr>
          <w:rFonts w:ascii="Times New Roman" w:hAnsi="Times New Roman" w:cs="Times New Roman"/>
          <w:color w:val="000000" w:themeColor="text1"/>
        </w:rPr>
        <w:t xml:space="preserve"> growth</w:t>
      </w:r>
      <w:r w:rsidR="002B4EC1">
        <w:rPr>
          <w:rFonts w:ascii="Times New Roman" w:hAnsi="Times New Roman" w:cs="Times New Roman"/>
          <w:color w:val="000000" w:themeColor="text1"/>
        </w:rPr>
        <w:t xml:space="preserve"> within the context of distinct national </w:t>
      </w:r>
      <w:r w:rsidR="00700F6D">
        <w:rPr>
          <w:rFonts w:ascii="Times New Roman" w:hAnsi="Times New Roman" w:cs="Times New Roman"/>
          <w:color w:val="000000" w:themeColor="text1"/>
        </w:rPr>
        <w:t>economic</w:t>
      </w:r>
      <w:r w:rsidR="002B4EC1">
        <w:rPr>
          <w:rFonts w:ascii="Times New Roman" w:hAnsi="Times New Roman" w:cs="Times New Roman"/>
          <w:color w:val="000000" w:themeColor="text1"/>
        </w:rPr>
        <w:t xml:space="preserve"> models</w:t>
      </w:r>
      <w:r w:rsidR="00700F6D">
        <w:rPr>
          <w:rFonts w:ascii="Times New Roman" w:hAnsi="Times New Roman" w:cs="Times New Roman"/>
          <w:color w:val="000000" w:themeColor="text1"/>
        </w:rPr>
        <w:t xml:space="preserve">, specifically the kinds of investment that are considered conducive to growth given the sectoral composition of the national economy. </w:t>
      </w:r>
      <w:r w:rsidRPr="00480BE9">
        <w:rPr>
          <w:rFonts w:ascii="Times New Roman" w:hAnsi="Times New Roman" w:cs="Times New Roman"/>
          <w:color w:val="000000" w:themeColor="text1"/>
        </w:rPr>
        <w:t xml:space="preserve">Across the UK, France and Spain, different kinds of investor, and different kinds of investment, have been courted: </w:t>
      </w:r>
      <w:r w:rsidR="00700F6D">
        <w:rPr>
          <w:rFonts w:ascii="Times New Roman" w:hAnsi="Times New Roman" w:cs="Times New Roman"/>
          <w:color w:val="000000" w:themeColor="text1"/>
        </w:rPr>
        <w:t xml:space="preserve">the UK </w:t>
      </w:r>
      <w:r w:rsidR="008B2E71">
        <w:rPr>
          <w:rFonts w:ascii="Times New Roman" w:hAnsi="Times New Roman" w:cs="Times New Roman"/>
          <w:color w:val="000000" w:themeColor="text1"/>
        </w:rPr>
        <w:t xml:space="preserve">investor </w:t>
      </w:r>
      <w:r w:rsidR="00700F6D">
        <w:rPr>
          <w:rFonts w:ascii="Times New Roman" w:hAnsi="Times New Roman" w:cs="Times New Roman"/>
          <w:color w:val="000000" w:themeColor="text1"/>
        </w:rPr>
        <w:t xml:space="preserve">visa scheme enabled a flow of </w:t>
      </w:r>
      <w:r w:rsidRPr="00480BE9">
        <w:rPr>
          <w:rFonts w:ascii="Times New Roman" w:hAnsi="Times New Roman" w:cs="Times New Roman"/>
          <w:color w:val="000000" w:themeColor="text1"/>
        </w:rPr>
        <w:t xml:space="preserve">no-strings-attached foreign capital </w:t>
      </w:r>
      <w:r w:rsidR="00700F6D">
        <w:rPr>
          <w:rFonts w:ascii="Times New Roman" w:hAnsi="Times New Roman" w:cs="Times New Roman"/>
          <w:color w:val="000000" w:themeColor="text1"/>
        </w:rPr>
        <w:t>into</w:t>
      </w:r>
      <w:r w:rsidRPr="00480BE9">
        <w:rPr>
          <w:rFonts w:ascii="Times New Roman" w:hAnsi="Times New Roman" w:cs="Times New Roman"/>
          <w:color w:val="000000" w:themeColor="text1"/>
        </w:rPr>
        <w:t xml:space="preserve"> </w:t>
      </w:r>
      <w:r w:rsidR="00700F6D">
        <w:rPr>
          <w:rFonts w:ascii="Times New Roman" w:hAnsi="Times New Roman" w:cs="Times New Roman"/>
          <w:color w:val="000000" w:themeColor="text1"/>
        </w:rPr>
        <w:t>London’s financial services and property market</w:t>
      </w:r>
      <w:r w:rsidRPr="00480BE9">
        <w:rPr>
          <w:rFonts w:ascii="Times New Roman" w:hAnsi="Times New Roman" w:cs="Times New Roman"/>
          <w:color w:val="000000" w:themeColor="text1"/>
        </w:rPr>
        <w:t xml:space="preserve">; </w:t>
      </w:r>
      <w:r w:rsidR="00700F6D">
        <w:rPr>
          <w:rFonts w:ascii="Times New Roman" w:hAnsi="Times New Roman" w:cs="Times New Roman"/>
          <w:color w:val="000000" w:themeColor="text1"/>
        </w:rPr>
        <w:t>the French scheme sought tech-</w:t>
      </w:r>
      <w:r w:rsidRPr="00480BE9">
        <w:rPr>
          <w:rFonts w:ascii="Times New Roman" w:hAnsi="Times New Roman" w:cs="Times New Roman"/>
          <w:color w:val="000000" w:themeColor="text1"/>
        </w:rPr>
        <w:t xml:space="preserve">entrepreneurs </w:t>
      </w:r>
      <w:r w:rsidR="00700F6D">
        <w:rPr>
          <w:rFonts w:ascii="Times New Roman" w:hAnsi="Times New Roman" w:cs="Times New Roman"/>
          <w:color w:val="000000" w:themeColor="text1"/>
        </w:rPr>
        <w:t>as part of Sarkozy’s project to liberalise the economy</w:t>
      </w:r>
      <w:r w:rsidRPr="00480BE9">
        <w:rPr>
          <w:rFonts w:ascii="Times New Roman" w:hAnsi="Times New Roman" w:cs="Times New Roman"/>
          <w:color w:val="000000" w:themeColor="text1"/>
        </w:rPr>
        <w:t xml:space="preserve">; </w:t>
      </w:r>
      <w:r w:rsidR="00700F6D">
        <w:rPr>
          <w:rFonts w:ascii="Times New Roman" w:hAnsi="Times New Roman" w:cs="Times New Roman"/>
          <w:color w:val="000000" w:themeColor="text1"/>
        </w:rPr>
        <w:t xml:space="preserve">while the Spanish </w:t>
      </w:r>
      <w:r w:rsidR="003C3FF2">
        <w:rPr>
          <w:rFonts w:ascii="Times New Roman" w:hAnsi="Times New Roman" w:cs="Times New Roman"/>
          <w:color w:val="000000" w:themeColor="text1"/>
        </w:rPr>
        <w:t>investor visa</w:t>
      </w:r>
      <w:r w:rsidR="00700F6D">
        <w:rPr>
          <w:rFonts w:ascii="Times New Roman" w:hAnsi="Times New Roman" w:cs="Times New Roman"/>
          <w:color w:val="000000" w:themeColor="text1"/>
        </w:rPr>
        <w:t xml:space="preserve"> targeted </w:t>
      </w:r>
      <w:r w:rsidRPr="00480BE9">
        <w:rPr>
          <w:rFonts w:ascii="Times New Roman" w:hAnsi="Times New Roman" w:cs="Times New Roman"/>
          <w:color w:val="000000" w:themeColor="text1"/>
        </w:rPr>
        <w:t>property buyers</w:t>
      </w:r>
      <w:r w:rsidR="00700F6D">
        <w:rPr>
          <w:rFonts w:ascii="Times New Roman" w:hAnsi="Times New Roman" w:cs="Times New Roman"/>
          <w:color w:val="000000" w:themeColor="text1"/>
        </w:rPr>
        <w:t xml:space="preserve"> in an explicit attempt to rescue the construction sector after its post-2008 collapse</w:t>
      </w:r>
      <w:r w:rsidRPr="00480BE9">
        <w:rPr>
          <w:rFonts w:ascii="Times New Roman" w:hAnsi="Times New Roman" w:cs="Times New Roman"/>
          <w:color w:val="000000" w:themeColor="text1"/>
        </w:rPr>
        <w:t>.</w:t>
      </w:r>
      <w:r w:rsidR="003C3FF2">
        <w:rPr>
          <w:rFonts w:ascii="Times New Roman" w:hAnsi="Times New Roman" w:cs="Times New Roman"/>
          <w:color w:val="000000" w:themeColor="text1"/>
        </w:rPr>
        <w:t xml:space="preserve"> </w:t>
      </w:r>
      <w:r w:rsidR="00700F6D">
        <w:rPr>
          <w:rFonts w:ascii="Times New Roman" w:hAnsi="Times New Roman" w:cs="Times New Roman"/>
          <w:color w:val="000000" w:themeColor="text1"/>
        </w:rPr>
        <w:t>T</w:t>
      </w:r>
      <w:r w:rsidRPr="00480BE9">
        <w:rPr>
          <w:rFonts w:ascii="Times New Roman" w:hAnsi="Times New Roman" w:cs="Times New Roman"/>
          <w:color w:val="000000" w:themeColor="text1"/>
        </w:rPr>
        <w:t xml:space="preserve">hree cases are not sufficient to draw general conclusions, but our findings suggest that comparative analysis grounded in national models of political economy </w:t>
      </w:r>
      <w:r w:rsidR="002B4EC1">
        <w:rPr>
          <w:rFonts w:ascii="Times New Roman" w:hAnsi="Times New Roman" w:cs="Times New Roman"/>
          <w:color w:val="000000" w:themeColor="text1"/>
        </w:rPr>
        <w:t>can</w:t>
      </w:r>
      <w:r w:rsidRPr="00480BE9">
        <w:rPr>
          <w:rFonts w:ascii="Times New Roman" w:hAnsi="Times New Roman" w:cs="Times New Roman"/>
          <w:color w:val="000000" w:themeColor="text1"/>
        </w:rPr>
        <w:t xml:space="preserve"> </w:t>
      </w:r>
      <w:r w:rsidR="00700F6D">
        <w:rPr>
          <w:rFonts w:ascii="Times New Roman" w:hAnsi="Times New Roman" w:cs="Times New Roman"/>
          <w:color w:val="000000" w:themeColor="text1"/>
        </w:rPr>
        <w:t xml:space="preserve">help to </w:t>
      </w:r>
      <w:r w:rsidRPr="00480BE9">
        <w:rPr>
          <w:rFonts w:ascii="Times New Roman" w:hAnsi="Times New Roman" w:cs="Times New Roman"/>
          <w:color w:val="000000" w:themeColor="text1"/>
        </w:rPr>
        <w:t>explain not only how, but why investor visa policies vary between countries.</w:t>
      </w:r>
    </w:p>
    <w:p w14:paraId="78CA2C77" w14:textId="77777777" w:rsidR="009E7006" w:rsidRPr="00480BE9" w:rsidRDefault="009E7006" w:rsidP="00DC336A">
      <w:pPr>
        <w:spacing w:line="480" w:lineRule="auto"/>
        <w:jc w:val="both"/>
        <w:rPr>
          <w:rFonts w:ascii="Times New Roman" w:hAnsi="Times New Roman" w:cs="Times New Roman"/>
          <w:color w:val="000000" w:themeColor="text1"/>
        </w:rPr>
      </w:pPr>
    </w:p>
    <w:p w14:paraId="6BE50A19" w14:textId="7BEAC666" w:rsidR="00DC336A" w:rsidRDefault="009E7006" w:rsidP="00DC336A">
      <w:pPr>
        <w:spacing w:line="480" w:lineRule="auto"/>
        <w:jc w:val="both"/>
        <w:rPr>
          <w:rFonts w:ascii="Times New Roman" w:hAnsi="Times New Roman" w:cs="Times New Roman"/>
          <w:b/>
          <w:color w:val="000000" w:themeColor="text1"/>
        </w:rPr>
      </w:pPr>
      <w:r w:rsidRPr="009E7006">
        <w:rPr>
          <w:rFonts w:ascii="Times New Roman" w:hAnsi="Times New Roman" w:cs="Times New Roman"/>
          <w:b/>
          <w:color w:val="000000" w:themeColor="text1"/>
        </w:rPr>
        <w:t>Acknowledgements</w:t>
      </w:r>
    </w:p>
    <w:p w14:paraId="18B37967" w14:textId="7D2FEB2E" w:rsidR="009E7006" w:rsidRPr="009E7006" w:rsidRDefault="009E7006" w:rsidP="009E7006">
      <w:pPr>
        <w:jc w:val="both"/>
        <w:rPr>
          <w:rFonts w:ascii="Times New Roman" w:eastAsia="Times New Roman" w:hAnsi="Times New Roman" w:cs="Times New Roman"/>
          <w:sz w:val="20"/>
          <w:szCs w:val="20"/>
          <w:lang w:val="en-GB"/>
        </w:rPr>
      </w:pPr>
      <w:r w:rsidRPr="009E7006">
        <w:rPr>
          <w:rFonts w:ascii="Times New Roman" w:eastAsia="Times New Roman" w:hAnsi="Times New Roman" w:cs="Times New Roman"/>
          <w:sz w:val="20"/>
          <w:szCs w:val="20"/>
          <w:lang w:val="en-GB"/>
        </w:rPr>
        <w:t>The authors acknowledge funding under the EU FP7 Temper project (Grant number: 613468). We would also like to thank members of the Temper project for their coding and help with developing the ImPol index: Amparo González-Ferrer, Yoan Molinero Gerbeau, Tatiana Eremenko, and Mélanie Jolivet-Guetta</w:t>
      </w:r>
      <w:r>
        <w:rPr>
          <w:rFonts w:ascii="Times New Roman" w:eastAsia="Times New Roman" w:hAnsi="Times New Roman" w:cs="Times New Roman"/>
          <w:sz w:val="20"/>
          <w:szCs w:val="20"/>
          <w:lang w:val="en-GB"/>
        </w:rPr>
        <w:t>, and thank you to Marie Martin for assistance with documents</w:t>
      </w:r>
      <w:r w:rsidRPr="009E7006">
        <w:rPr>
          <w:rFonts w:ascii="Times New Roman" w:eastAsia="Times New Roman" w:hAnsi="Times New Roman" w:cs="Times New Roman"/>
          <w:sz w:val="20"/>
          <w:szCs w:val="20"/>
          <w:lang w:val="en-GB"/>
        </w:rPr>
        <w:t xml:space="preserve">. Finally, thanks to </w:t>
      </w:r>
      <w:r>
        <w:rPr>
          <w:rFonts w:ascii="Times New Roman" w:eastAsia="Times New Roman" w:hAnsi="Times New Roman" w:cs="Times New Roman"/>
          <w:sz w:val="20"/>
          <w:szCs w:val="20"/>
          <w:lang w:val="en-GB"/>
        </w:rPr>
        <w:t xml:space="preserve">the </w:t>
      </w:r>
      <w:r w:rsidRPr="009E7006">
        <w:rPr>
          <w:rFonts w:ascii="Times New Roman" w:eastAsia="Times New Roman" w:hAnsi="Times New Roman" w:cs="Times New Roman"/>
          <w:sz w:val="20"/>
          <w:szCs w:val="20"/>
          <w:lang w:val="en-GB"/>
        </w:rPr>
        <w:t>two anonymous referees for their helpful comments on earlier versions of the paper.</w:t>
      </w:r>
    </w:p>
    <w:p w14:paraId="3EFD4804" w14:textId="77777777" w:rsidR="00DC336A" w:rsidRPr="00480BE9" w:rsidRDefault="00DC336A" w:rsidP="00DC336A">
      <w:pPr>
        <w:spacing w:line="480" w:lineRule="auto"/>
        <w:rPr>
          <w:rFonts w:ascii="Times New Roman" w:hAnsi="Times New Roman" w:cs="Times New Roman"/>
          <w:b/>
          <w:bCs/>
          <w:color w:val="000000" w:themeColor="text1"/>
        </w:rPr>
      </w:pPr>
    </w:p>
    <w:p w14:paraId="747D5AC9" w14:textId="7110525E" w:rsidR="000603A1" w:rsidRPr="00080725" w:rsidRDefault="009267C7">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sectPr w:rsidR="000603A1" w:rsidRPr="00080725" w:rsidSect="002B45B7">
      <w:footerReference w:type="even" r:id="rId11"/>
      <w:footerReference w:type="default" r:id="rId12"/>
      <w:endnotePr>
        <w:numFmt w:val="decimal"/>
      </w:endnotePr>
      <w:pgSz w:w="11900" w:h="16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703D0" w15:done="0"/>
  <w15:commentEx w15:paraId="4041DF05" w15:paraIdParent="08A703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9FAC4" w16cex:dateUtc="2023-05-25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703D0" w16cid:durableId="2819B6C6"/>
  <w16cid:commentId w16cid:paraId="4041DF05" w16cid:durableId="2819FAC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808AE" w14:textId="77777777" w:rsidR="00080725" w:rsidRDefault="00080725" w:rsidP="00DC336A">
      <w:r>
        <w:separator/>
      </w:r>
    </w:p>
  </w:endnote>
  <w:endnote w:type="continuationSeparator" w:id="0">
    <w:p w14:paraId="789F3812" w14:textId="77777777" w:rsidR="00080725" w:rsidRDefault="00080725" w:rsidP="00DC336A">
      <w:r>
        <w:continuationSeparator/>
      </w:r>
    </w:p>
  </w:endnote>
  <w:endnote w:id="1">
    <w:p w14:paraId="149CE385" w14:textId="2C173426" w:rsidR="00080725" w:rsidRPr="00755D1A" w:rsidRDefault="00080725" w:rsidP="00DC336A">
      <w:pPr>
        <w:pStyle w:val="EndnoteText"/>
        <w:spacing w:line="480" w:lineRule="auto"/>
        <w:rPr>
          <w:rFonts w:ascii="Times New Roman" w:hAnsi="Times New Roman" w:cs="Times New Roman"/>
          <w:color w:val="000000" w:themeColor="text1"/>
        </w:rPr>
      </w:pPr>
      <w:r w:rsidRPr="00755D1A">
        <w:rPr>
          <w:rStyle w:val="EndnoteReference"/>
          <w:rFonts w:ascii="Times New Roman" w:hAnsi="Times New Roman" w:cs="Times New Roman"/>
          <w:color w:val="000000" w:themeColor="text1"/>
        </w:rPr>
        <w:endnoteRef/>
      </w:r>
      <w:r w:rsidRPr="00755D1A">
        <w:rPr>
          <w:rFonts w:ascii="Times New Roman" w:hAnsi="Times New Roman" w:cs="Times New Roman"/>
          <w:color w:val="000000" w:themeColor="text1"/>
        </w:rPr>
        <w:t xml:space="preserve"> We can present only a short summary of the ImPol methodology in this section. For more details including the coding scheme see [</w:t>
      </w:r>
      <w:r>
        <w:rPr>
          <w:rFonts w:ascii="Times New Roman" w:hAnsi="Times New Roman" w:cs="Times New Roman"/>
          <w:color w:val="000000" w:themeColor="text1"/>
        </w:rPr>
        <w:t>Consterdine and Hampshire 2016</w:t>
      </w:r>
      <w:r w:rsidRPr="00755D1A">
        <w:rPr>
          <w:rFonts w:ascii="Times New Roman" w:hAnsi="Times New Roman" w:cs="Times New Roman"/>
          <w:color w:val="000000" w:themeColor="text1"/>
        </w:rPr>
        <w:t>].</w:t>
      </w:r>
    </w:p>
  </w:endnote>
  <w:endnote w:id="2">
    <w:p w14:paraId="61D12B86" w14:textId="77777777" w:rsidR="00080725" w:rsidRPr="00755D1A" w:rsidRDefault="00080725" w:rsidP="00DC336A">
      <w:pPr>
        <w:pStyle w:val="EndnoteText"/>
        <w:spacing w:line="480" w:lineRule="auto"/>
        <w:rPr>
          <w:rFonts w:ascii="Times New Roman" w:hAnsi="Times New Roman" w:cs="Times New Roman"/>
          <w:color w:val="000000" w:themeColor="text1"/>
        </w:rPr>
      </w:pPr>
      <w:r w:rsidRPr="00755D1A">
        <w:rPr>
          <w:rStyle w:val="EndnoteReference"/>
          <w:rFonts w:ascii="Times New Roman" w:hAnsi="Times New Roman" w:cs="Times New Roman"/>
          <w:color w:val="000000" w:themeColor="text1"/>
        </w:rPr>
        <w:endnoteRef/>
      </w:r>
      <w:r w:rsidRPr="00755D1A">
        <w:rPr>
          <w:rFonts w:ascii="Times New Roman" w:hAnsi="Times New Roman" w:cs="Times New Roman"/>
          <w:color w:val="000000" w:themeColor="text1"/>
        </w:rPr>
        <w:t xml:space="preserve"> Further details on ISCO can be found at </w:t>
      </w:r>
      <w:hyperlink r:id="rId1" w:history="1">
        <w:r w:rsidRPr="00755D1A">
          <w:rPr>
            <w:rStyle w:val="Hyperlink"/>
            <w:rFonts w:ascii="Times New Roman" w:hAnsi="Times New Roman" w:cs="Times New Roman"/>
            <w:color w:val="000000" w:themeColor="text1"/>
          </w:rPr>
          <w:t>https://www.ilo.org/public/english/bureau/stat/isco/isco08/</w:t>
        </w:r>
      </w:hyperlink>
      <w:r w:rsidRPr="00755D1A">
        <w:rPr>
          <w:rFonts w:ascii="Times New Roman" w:hAnsi="Times New Roman" w:cs="Times New Roman"/>
          <w:color w:val="000000" w:themeColor="text1"/>
        </w:rPr>
        <w:t xml:space="preserve"> .</w:t>
      </w:r>
    </w:p>
  </w:endnote>
  <w:endnote w:id="3">
    <w:p w14:paraId="307F9516" w14:textId="77777777" w:rsidR="00080725" w:rsidRPr="00755D1A" w:rsidRDefault="00080725" w:rsidP="00DC336A">
      <w:pPr>
        <w:pStyle w:val="EndnoteText"/>
        <w:spacing w:line="480" w:lineRule="auto"/>
        <w:rPr>
          <w:rFonts w:ascii="Times New Roman" w:hAnsi="Times New Roman" w:cs="Times New Roman"/>
          <w:color w:val="000000" w:themeColor="text1"/>
        </w:rPr>
      </w:pPr>
      <w:r w:rsidRPr="00755D1A">
        <w:rPr>
          <w:rStyle w:val="EndnoteReference"/>
          <w:rFonts w:ascii="Times New Roman" w:hAnsi="Times New Roman" w:cs="Times New Roman"/>
          <w:color w:val="000000" w:themeColor="text1"/>
        </w:rPr>
        <w:endnoteRef/>
      </w:r>
      <w:r w:rsidRPr="00755D1A">
        <w:rPr>
          <w:rFonts w:ascii="Times New Roman" w:hAnsi="Times New Roman" w:cs="Times New Roman"/>
          <w:color w:val="000000" w:themeColor="text1"/>
        </w:rPr>
        <w:t xml:space="preserve"> ImPol scores range from 1 to -1. We show only 0-1 in this Figure since the policies for economic migrants (investors, high-skilled and skilled workers) that we examine in this paper fall within this range. Policies for some other kinds of migration (for example, family migrants) often fall between 0 and -1. </w:t>
      </w:r>
    </w:p>
  </w:endnote>
  <w:endnote w:id="4">
    <w:p w14:paraId="29874BEE" w14:textId="77777777" w:rsidR="00080725" w:rsidRPr="00755D1A" w:rsidRDefault="00080725" w:rsidP="00DC336A">
      <w:pPr>
        <w:pStyle w:val="EndnoteText"/>
        <w:spacing w:line="480" w:lineRule="auto"/>
        <w:rPr>
          <w:rFonts w:ascii="Times New Roman" w:hAnsi="Times New Roman" w:cs="Times New Roman"/>
          <w:color w:val="000000" w:themeColor="text1"/>
        </w:rPr>
      </w:pPr>
      <w:r w:rsidRPr="00755D1A">
        <w:rPr>
          <w:rStyle w:val="EndnoteReference"/>
          <w:rFonts w:ascii="Times New Roman" w:hAnsi="Times New Roman" w:cs="Times New Roman"/>
          <w:color w:val="000000" w:themeColor="text1"/>
        </w:rPr>
        <w:endnoteRef/>
      </w:r>
      <w:r w:rsidRPr="00755D1A">
        <w:rPr>
          <w:rFonts w:ascii="Times New Roman" w:hAnsi="Times New Roman" w:cs="Times New Roman"/>
          <w:color w:val="000000" w:themeColor="text1"/>
        </w:rPr>
        <w:t xml:space="preserve"> Analysis of Home Office data at </w:t>
      </w:r>
      <w:hyperlink r:id="rId2" w:history="1">
        <w:r w:rsidRPr="00755D1A">
          <w:rPr>
            <w:rStyle w:val="Hyperlink"/>
            <w:rFonts w:ascii="Times New Roman" w:hAnsi="Times New Roman" w:cs="Times New Roman"/>
            <w:color w:val="000000" w:themeColor="text1"/>
          </w:rPr>
          <w:t>https://getgoldenvisa.com/uk-tier-1-investor-visa-statistics</w:t>
        </w:r>
      </w:hyperlink>
      <w:r w:rsidRPr="00755D1A">
        <w:rPr>
          <w:rStyle w:val="Hyperlink"/>
          <w:rFonts w:ascii="Times New Roman" w:hAnsi="Times New Roman" w:cs="Times New Roman"/>
          <w:color w:val="000000" w:themeColor="text1"/>
        </w:rPr>
        <w:t xml:space="preserve"> </w:t>
      </w:r>
    </w:p>
  </w:endnote>
  <w:endnote w:id="5">
    <w:p w14:paraId="4678A242" w14:textId="77777777" w:rsidR="00080725" w:rsidRPr="00755D1A" w:rsidRDefault="00080725" w:rsidP="00DC336A">
      <w:pPr>
        <w:pStyle w:val="EndnoteText"/>
        <w:spacing w:line="480" w:lineRule="auto"/>
        <w:rPr>
          <w:rFonts w:ascii="Times New Roman" w:hAnsi="Times New Roman" w:cs="Times New Roman"/>
          <w:color w:val="000000" w:themeColor="text1"/>
        </w:rPr>
      </w:pPr>
      <w:r w:rsidRPr="00755D1A">
        <w:rPr>
          <w:rStyle w:val="EndnoteReference"/>
          <w:rFonts w:ascii="Times New Roman" w:hAnsi="Times New Roman" w:cs="Times New Roman"/>
          <w:color w:val="000000" w:themeColor="text1"/>
        </w:rPr>
        <w:endnoteRef/>
      </w:r>
      <w:r w:rsidRPr="00755D1A">
        <w:rPr>
          <w:rFonts w:ascii="Times New Roman" w:hAnsi="Times New Roman" w:cs="Times New Roman"/>
          <w:color w:val="000000" w:themeColor="text1"/>
        </w:rPr>
        <w:t xml:space="preserve"> Note that our Impol measures do not capture the quantum of visa fees, which is why our coding of the investor visa does not change after 2014. This may however be considered a restrictive move, and as such, a caveat to our index recording a stasis from 2014-16. </w:t>
      </w:r>
    </w:p>
  </w:endnote>
  <w:endnote w:id="6">
    <w:p w14:paraId="1CF58BAE" w14:textId="77777777" w:rsidR="00080725" w:rsidRPr="00755D1A" w:rsidRDefault="00080725" w:rsidP="00DC336A">
      <w:pPr>
        <w:pStyle w:val="EndnoteText"/>
        <w:spacing w:line="480" w:lineRule="auto"/>
        <w:rPr>
          <w:rFonts w:ascii="Times New Roman" w:hAnsi="Times New Roman" w:cs="Times New Roman"/>
          <w:color w:val="000000" w:themeColor="text1"/>
        </w:rPr>
      </w:pPr>
      <w:r w:rsidRPr="00755D1A">
        <w:rPr>
          <w:rStyle w:val="EndnoteReference"/>
          <w:rFonts w:ascii="Times New Roman" w:hAnsi="Times New Roman" w:cs="Times New Roman"/>
          <w:color w:val="000000" w:themeColor="text1"/>
        </w:rPr>
        <w:endnoteRef/>
      </w:r>
      <w:r w:rsidRPr="00755D1A">
        <w:rPr>
          <w:rFonts w:ascii="Times New Roman" w:hAnsi="Times New Roman" w:cs="Times New Roman"/>
          <w:color w:val="000000" w:themeColor="text1"/>
        </w:rPr>
        <w:t xml:space="preserve"> Absence from territory does not appear in list of situations for which a residence permit can be withdrawn; CESEDA, art. R311-14). </w:t>
      </w:r>
    </w:p>
  </w:endnote>
  <w:endnote w:id="7">
    <w:p w14:paraId="12FC538D" w14:textId="77777777" w:rsidR="00080725" w:rsidRPr="00755D1A" w:rsidRDefault="00080725" w:rsidP="00DC336A">
      <w:pPr>
        <w:pStyle w:val="EndnoteText"/>
        <w:spacing w:line="480" w:lineRule="auto"/>
        <w:rPr>
          <w:rFonts w:ascii="Times New Roman" w:hAnsi="Times New Roman" w:cs="Times New Roman"/>
          <w:color w:val="000000" w:themeColor="text1"/>
        </w:rPr>
      </w:pPr>
      <w:r w:rsidRPr="00755D1A">
        <w:rPr>
          <w:rStyle w:val="EndnoteReference"/>
          <w:rFonts w:ascii="Times New Roman" w:hAnsi="Times New Roman" w:cs="Times New Roman"/>
          <w:color w:val="000000" w:themeColor="text1"/>
        </w:rPr>
        <w:endnoteRef/>
      </w:r>
      <w:r w:rsidRPr="00755D1A">
        <w:rPr>
          <w:rFonts w:ascii="Times New Roman" w:hAnsi="Times New Roman" w:cs="Times New Roman"/>
          <w:color w:val="000000" w:themeColor="text1"/>
        </w:rPr>
        <w:t xml:space="preserve"> </w:t>
      </w:r>
      <w:r w:rsidRPr="00755D1A">
        <w:rPr>
          <w:rFonts w:ascii="Times New Roman" w:hAnsi="Times New Roman" w:cs="Times New Roman"/>
          <w:bCs/>
          <w:color w:val="000000" w:themeColor="text1"/>
        </w:rPr>
        <w:t xml:space="preserve">See </w:t>
      </w:r>
      <w:r w:rsidRPr="00755D1A">
        <w:rPr>
          <w:rFonts w:ascii="Times New Roman" w:hAnsi="Times New Roman" w:cs="Times New Roman"/>
          <w:color w:val="000000" w:themeColor="text1"/>
        </w:rPr>
        <w:t xml:space="preserve">la French Tech website, available at </w:t>
      </w:r>
      <w:hyperlink r:id="rId3" w:history="1">
        <w:r w:rsidRPr="00755D1A">
          <w:rPr>
            <w:rStyle w:val="Hyperlink"/>
            <w:rFonts w:ascii="Times New Roman" w:hAnsi="Times New Roman" w:cs="Times New Roman"/>
            <w:color w:val="000000" w:themeColor="text1"/>
          </w:rPr>
          <w:t>http://www.lafrenchtech.com/en-action/pass-french-tech</w:t>
        </w:r>
      </w:hyperlink>
      <w:r w:rsidRPr="00755D1A">
        <w:rPr>
          <w:rFonts w:ascii="Times New Roman" w:hAnsi="Times New Roman" w:cs="Times New Roman"/>
          <w:color w:val="000000" w:themeColor="text1"/>
        </w:rPr>
        <w:t xml:space="preserve">. </w:t>
      </w:r>
    </w:p>
  </w:endnote>
  <w:endnote w:id="8">
    <w:p w14:paraId="751E0AAE" w14:textId="77777777" w:rsidR="00080725" w:rsidRDefault="00080725" w:rsidP="00DC336A">
      <w:pPr>
        <w:pStyle w:val="EndnoteText"/>
        <w:spacing w:line="480" w:lineRule="auto"/>
        <w:rPr>
          <w:color w:val="000000"/>
          <w:sz w:val="16"/>
          <w:szCs w:val="16"/>
        </w:rPr>
      </w:pPr>
      <w:r w:rsidRPr="00755D1A">
        <w:rPr>
          <w:rStyle w:val="EndnoteReference"/>
          <w:rFonts w:ascii="Times New Roman" w:hAnsi="Times New Roman" w:cs="Times New Roman"/>
          <w:color w:val="000000" w:themeColor="text1"/>
        </w:rPr>
        <w:endnoteRef/>
      </w:r>
      <w:r w:rsidRPr="00755D1A">
        <w:rPr>
          <w:rFonts w:ascii="Times New Roman" w:hAnsi="Times New Roman" w:cs="Times New Roman"/>
          <w:color w:val="000000" w:themeColor="text1"/>
        </w:rPr>
        <w:t xml:space="preserve"> Law 14/2013, of 27 September, on the support to entrepreneurs and their internationalisation (</w:t>
      </w:r>
      <w:r w:rsidRPr="00755D1A">
        <w:rPr>
          <w:rFonts w:ascii="Times New Roman" w:hAnsi="Times New Roman" w:cs="Times New Roman"/>
          <w:i/>
          <w:color w:val="000000" w:themeColor="text1"/>
        </w:rPr>
        <w:t>Ley 14/2013, de 27 de septiembre, de apoyo a los emprendedores y su internacionalización</w:t>
      </w:r>
      <w:r w:rsidRPr="00755D1A">
        <w:rPr>
          <w:rFonts w:ascii="Times New Roman" w:hAnsi="Times New Roman" w:cs="Times New Roman"/>
          <w:color w:val="000000" w:themeColor="text1"/>
        </w:rPr>
        <w:t xml:space="preserve">), Official State Gazette 233 of 29 September 2013, BOE-A-2013-10074, available at </w:t>
      </w:r>
      <w:hyperlink r:id="rId4" w:history="1">
        <w:r w:rsidRPr="00755D1A">
          <w:rPr>
            <w:rStyle w:val="Hyperlink"/>
            <w:rFonts w:ascii="Times New Roman" w:hAnsi="Times New Roman" w:cs="Times New Roman"/>
            <w:color w:val="000000" w:themeColor="text1"/>
          </w:rPr>
          <w:t>https://www.boe.es/buscar/act.php?id=BOE-A-2013-10074</w:t>
        </w:r>
      </w:hyperlink>
      <w:r w:rsidRPr="00755D1A">
        <w:rPr>
          <w:rFonts w:ascii="Times New Roman" w:hAnsi="Times New Roman" w:cs="Times New Roman"/>
          <w:color w:val="000000" w:themeColor="text1"/>
        </w:rPr>
        <w:t xml:space="preserve"> (Law 14/2013).</w:t>
      </w:r>
      <w:r>
        <w:rPr>
          <w:color w:val="000000"/>
          <w:sz w:val="16"/>
          <w:szCs w:val="16"/>
        </w:rPr>
        <w:t xml:space="preserve"> </w:t>
      </w:r>
    </w:p>
    <w:p w14:paraId="325E403E" w14:textId="77777777" w:rsidR="00080725" w:rsidRDefault="00080725" w:rsidP="00DC336A">
      <w:pPr>
        <w:pStyle w:val="EndnoteText"/>
        <w:spacing w:line="480" w:lineRule="auto"/>
        <w:rPr>
          <w:color w:val="000000"/>
          <w:sz w:val="16"/>
          <w:szCs w:val="16"/>
        </w:rPr>
      </w:pPr>
    </w:p>
    <w:p w14:paraId="1A34D8EF" w14:textId="77777777" w:rsidR="00080725" w:rsidRDefault="00080725" w:rsidP="00DC336A">
      <w:pPr>
        <w:pStyle w:val="EndnoteText"/>
        <w:spacing w:line="480" w:lineRule="auto"/>
        <w:rPr>
          <w:rFonts w:ascii="Times New Roman" w:hAnsi="Times New Roman" w:cs="Times New Roman"/>
        </w:rPr>
      </w:pPr>
    </w:p>
    <w:p w14:paraId="7376D852" w14:textId="77777777" w:rsidR="00080725" w:rsidRDefault="00080725" w:rsidP="00DC336A">
      <w:pPr>
        <w:pStyle w:val="EndnoteText"/>
        <w:spacing w:line="480" w:lineRule="auto"/>
        <w:rPr>
          <w:rFonts w:ascii="Times New Roman" w:hAnsi="Times New Roman" w:cs="Times New Roman"/>
        </w:rPr>
      </w:pPr>
    </w:p>
    <w:p w14:paraId="3155CA03" w14:textId="77777777" w:rsidR="00080725" w:rsidRDefault="00080725" w:rsidP="00DC336A">
      <w:pPr>
        <w:pStyle w:val="EndnoteText"/>
        <w:spacing w:line="480" w:lineRule="auto"/>
        <w:rPr>
          <w:rFonts w:ascii="Times New Roman" w:hAnsi="Times New Roman" w:cs="Times New Roman"/>
        </w:rPr>
      </w:pPr>
    </w:p>
    <w:p w14:paraId="72E6325C" w14:textId="77777777" w:rsidR="00080725" w:rsidRPr="00480BE9" w:rsidRDefault="00080725" w:rsidP="00080725">
      <w:pPr>
        <w:spacing w:line="480" w:lineRule="auto"/>
        <w:jc w:val="both"/>
        <w:rPr>
          <w:rFonts w:ascii="Times New Roman" w:hAnsi="Times New Roman" w:cs="Times New Roman"/>
          <w:color w:val="000000" w:themeColor="text1"/>
        </w:rPr>
      </w:pPr>
      <w:r w:rsidRPr="00480BE9">
        <w:rPr>
          <w:rFonts w:ascii="Times New Roman" w:hAnsi="Times New Roman" w:cs="Times New Roman"/>
          <w:b/>
          <w:bCs/>
          <w:color w:val="000000" w:themeColor="text1"/>
        </w:rPr>
        <w:t>References</w:t>
      </w:r>
    </w:p>
    <w:p w14:paraId="0426E970" w14:textId="77777777" w:rsidR="00080725" w:rsidRPr="00480BE9" w:rsidRDefault="00080725" w:rsidP="00080725">
      <w:pPr>
        <w:spacing w:line="480" w:lineRule="auto"/>
        <w:contextualSpacing/>
        <w:jc w:val="both"/>
        <w:rPr>
          <w:rFonts w:ascii="Times New Roman" w:hAnsi="Times New Roman" w:cs="Times New Roman"/>
          <w:color w:val="000000" w:themeColor="text1"/>
          <w:lang w:val="en-GB"/>
        </w:rPr>
      </w:pPr>
    </w:p>
    <w:p w14:paraId="63D62475" w14:textId="77777777" w:rsidR="00080725" w:rsidRDefault="00080725" w:rsidP="00080725">
      <w:pPr>
        <w:spacing w:line="480" w:lineRule="auto"/>
        <w:ind w:left="720" w:hanging="720"/>
        <w:rPr>
          <w:rFonts w:ascii="Times New Roman" w:eastAsia="Times New Roman" w:hAnsi="Times New Roman" w:cs="Times New Roman"/>
          <w:color w:val="222222"/>
          <w:shd w:val="clear" w:color="auto" w:fill="FFFFFF"/>
          <w:lang w:val="en-GB"/>
        </w:rPr>
      </w:pPr>
      <w:r w:rsidRPr="00851F0F">
        <w:rPr>
          <w:rFonts w:ascii="Times New Roman" w:eastAsia="Times New Roman" w:hAnsi="Times New Roman" w:cs="Times New Roman"/>
          <w:color w:val="222222"/>
          <w:shd w:val="clear" w:color="auto" w:fill="FFFFFF"/>
          <w:lang w:val="en-GB"/>
        </w:rPr>
        <w:t>Afonso, Alexandre, and Camilla Devitt (2016). ‘Comparative political economy and international migration’, </w:t>
      </w:r>
      <w:r w:rsidRPr="00D16F8D">
        <w:rPr>
          <w:rFonts w:ascii="Times New Roman" w:eastAsia="Times New Roman" w:hAnsi="Times New Roman" w:cs="Times New Roman"/>
          <w:i/>
          <w:iCs/>
          <w:color w:val="222222"/>
          <w:shd w:val="clear" w:color="auto" w:fill="FFFFFF"/>
          <w:lang w:val="en-GB"/>
        </w:rPr>
        <w:t>Socio-Economic Review</w:t>
      </w:r>
      <w:r w:rsidRPr="00D16F8D">
        <w:rPr>
          <w:rFonts w:ascii="Times New Roman" w:eastAsia="Times New Roman" w:hAnsi="Times New Roman" w:cs="Times New Roman"/>
          <w:color w:val="222222"/>
          <w:shd w:val="clear" w:color="auto" w:fill="FFFFFF"/>
          <w:lang w:val="en-GB"/>
        </w:rPr>
        <w:t>,</w:t>
      </w:r>
      <w:r w:rsidRPr="00851F0F">
        <w:rPr>
          <w:rFonts w:ascii="Times New Roman" w:eastAsia="Times New Roman" w:hAnsi="Times New Roman" w:cs="Times New Roman"/>
          <w:color w:val="222222"/>
          <w:shd w:val="clear" w:color="auto" w:fill="FFFFFF"/>
          <w:lang w:val="en-GB"/>
        </w:rPr>
        <w:t> 14:3, 591-613.</w:t>
      </w:r>
    </w:p>
    <w:p w14:paraId="2941943E" w14:textId="77777777" w:rsidR="00080725" w:rsidRPr="00851F0F" w:rsidRDefault="00080725" w:rsidP="00080725">
      <w:pPr>
        <w:spacing w:line="480" w:lineRule="auto"/>
        <w:ind w:left="720" w:hanging="720"/>
        <w:rPr>
          <w:rFonts w:ascii="Times New Roman" w:eastAsia="Times New Roman" w:hAnsi="Times New Roman" w:cs="Times New Roman"/>
          <w:color w:val="222222"/>
          <w:shd w:val="clear" w:color="auto" w:fill="FFFFFF"/>
          <w:lang w:val="en-GB"/>
        </w:rPr>
      </w:pPr>
    </w:p>
    <w:p w14:paraId="53E0CC0A" w14:textId="402F202A" w:rsidR="00080725"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r w:rsidRPr="00851F0F">
        <w:rPr>
          <w:rFonts w:ascii="Times New Roman" w:eastAsia="Times New Roman" w:hAnsi="Times New Roman" w:cs="Times New Roman"/>
          <w:color w:val="222222"/>
          <w:shd w:val="clear" w:color="auto" w:fill="FFFFFF"/>
          <w:lang w:val="en-GB"/>
        </w:rPr>
        <w:t>Baccaro, Lucio, and Fabio Bulfone (2022). ‘Growth and Stagnation in Southern Europe’, in Mark Blyth, Jonas Pontusson and Lucio Baccaro (eds</w:t>
      </w:r>
      <w:r>
        <w:rPr>
          <w:rFonts w:ascii="Times New Roman" w:eastAsia="Times New Roman" w:hAnsi="Times New Roman" w:cs="Times New Roman"/>
          <w:color w:val="222222"/>
          <w:shd w:val="clear" w:color="auto" w:fill="FFFFFF"/>
          <w:lang w:val="en-GB"/>
        </w:rPr>
        <w:t>.</w:t>
      </w:r>
      <w:r w:rsidRPr="00851F0F">
        <w:rPr>
          <w:rFonts w:ascii="Times New Roman" w:eastAsia="Times New Roman" w:hAnsi="Times New Roman" w:cs="Times New Roman"/>
          <w:color w:val="222222"/>
          <w:shd w:val="clear" w:color="auto" w:fill="FFFFFF"/>
          <w:lang w:val="en-GB"/>
        </w:rPr>
        <w:t xml:space="preserve">), </w:t>
      </w:r>
      <w:r w:rsidRPr="00851F0F">
        <w:rPr>
          <w:rFonts w:ascii="Times New Roman" w:eastAsia="Times New Roman" w:hAnsi="Times New Roman" w:cs="Times New Roman"/>
          <w:i/>
          <w:iCs/>
          <w:color w:val="222222"/>
          <w:shd w:val="clear" w:color="auto" w:fill="FFFFFF"/>
          <w:lang w:val="en-GB"/>
        </w:rPr>
        <w:t xml:space="preserve">Diminishing Returns: The New Politics of Growth and Stagnation. </w:t>
      </w:r>
      <w:r w:rsidRPr="00080725">
        <w:rPr>
          <w:rFonts w:ascii="Times New Roman" w:eastAsia="Times New Roman" w:hAnsi="Times New Roman" w:cs="Times New Roman"/>
          <w:iCs/>
          <w:color w:val="222222"/>
          <w:shd w:val="clear" w:color="auto" w:fill="FFFFFF"/>
          <w:lang w:val="en-GB"/>
        </w:rPr>
        <w:t>Oxford</w:t>
      </w:r>
      <w:r w:rsidRPr="00851F0F">
        <w:rPr>
          <w:rFonts w:ascii="Times New Roman" w:eastAsia="Times New Roman" w:hAnsi="Times New Roman" w:cs="Times New Roman"/>
          <w:i/>
          <w:iCs/>
          <w:color w:val="222222"/>
          <w:shd w:val="clear" w:color="auto" w:fill="FFFFFF"/>
          <w:lang w:val="en-GB"/>
        </w:rPr>
        <w:t xml:space="preserve">: </w:t>
      </w:r>
      <w:r w:rsidRPr="00851F0F">
        <w:rPr>
          <w:rFonts w:ascii="Times New Roman" w:eastAsia="Times New Roman" w:hAnsi="Times New Roman" w:cs="Times New Roman"/>
          <w:color w:val="000000" w:themeColor="text1"/>
          <w:shd w:val="clear" w:color="auto" w:fill="FFFFFF"/>
          <w:lang w:val="en-GB"/>
        </w:rPr>
        <w:t>Oxford University Press, 293-322.</w:t>
      </w:r>
    </w:p>
    <w:p w14:paraId="72007A57" w14:textId="77777777" w:rsidR="00080725" w:rsidRPr="00851F0F"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p>
    <w:p w14:paraId="17624C3A" w14:textId="77777777" w:rsidR="00080725"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r w:rsidRPr="00851F0F">
        <w:rPr>
          <w:rFonts w:ascii="Times New Roman" w:eastAsia="Times New Roman" w:hAnsi="Times New Roman" w:cs="Times New Roman"/>
          <w:color w:val="000000" w:themeColor="text1"/>
          <w:shd w:val="clear" w:color="auto" w:fill="FFFFFF"/>
          <w:lang w:val="en-GB"/>
        </w:rPr>
        <w:t>Baccaro, Lucio and Jonas Pontusson (2022). ‘The politics of growth models’, </w:t>
      </w:r>
      <w:r w:rsidRPr="00851F0F">
        <w:rPr>
          <w:rFonts w:ascii="Times New Roman" w:eastAsia="Times New Roman" w:hAnsi="Times New Roman" w:cs="Times New Roman"/>
          <w:i/>
          <w:iCs/>
          <w:color w:val="000000" w:themeColor="text1"/>
          <w:shd w:val="clear" w:color="auto" w:fill="FFFFFF"/>
          <w:lang w:val="en-GB"/>
        </w:rPr>
        <w:t>Review of Keynesian Economics</w:t>
      </w:r>
      <w:r w:rsidRPr="00851F0F">
        <w:rPr>
          <w:rFonts w:ascii="Times New Roman" w:eastAsia="Times New Roman" w:hAnsi="Times New Roman" w:cs="Times New Roman"/>
          <w:color w:val="000000" w:themeColor="text1"/>
          <w:shd w:val="clear" w:color="auto" w:fill="FFFFFF"/>
          <w:lang w:val="en-GB"/>
        </w:rPr>
        <w:t>, </w:t>
      </w:r>
      <w:r w:rsidRPr="00080725">
        <w:rPr>
          <w:rFonts w:ascii="Times New Roman" w:eastAsia="Times New Roman" w:hAnsi="Times New Roman" w:cs="Times New Roman"/>
          <w:iCs/>
          <w:color w:val="000000" w:themeColor="text1"/>
          <w:shd w:val="clear" w:color="auto" w:fill="FFFFFF"/>
          <w:lang w:val="en-GB"/>
        </w:rPr>
        <w:t>10</w:t>
      </w:r>
      <w:r w:rsidRPr="00080725">
        <w:rPr>
          <w:rFonts w:ascii="Times New Roman" w:eastAsia="Times New Roman" w:hAnsi="Times New Roman" w:cs="Times New Roman"/>
          <w:color w:val="000000" w:themeColor="text1"/>
          <w:shd w:val="clear" w:color="auto" w:fill="FFFFFF"/>
          <w:lang w:val="en-GB"/>
        </w:rPr>
        <w:t>:</w:t>
      </w:r>
      <w:r w:rsidRPr="00851F0F">
        <w:rPr>
          <w:rFonts w:ascii="Times New Roman" w:eastAsia="Times New Roman" w:hAnsi="Times New Roman" w:cs="Times New Roman"/>
          <w:color w:val="000000" w:themeColor="text1"/>
          <w:shd w:val="clear" w:color="auto" w:fill="FFFFFF"/>
          <w:lang w:val="en-GB"/>
        </w:rPr>
        <w:t>2, 204-221.</w:t>
      </w:r>
    </w:p>
    <w:p w14:paraId="311300D9" w14:textId="77777777" w:rsidR="00080725"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p>
    <w:p w14:paraId="41144C04" w14:textId="6AF1C29F" w:rsidR="00080725"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r>
        <w:rPr>
          <w:rFonts w:ascii="Times New Roman" w:eastAsia="Times New Roman" w:hAnsi="Times New Roman" w:cs="Times New Roman"/>
          <w:color w:val="000000" w:themeColor="text1"/>
          <w:shd w:val="clear" w:color="auto" w:fill="FFFFFF"/>
          <w:lang w:val="en-GB"/>
        </w:rPr>
        <w:t xml:space="preserve">Baccaro, Lucio, Mark Blyth, and Jonas Pontusson (eds.) (2022). </w:t>
      </w:r>
      <w:r w:rsidRPr="001D643A">
        <w:rPr>
          <w:rFonts w:ascii="Times New Roman" w:eastAsia="Times New Roman" w:hAnsi="Times New Roman" w:cs="Times New Roman"/>
          <w:i/>
          <w:iCs/>
          <w:color w:val="000000" w:themeColor="text1"/>
          <w:shd w:val="clear" w:color="auto" w:fill="FFFFFF"/>
          <w:lang w:val="en-GB"/>
        </w:rPr>
        <w:t>Diminishing Returns: The New Politics of Growth and Stagnation</w:t>
      </w:r>
      <w:r>
        <w:rPr>
          <w:rFonts w:ascii="Times New Roman" w:eastAsia="Times New Roman" w:hAnsi="Times New Roman" w:cs="Times New Roman"/>
          <w:color w:val="000000" w:themeColor="text1"/>
          <w:shd w:val="clear" w:color="auto" w:fill="FFFFFF"/>
          <w:lang w:val="en-GB"/>
        </w:rPr>
        <w:t>. Oxford: Oxford University Press.</w:t>
      </w:r>
    </w:p>
    <w:p w14:paraId="42B4FE5C" w14:textId="77777777" w:rsidR="00080725" w:rsidRPr="00851F0F" w:rsidRDefault="00080725" w:rsidP="00080725">
      <w:pPr>
        <w:spacing w:line="480" w:lineRule="auto"/>
        <w:ind w:left="720" w:hanging="720"/>
        <w:rPr>
          <w:rFonts w:ascii="Times New Roman" w:eastAsia="Times New Roman" w:hAnsi="Times New Roman" w:cs="Times New Roman"/>
          <w:color w:val="000000" w:themeColor="text1"/>
          <w:lang w:val="en-GB"/>
        </w:rPr>
      </w:pPr>
    </w:p>
    <w:p w14:paraId="348EDF26" w14:textId="77777777" w:rsidR="00080725" w:rsidRPr="00851F0F" w:rsidRDefault="00080725" w:rsidP="00080725">
      <w:pPr>
        <w:spacing w:line="480" w:lineRule="auto"/>
        <w:ind w:left="720" w:hanging="720"/>
        <w:jc w:val="both"/>
        <w:rPr>
          <w:rFonts w:ascii="Times New Roman" w:hAnsi="Times New Roman" w:cs="Times New Roman"/>
          <w:color w:val="000000" w:themeColor="text1"/>
          <w:shd w:val="clear" w:color="auto" w:fill="FFFFFF"/>
        </w:rPr>
      </w:pPr>
      <w:r w:rsidRPr="00851F0F">
        <w:rPr>
          <w:rFonts w:ascii="Times New Roman" w:hAnsi="Times New Roman" w:cs="Times New Roman"/>
          <w:color w:val="000000" w:themeColor="text1"/>
          <w:shd w:val="clear" w:color="auto" w:fill="FFFFFF"/>
        </w:rPr>
        <w:t>Balch, Alex (2010). ‘Economic migration and the politics of hospitality in Spain: Ideas and policy change’, </w:t>
      </w:r>
      <w:r w:rsidRPr="00851F0F">
        <w:rPr>
          <w:rFonts w:ascii="Times New Roman" w:hAnsi="Times New Roman" w:cs="Times New Roman"/>
          <w:i/>
          <w:iCs/>
          <w:color w:val="000000" w:themeColor="text1"/>
          <w:shd w:val="clear" w:color="auto" w:fill="FFFFFF"/>
        </w:rPr>
        <w:t>Politics &amp; Policy</w:t>
      </w:r>
      <w:r w:rsidRPr="00851F0F">
        <w:rPr>
          <w:rFonts w:ascii="Times New Roman" w:hAnsi="Times New Roman" w:cs="Times New Roman"/>
          <w:color w:val="000000" w:themeColor="text1"/>
          <w:shd w:val="clear" w:color="auto" w:fill="FFFFFF"/>
        </w:rPr>
        <w:t>, </w:t>
      </w:r>
      <w:r w:rsidRPr="00080725">
        <w:rPr>
          <w:rFonts w:ascii="Times New Roman" w:hAnsi="Times New Roman" w:cs="Times New Roman"/>
          <w:iCs/>
          <w:color w:val="000000" w:themeColor="text1"/>
          <w:shd w:val="clear" w:color="auto" w:fill="FFFFFF"/>
        </w:rPr>
        <w:t>38</w:t>
      </w:r>
      <w:r w:rsidRPr="00080725">
        <w:rPr>
          <w:rFonts w:ascii="Times New Roman" w:hAnsi="Times New Roman" w:cs="Times New Roman"/>
          <w:color w:val="000000" w:themeColor="text1"/>
          <w:shd w:val="clear" w:color="auto" w:fill="FFFFFF"/>
        </w:rPr>
        <w:t>:5</w:t>
      </w:r>
      <w:r w:rsidRPr="00851F0F">
        <w:rPr>
          <w:rFonts w:ascii="Times New Roman" w:hAnsi="Times New Roman" w:cs="Times New Roman"/>
          <w:color w:val="000000" w:themeColor="text1"/>
          <w:shd w:val="clear" w:color="auto" w:fill="FFFFFF"/>
        </w:rPr>
        <w:t>, 1037-1065.</w:t>
      </w:r>
    </w:p>
    <w:p w14:paraId="68137278" w14:textId="77777777" w:rsidR="00080725" w:rsidRPr="00480BE9" w:rsidRDefault="00080725" w:rsidP="00080725">
      <w:pPr>
        <w:spacing w:line="480" w:lineRule="auto"/>
        <w:jc w:val="both"/>
        <w:rPr>
          <w:rFonts w:ascii="Times New Roman" w:hAnsi="Times New Roman" w:cs="Times New Roman"/>
          <w:color w:val="000000" w:themeColor="text1"/>
        </w:rPr>
      </w:pPr>
    </w:p>
    <w:p w14:paraId="4D1B523D"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r w:rsidRPr="00480BE9">
        <w:rPr>
          <w:rFonts w:ascii="Times New Roman" w:hAnsi="Times New Roman" w:cs="Times New Roman"/>
          <w:color w:val="000000" w:themeColor="text1"/>
        </w:rPr>
        <w:t>BBC News (2022)</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‘UK scraps rich foreign investor scheme’, 17 February 2022. </w:t>
      </w:r>
      <w:hyperlink r:id="rId5" w:history="1">
        <w:r w:rsidRPr="00480BE9">
          <w:rPr>
            <w:rStyle w:val="Hyperlink"/>
            <w:rFonts w:ascii="Times New Roman" w:hAnsi="Times New Roman" w:cs="Times New Roman"/>
            <w:color w:val="000000" w:themeColor="text1"/>
          </w:rPr>
          <w:t>https://www.bbc.co.uk/news/uk-politics-60410844</w:t>
        </w:r>
      </w:hyperlink>
      <w:r w:rsidRPr="00480BE9">
        <w:rPr>
          <w:rFonts w:ascii="Times New Roman" w:hAnsi="Times New Roman" w:cs="Times New Roman"/>
          <w:color w:val="000000" w:themeColor="text1"/>
        </w:rPr>
        <w:t xml:space="preserve"> </w:t>
      </w:r>
    </w:p>
    <w:p w14:paraId="2C2ED689"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1BE92096"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Beine, Michel</w:t>
      </w:r>
      <w:r w:rsidRPr="00480BE9">
        <w:rPr>
          <w:rFonts w:ascii="Times New Roman" w:hAnsi="Times New Roman" w:cs="Times New Roman"/>
          <w:color w:val="000000" w:themeColor="text1"/>
        </w:rPr>
        <w:t>,</w:t>
      </w:r>
      <w:r>
        <w:rPr>
          <w:rFonts w:ascii="Times New Roman" w:hAnsi="Times New Roman" w:cs="Times New Roman"/>
          <w:color w:val="000000" w:themeColor="text1"/>
        </w:rPr>
        <w:t xml:space="preserve"> Anna Boucher</w:t>
      </w:r>
      <w:r w:rsidRPr="00480BE9">
        <w:rPr>
          <w:rFonts w:ascii="Times New Roman" w:hAnsi="Times New Roman" w:cs="Times New Roman"/>
          <w:color w:val="000000" w:themeColor="text1"/>
        </w:rPr>
        <w:t xml:space="preserve">, </w:t>
      </w:r>
      <w:r>
        <w:rPr>
          <w:rFonts w:ascii="Times New Roman" w:hAnsi="Times New Roman" w:cs="Times New Roman"/>
          <w:color w:val="000000" w:themeColor="text1"/>
        </w:rPr>
        <w:t>Brian Burgoon, Mary Crock,  Justin Gest, Michael Hiscox</w:t>
      </w:r>
      <w:r w:rsidRPr="00480BE9">
        <w:rPr>
          <w:rFonts w:ascii="Times New Roman" w:hAnsi="Times New Roman" w:cs="Times New Roman"/>
          <w:color w:val="000000" w:themeColor="text1"/>
        </w:rPr>
        <w:t>,</w:t>
      </w:r>
      <w:r>
        <w:rPr>
          <w:rFonts w:ascii="Times New Roman" w:hAnsi="Times New Roman" w:cs="Times New Roman"/>
          <w:color w:val="000000" w:themeColor="text1"/>
        </w:rPr>
        <w:t xml:space="preserve"> Patrick McGovern, Hillel Rapoport, Joep Schaper </w:t>
      </w:r>
      <w:r w:rsidRPr="00480BE9">
        <w:rPr>
          <w:rFonts w:ascii="Times New Roman" w:hAnsi="Times New Roman" w:cs="Times New Roman"/>
          <w:color w:val="000000" w:themeColor="text1"/>
        </w:rPr>
        <w:t>and</w:t>
      </w:r>
      <w:r>
        <w:rPr>
          <w:rFonts w:ascii="Times New Roman" w:hAnsi="Times New Roman" w:cs="Times New Roman"/>
          <w:color w:val="000000" w:themeColor="text1"/>
        </w:rPr>
        <w:t xml:space="preserve"> Eiko Thielemann</w:t>
      </w:r>
      <w:r w:rsidRPr="00480BE9">
        <w:rPr>
          <w:rFonts w:ascii="Times New Roman" w:hAnsi="Times New Roman" w:cs="Times New Roman"/>
          <w:color w:val="000000" w:themeColor="text1"/>
        </w:rPr>
        <w:t>. (2016)</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‘Comparing immigration policies: an overview from the IMPALA database’, </w:t>
      </w:r>
      <w:r w:rsidRPr="00480BE9">
        <w:rPr>
          <w:rFonts w:ascii="Times New Roman" w:hAnsi="Times New Roman" w:cs="Times New Roman"/>
          <w:i/>
          <w:iCs/>
          <w:color w:val="000000" w:themeColor="text1"/>
        </w:rPr>
        <w:t>International Migration Review</w:t>
      </w:r>
      <w:r w:rsidRPr="00480BE9">
        <w:rPr>
          <w:rFonts w:ascii="Times New Roman" w:hAnsi="Times New Roman" w:cs="Times New Roman"/>
          <w:color w:val="000000" w:themeColor="text1"/>
        </w:rPr>
        <w:t xml:space="preserve"> 50</w:t>
      </w:r>
      <w:r>
        <w:rPr>
          <w:rFonts w:ascii="Times New Roman" w:hAnsi="Times New Roman" w:cs="Times New Roman"/>
          <w:color w:val="000000" w:themeColor="text1"/>
        </w:rPr>
        <w:t>: 4,</w:t>
      </w:r>
      <w:r w:rsidRPr="00480BE9">
        <w:rPr>
          <w:rFonts w:ascii="Times New Roman" w:hAnsi="Times New Roman" w:cs="Times New Roman"/>
          <w:color w:val="000000" w:themeColor="text1"/>
        </w:rPr>
        <w:t xml:space="preserve"> 827–863</w:t>
      </w:r>
    </w:p>
    <w:p w14:paraId="5993D3A9"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p>
    <w:p w14:paraId="172BEAF1" w14:textId="77777777" w:rsidR="00080725" w:rsidRPr="00480BE9" w:rsidRDefault="00080725" w:rsidP="00080725">
      <w:pPr>
        <w:pStyle w:val="Heading1"/>
        <w:shd w:val="clear" w:color="auto" w:fill="FFFFFF"/>
        <w:spacing w:before="0" w:line="480" w:lineRule="auto"/>
        <w:rPr>
          <w:rFonts w:ascii="Times New Roman" w:eastAsia="Times New Roman" w:hAnsi="Times New Roman" w:cs="Times New Roman"/>
          <w:bCs/>
          <w:color w:val="000000" w:themeColor="text1"/>
          <w:kern w:val="36"/>
          <w:sz w:val="24"/>
          <w:szCs w:val="24"/>
          <w:lang w:val="en-GB" w:eastAsia="en-GB"/>
        </w:rPr>
      </w:pPr>
      <w:r>
        <w:rPr>
          <w:rFonts w:ascii="Times New Roman" w:hAnsi="Times New Roman" w:cs="Times New Roman"/>
          <w:color w:val="000000" w:themeColor="text1"/>
          <w:sz w:val="24"/>
          <w:szCs w:val="24"/>
        </w:rPr>
        <w:t xml:space="preserve">Besson, </w:t>
      </w:r>
      <w:r w:rsidRPr="00480BE9">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ric</w:t>
      </w:r>
      <w:r w:rsidRPr="00480B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(2009).</w:t>
      </w:r>
      <w:r w:rsidRPr="00480BE9">
        <w:rPr>
          <w:rFonts w:ascii="Times New Roman" w:hAnsi="Times New Roman" w:cs="Times New Roman"/>
          <w:color w:val="000000" w:themeColor="text1"/>
          <w:sz w:val="24"/>
          <w:szCs w:val="24"/>
        </w:rPr>
        <w:t xml:space="preserve"> </w:t>
      </w:r>
      <w:r w:rsidRPr="00480BE9">
        <w:rPr>
          <w:rFonts w:ascii="Times New Roman" w:eastAsia="Times New Roman" w:hAnsi="Times New Roman" w:cs="Times New Roman"/>
          <w:bCs/>
          <w:color w:val="000000" w:themeColor="text1"/>
          <w:kern w:val="36"/>
          <w:sz w:val="24"/>
          <w:szCs w:val="24"/>
          <w:lang w:val="en-GB" w:eastAsia="en-GB"/>
        </w:rPr>
        <w:t>Eric Besson a présenté la carte de résident pour contribution économique exceptionnelle.</w:t>
      </w:r>
      <w:r w:rsidRPr="00480BE9">
        <w:rPr>
          <w:rFonts w:ascii="Times New Roman" w:eastAsiaTheme="minorHAnsi" w:hAnsi="Times New Roman" w:cs="Times New Roman"/>
          <w:color w:val="000000" w:themeColor="text1"/>
          <w:sz w:val="24"/>
          <w:szCs w:val="24"/>
          <w:u w:val="single"/>
        </w:rPr>
        <w:t xml:space="preserve"> (interieur.gouv.fr)</w:t>
      </w:r>
    </w:p>
    <w:p w14:paraId="0AE0CC49"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lang w:val="en-GB"/>
        </w:rPr>
      </w:pPr>
      <w:r w:rsidRPr="00480BE9" w:rsidDel="00F37955">
        <w:rPr>
          <w:rFonts w:ascii="Times New Roman" w:hAnsi="Times New Roman" w:cs="Times New Roman"/>
          <w:color w:val="000000" w:themeColor="text1"/>
          <w:lang w:val="en-GB"/>
        </w:rPr>
        <w:t xml:space="preserve"> </w:t>
      </w:r>
    </w:p>
    <w:p w14:paraId="2C9E2E36" w14:textId="3A0B3B0E" w:rsidR="00080725" w:rsidRDefault="00080725" w:rsidP="00C26987">
      <w:pPr>
        <w:widowControl w:val="0"/>
        <w:autoSpaceDE w:val="0"/>
        <w:autoSpaceDN w:val="0"/>
        <w:adjustRightInd w:val="0"/>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Boräng, Frida, and Lucie Cerna (2019). ‘Constrained politics: labour market actors, political parties and Swedish labour immigration policy’, </w:t>
      </w:r>
      <w:r w:rsidRPr="00842971">
        <w:rPr>
          <w:rFonts w:ascii="Times New Roman" w:hAnsi="Times New Roman" w:cs="Times New Roman"/>
          <w:i/>
          <w:iCs/>
          <w:color w:val="000000" w:themeColor="text1"/>
        </w:rPr>
        <w:t>Government &amp; Opposition</w:t>
      </w:r>
      <w:r>
        <w:rPr>
          <w:rFonts w:ascii="Times New Roman" w:hAnsi="Times New Roman" w:cs="Times New Roman"/>
          <w:color w:val="000000" w:themeColor="text1"/>
        </w:rPr>
        <w:t>, 54:1, 121-144.</w:t>
      </w:r>
    </w:p>
    <w:p w14:paraId="5BE54CDE" w14:textId="77777777" w:rsidR="00C26987" w:rsidRDefault="00C26987" w:rsidP="00C26987">
      <w:pPr>
        <w:widowControl w:val="0"/>
        <w:autoSpaceDE w:val="0"/>
        <w:autoSpaceDN w:val="0"/>
        <w:adjustRightInd w:val="0"/>
        <w:spacing w:line="480" w:lineRule="auto"/>
        <w:ind w:left="720" w:hanging="720"/>
        <w:rPr>
          <w:rFonts w:ascii="Times New Roman" w:hAnsi="Times New Roman" w:cs="Times New Roman"/>
          <w:color w:val="000000" w:themeColor="text1"/>
        </w:rPr>
      </w:pPr>
    </w:p>
    <w:p w14:paraId="4B5FA090"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shd w:val="clear" w:color="auto" w:fill="FFFFFF"/>
        </w:rPr>
      </w:pPr>
      <w:r w:rsidRPr="00480BE9">
        <w:rPr>
          <w:rFonts w:ascii="Times New Roman" w:hAnsi="Times New Roman" w:cs="Times New Roman"/>
          <w:color w:val="000000" w:themeColor="text1"/>
        </w:rPr>
        <w:t>Boucher, A</w:t>
      </w:r>
      <w:r>
        <w:rPr>
          <w:rFonts w:ascii="Times New Roman" w:hAnsi="Times New Roman" w:cs="Times New Roman"/>
          <w:color w:val="000000" w:themeColor="text1"/>
        </w:rPr>
        <w:t>nna,</w:t>
      </w:r>
      <w:r w:rsidRPr="00480BE9">
        <w:rPr>
          <w:rFonts w:ascii="Times New Roman" w:hAnsi="Times New Roman" w:cs="Times New Roman"/>
          <w:color w:val="000000" w:themeColor="text1"/>
        </w:rPr>
        <w:t xml:space="preserve"> and </w:t>
      </w:r>
      <w:r>
        <w:rPr>
          <w:rFonts w:ascii="Times New Roman" w:hAnsi="Times New Roman" w:cs="Times New Roman"/>
          <w:color w:val="000000" w:themeColor="text1"/>
        </w:rPr>
        <w:t>Lucie Cerna</w:t>
      </w:r>
      <w:r w:rsidRPr="00480BE9">
        <w:rPr>
          <w:rFonts w:ascii="Times New Roman" w:hAnsi="Times New Roman" w:cs="Times New Roman"/>
          <w:color w:val="000000" w:themeColor="text1"/>
        </w:rPr>
        <w:t xml:space="preserve"> (</w:t>
      </w:r>
      <w:r w:rsidRPr="00480BE9">
        <w:rPr>
          <w:rFonts w:ascii="Times New Roman" w:hAnsi="Times New Roman" w:cs="Times New Roman"/>
          <w:color w:val="000000" w:themeColor="text1"/>
          <w:shd w:val="clear" w:color="auto" w:fill="FFFFFF"/>
        </w:rPr>
        <w:t>2014)</w:t>
      </w:r>
      <w:r>
        <w:rPr>
          <w:rFonts w:ascii="Times New Roman" w:hAnsi="Times New Roman" w:cs="Times New Roman"/>
          <w:color w:val="000000" w:themeColor="text1"/>
          <w:shd w:val="clear" w:color="auto" w:fill="FFFFFF"/>
        </w:rPr>
        <w:t>.</w:t>
      </w:r>
      <w:r w:rsidRPr="00480BE9">
        <w:rPr>
          <w:rFonts w:ascii="Times New Roman" w:hAnsi="Times New Roman" w:cs="Times New Roman"/>
          <w:color w:val="000000" w:themeColor="text1"/>
          <w:shd w:val="clear" w:color="auto" w:fill="FFFFFF"/>
        </w:rPr>
        <w:t xml:space="preserve"> ‘Current policy trends in skilled immigration policy’, </w:t>
      </w:r>
      <w:r w:rsidRPr="00480BE9">
        <w:rPr>
          <w:rFonts w:ascii="Times New Roman" w:hAnsi="Times New Roman" w:cs="Times New Roman"/>
          <w:i/>
          <w:iCs/>
          <w:color w:val="000000" w:themeColor="text1"/>
          <w:shd w:val="clear" w:color="auto" w:fill="FFFFFF"/>
        </w:rPr>
        <w:t>International Migration</w:t>
      </w:r>
      <w:r w:rsidRPr="00480BE9">
        <w:rPr>
          <w:rFonts w:ascii="Times New Roman" w:hAnsi="Times New Roman" w:cs="Times New Roman"/>
          <w:color w:val="000000" w:themeColor="text1"/>
          <w:shd w:val="clear" w:color="auto" w:fill="FFFFFF"/>
        </w:rPr>
        <w:t>, </w:t>
      </w:r>
      <w:r w:rsidRPr="00080725">
        <w:rPr>
          <w:rFonts w:ascii="Times New Roman" w:hAnsi="Times New Roman" w:cs="Times New Roman"/>
          <w:iCs/>
          <w:color w:val="000000" w:themeColor="text1"/>
          <w:shd w:val="clear" w:color="auto" w:fill="FFFFFF"/>
        </w:rPr>
        <w:t>52</w:t>
      </w:r>
      <w:r>
        <w:rPr>
          <w:rFonts w:ascii="Times New Roman" w:hAnsi="Times New Roman" w:cs="Times New Roman"/>
          <w:color w:val="000000" w:themeColor="text1"/>
          <w:shd w:val="clear" w:color="auto" w:fill="FFFFFF"/>
        </w:rPr>
        <w:t>:3,</w:t>
      </w:r>
      <w:r w:rsidRPr="00480BE9">
        <w:rPr>
          <w:rFonts w:ascii="Times New Roman" w:hAnsi="Times New Roman" w:cs="Times New Roman"/>
          <w:color w:val="000000" w:themeColor="text1"/>
          <w:shd w:val="clear" w:color="auto" w:fill="FFFFFF"/>
        </w:rPr>
        <w:t xml:space="preserve"> 21-25.</w:t>
      </w:r>
    </w:p>
    <w:p w14:paraId="2E9F9113"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p>
    <w:p w14:paraId="3A8D5ACC" w14:textId="735BAA23"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sidRPr="00480BE9">
        <w:rPr>
          <w:rFonts w:ascii="Times New Roman" w:hAnsi="Times New Roman" w:cs="Times New Roman"/>
          <w:color w:val="000000" w:themeColor="text1"/>
        </w:rPr>
        <w:t>Caviedes, A</w:t>
      </w:r>
      <w:r>
        <w:rPr>
          <w:rFonts w:ascii="Times New Roman" w:hAnsi="Times New Roman" w:cs="Times New Roman"/>
          <w:color w:val="000000" w:themeColor="text1"/>
        </w:rPr>
        <w:t>lexander</w:t>
      </w:r>
      <w:r w:rsidRPr="00480BE9">
        <w:rPr>
          <w:rFonts w:ascii="Times New Roman" w:hAnsi="Times New Roman" w:cs="Times New Roman"/>
          <w:color w:val="000000" w:themeColor="text1"/>
        </w:rPr>
        <w:t xml:space="preserve"> (20</w:t>
      </w:r>
      <w:r>
        <w:rPr>
          <w:rFonts w:ascii="Times New Roman" w:hAnsi="Times New Roman" w:cs="Times New Roman"/>
          <w:color w:val="000000" w:themeColor="text1"/>
        </w:rPr>
        <w:t>10</w:t>
      </w:r>
      <w:r w:rsidRPr="00480BE9">
        <w:rPr>
          <w:rFonts w:ascii="Times New Roman" w:hAnsi="Times New Roman" w:cs="Times New Roman"/>
          <w:color w:val="000000" w:themeColor="text1"/>
        </w:rPr>
        <w:t>)</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Pr="00480BE9">
        <w:rPr>
          <w:rFonts w:ascii="Times New Roman" w:hAnsi="Times New Roman" w:cs="Times New Roman"/>
          <w:i/>
          <w:iCs/>
          <w:color w:val="000000" w:themeColor="text1"/>
        </w:rPr>
        <w:t>Prying Open Fortress Europe? The Turn to Sectoral Labour Migration</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Lanham: Rowman and Littlefield publishers. </w:t>
      </w:r>
    </w:p>
    <w:p w14:paraId="5BE1163B"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p>
    <w:p w14:paraId="651EB245" w14:textId="77777777" w:rsidR="00080725" w:rsidRPr="00DC336A"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sidRPr="00480BE9">
        <w:rPr>
          <w:rFonts w:ascii="Times New Roman" w:hAnsi="Times New Roman" w:cs="Times New Roman"/>
          <w:color w:val="000000" w:themeColor="text1"/>
        </w:rPr>
        <w:t>Clift, B</w:t>
      </w:r>
      <w:r>
        <w:rPr>
          <w:rFonts w:ascii="Times New Roman" w:hAnsi="Times New Roman" w:cs="Times New Roman"/>
          <w:color w:val="000000" w:themeColor="text1"/>
        </w:rPr>
        <w:t>en</w:t>
      </w:r>
      <w:r w:rsidRPr="00480BE9">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Sean </w:t>
      </w:r>
      <w:r w:rsidRPr="00480BE9">
        <w:rPr>
          <w:rFonts w:ascii="Times New Roman" w:hAnsi="Times New Roman" w:cs="Times New Roman"/>
          <w:color w:val="000000" w:themeColor="text1"/>
        </w:rPr>
        <w:t>McDaniel (2021)</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‘Capitalist Convergence? European (dis?)integration and the Post-crash Restructuring of French and European Capitalisms’, </w:t>
      </w:r>
      <w:r w:rsidRPr="00480BE9">
        <w:rPr>
          <w:rFonts w:ascii="Times New Roman" w:hAnsi="Times New Roman" w:cs="Times New Roman"/>
          <w:i/>
          <w:iCs/>
          <w:color w:val="000000" w:themeColor="text1"/>
        </w:rPr>
        <w:t>New Political Economy</w:t>
      </w:r>
      <w:r>
        <w:rPr>
          <w:rFonts w:ascii="Times New Roman" w:hAnsi="Times New Roman" w:cs="Times New Roman"/>
          <w:color w:val="000000" w:themeColor="text1"/>
        </w:rPr>
        <w:t>, 26:</w:t>
      </w:r>
      <w:r w:rsidRPr="00480BE9">
        <w:rPr>
          <w:rFonts w:ascii="Times New Roman" w:hAnsi="Times New Roman" w:cs="Times New Roman"/>
          <w:color w:val="000000" w:themeColor="text1"/>
        </w:rPr>
        <w:t>1</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Pr>
          <w:rFonts w:ascii="Times New Roman" w:hAnsi="Times New Roman" w:cs="Times New Roman"/>
          <w:color w:val="000000" w:themeColor="text1"/>
        </w:rPr>
        <w:t>1-19.</w:t>
      </w:r>
    </w:p>
    <w:p w14:paraId="65A9DCED" w14:textId="77777777" w:rsidR="00080725" w:rsidRPr="00DC336A" w:rsidRDefault="00080725" w:rsidP="00080725">
      <w:pPr>
        <w:spacing w:line="480" w:lineRule="auto"/>
        <w:ind w:left="720" w:hanging="720"/>
        <w:jc w:val="both"/>
        <w:rPr>
          <w:rFonts w:ascii="Times New Roman" w:hAnsi="Times New Roman" w:cs="Times New Roman"/>
          <w:color w:val="000000" w:themeColor="text1"/>
        </w:rPr>
      </w:pPr>
    </w:p>
    <w:p w14:paraId="408D6476" w14:textId="77777777" w:rsidR="00080725" w:rsidRPr="00DC336A" w:rsidRDefault="00080725" w:rsidP="00080725">
      <w:pPr>
        <w:spacing w:line="480" w:lineRule="auto"/>
        <w:rPr>
          <w:rFonts w:ascii="Times New Roman" w:eastAsia="Times New Roman" w:hAnsi="Times New Roman" w:cs="Times New Roman"/>
          <w:color w:val="000000" w:themeColor="text1"/>
          <w:lang w:val="en-GB"/>
        </w:rPr>
      </w:pPr>
      <w:r w:rsidRPr="00DC336A">
        <w:rPr>
          <w:rFonts w:ascii="Times New Roman" w:eastAsia="Times New Roman" w:hAnsi="Times New Roman" w:cs="Times New Roman"/>
          <w:color w:val="000000" w:themeColor="text1"/>
          <w:shd w:val="clear" w:color="auto" w:fill="FFFFFF"/>
          <w:lang w:val="en-GB"/>
        </w:rPr>
        <w:t xml:space="preserve">Consterdine Erica (2018). </w:t>
      </w:r>
      <w:r w:rsidRPr="00DC336A">
        <w:rPr>
          <w:rFonts w:ascii="Times New Roman" w:eastAsia="Times New Roman" w:hAnsi="Times New Roman" w:cs="Times New Roman"/>
          <w:i/>
          <w:color w:val="000000" w:themeColor="text1"/>
          <w:shd w:val="clear" w:color="auto" w:fill="FFFFFF"/>
          <w:lang w:val="en-GB"/>
        </w:rPr>
        <w:t>Labour’s Immigration Policy</w:t>
      </w:r>
      <w:r w:rsidRPr="00DC336A">
        <w:rPr>
          <w:rFonts w:ascii="Times New Roman" w:eastAsia="Times New Roman" w:hAnsi="Times New Roman" w:cs="Times New Roman"/>
          <w:color w:val="000000" w:themeColor="text1"/>
          <w:shd w:val="clear" w:color="auto" w:fill="FFFFFF"/>
          <w:lang w:val="en-GB"/>
        </w:rPr>
        <w:t>. Basingstoke: Palgrave Macmillan.</w:t>
      </w:r>
    </w:p>
    <w:p w14:paraId="0B53E015" w14:textId="77777777" w:rsidR="00080725" w:rsidRPr="00DC336A" w:rsidRDefault="00080725" w:rsidP="00080725">
      <w:pPr>
        <w:spacing w:line="480" w:lineRule="auto"/>
        <w:ind w:left="720" w:hanging="720"/>
        <w:jc w:val="both"/>
        <w:rPr>
          <w:rFonts w:ascii="Times New Roman" w:hAnsi="Times New Roman" w:cs="Times New Roman"/>
          <w:color w:val="000000" w:themeColor="text1"/>
        </w:rPr>
      </w:pPr>
    </w:p>
    <w:p w14:paraId="2BC8379C" w14:textId="77777777" w:rsidR="00080725"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r w:rsidRPr="00DC336A">
        <w:rPr>
          <w:rFonts w:ascii="Times New Roman" w:eastAsia="Times New Roman" w:hAnsi="Times New Roman" w:cs="Times New Roman"/>
          <w:color w:val="000000" w:themeColor="text1"/>
          <w:shd w:val="clear" w:color="auto" w:fill="FFFFFF"/>
          <w:lang w:val="en-GB"/>
        </w:rPr>
        <w:t xml:space="preserve">Consterdine, Erica and James Hampshire (2014). ‘Immigration policy under New Labour: Exploring a critical juncture’, </w:t>
      </w:r>
      <w:r w:rsidRPr="00DC336A">
        <w:rPr>
          <w:rFonts w:ascii="Times New Roman" w:eastAsia="Times New Roman" w:hAnsi="Times New Roman" w:cs="Times New Roman"/>
          <w:i/>
          <w:color w:val="000000" w:themeColor="text1"/>
          <w:shd w:val="clear" w:color="auto" w:fill="FFFFFF"/>
          <w:lang w:val="en-GB"/>
        </w:rPr>
        <w:t>British Politics</w:t>
      </w:r>
      <w:r w:rsidRPr="00DC336A">
        <w:rPr>
          <w:rFonts w:ascii="Times New Roman" w:eastAsia="Times New Roman" w:hAnsi="Times New Roman" w:cs="Times New Roman"/>
          <w:color w:val="000000" w:themeColor="text1"/>
          <w:shd w:val="clear" w:color="auto" w:fill="FFFFFF"/>
          <w:lang w:val="en-GB"/>
        </w:rPr>
        <w:t xml:space="preserve">, 9, 275-296. </w:t>
      </w:r>
    </w:p>
    <w:p w14:paraId="3B0A1511" w14:textId="77777777" w:rsidR="00080725"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p>
    <w:p w14:paraId="0CD70C43" w14:textId="4CA74BD2" w:rsidR="00080725" w:rsidRDefault="00080725" w:rsidP="00080725">
      <w:pPr>
        <w:spacing w:line="480" w:lineRule="auto"/>
        <w:ind w:left="720" w:hanging="720"/>
        <w:jc w:val="both"/>
        <w:rPr>
          <w:rFonts w:ascii="Times New Roman" w:eastAsia="Times New Roman" w:hAnsi="Times New Roman" w:cs="Times New Roman"/>
          <w:lang w:val="en-GB"/>
        </w:rPr>
      </w:pPr>
      <w:r>
        <w:rPr>
          <w:rFonts w:ascii="Times New Roman" w:hAnsi="Times New Roman" w:cs="Times New Roman"/>
          <w:lang w:val="en-GB"/>
        </w:rPr>
        <w:t xml:space="preserve">Consterdine, Erica., and Hampshire, James. (2016) ‘Coding legal regimes of immigration entry to the EU with a focus on labour migration’. URL: </w:t>
      </w:r>
      <w:hyperlink r:id="rId6" w:history="1">
        <w:r w:rsidRPr="00F30229">
          <w:rPr>
            <w:rStyle w:val="Hyperlink"/>
            <w:rFonts w:ascii="Times New Roman" w:hAnsi="Times New Roman" w:cs="Times New Roman"/>
            <w:lang w:val="en-GB"/>
          </w:rPr>
          <w:t>https://www.temperproject.eu/wp-content/uploads/2016/08/Working-Paper-8.pdf</w:t>
        </w:r>
      </w:hyperlink>
    </w:p>
    <w:p w14:paraId="30FE2D13" w14:textId="77777777" w:rsidR="00080725" w:rsidRPr="00DC336A" w:rsidRDefault="00080725" w:rsidP="00080725">
      <w:pPr>
        <w:spacing w:line="480" w:lineRule="auto"/>
        <w:ind w:left="720" w:hanging="720"/>
        <w:rPr>
          <w:rFonts w:ascii="Times New Roman" w:eastAsia="Times New Roman" w:hAnsi="Times New Roman" w:cs="Times New Roman"/>
          <w:color w:val="000000" w:themeColor="text1"/>
          <w:lang w:val="en-GB"/>
        </w:rPr>
      </w:pPr>
    </w:p>
    <w:p w14:paraId="2213F75D" w14:textId="77777777" w:rsidR="00080725" w:rsidRPr="00DC336A" w:rsidRDefault="00080725" w:rsidP="00080725">
      <w:pPr>
        <w:spacing w:line="480" w:lineRule="auto"/>
        <w:ind w:left="720" w:hanging="720"/>
        <w:rPr>
          <w:rFonts w:ascii="Times New Roman" w:hAnsi="Times New Roman" w:cs="Times New Roman"/>
          <w:color w:val="000000" w:themeColor="text1"/>
        </w:rPr>
      </w:pPr>
    </w:p>
    <w:p w14:paraId="73056CDE" w14:textId="09BC4441" w:rsidR="00080725" w:rsidRPr="00DC336A" w:rsidRDefault="00080725" w:rsidP="00080725">
      <w:pPr>
        <w:spacing w:line="480" w:lineRule="auto"/>
        <w:ind w:left="720" w:hanging="720"/>
        <w:rPr>
          <w:rFonts w:ascii="Times New Roman" w:eastAsia="Times New Roman" w:hAnsi="Times New Roman" w:cs="Times New Roman"/>
          <w:lang w:val="en-GB"/>
        </w:rPr>
      </w:pPr>
      <w:r w:rsidRPr="00DC336A">
        <w:rPr>
          <w:rFonts w:ascii="Times New Roman" w:eastAsia="Times New Roman" w:hAnsi="Times New Roman" w:cs="Times New Roman"/>
          <w:color w:val="000000" w:themeColor="text1"/>
          <w:shd w:val="clear" w:color="auto" w:fill="FFFFFF"/>
          <w:lang w:val="en-GB"/>
        </w:rPr>
        <w:t>Consterdine, Erica</w:t>
      </w:r>
      <w:r w:rsidR="00C26987">
        <w:rPr>
          <w:rFonts w:ascii="Times New Roman" w:eastAsia="Times New Roman" w:hAnsi="Times New Roman" w:cs="Times New Roman"/>
          <w:color w:val="000000" w:themeColor="text1"/>
          <w:shd w:val="clear" w:color="auto" w:fill="FFFFFF"/>
          <w:lang w:val="en-GB"/>
        </w:rPr>
        <w:t>,</w:t>
      </w:r>
      <w:r w:rsidRPr="00DC336A">
        <w:rPr>
          <w:rFonts w:ascii="Times New Roman" w:eastAsia="Times New Roman" w:hAnsi="Times New Roman" w:cs="Times New Roman"/>
          <w:color w:val="000000" w:themeColor="text1"/>
          <w:shd w:val="clear" w:color="auto" w:fill="FFFFFF"/>
          <w:lang w:val="en-GB"/>
        </w:rPr>
        <w:t xml:space="preserve"> and James Hampshire (2020). </w:t>
      </w:r>
      <w:r w:rsidRPr="00DC336A">
        <w:rPr>
          <w:rFonts w:ascii="Times New Roman" w:eastAsia="Times New Roman" w:hAnsi="Times New Roman" w:cs="Times New Roman"/>
          <w:color w:val="222222"/>
          <w:shd w:val="clear" w:color="auto" w:fill="FFFFFF"/>
          <w:lang w:val="en-GB"/>
        </w:rPr>
        <w:t>‘Convergence, capitalist diversity, or political volatility? Immigration policy in Western Europe’, </w:t>
      </w:r>
      <w:r w:rsidRPr="00DC336A">
        <w:rPr>
          <w:rFonts w:ascii="Times New Roman" w:eastAsia="Times New Roman" w:hAnsi="Times New Roman" w:cs="Times New Roman"/>
          <w:i/>
          <w:iCs/>
          <w:color w:val="222222"/>
          <w:shd w:val="clear" w:color="auto" w:fill="FFFFFF"/>
          <w:lang w:val="en-GB"/>
        </w:rPr>
        <w:t>Journal of European Public Policy</w:t>
      </w:r>
      <w:r w:rsidRPr="00DC336A">
        <w:rPr>
          <w:rFonts w:ascii="Times New Roman" w:eastAsia="Times New Roman" w:hAnsi="Times New Roman" w:cs="Times New Roman"/>
          <w:color w:val="222222"/>
          <w:shd w:val="clear" w:color="auto" w:fill="FFFFFF"/>
          <w:lang w:val="en-GB"/>
        </w:rPr>
        <w:t>, </w:t>
      </w:r>
      <w:r w:rsidRPr="009D2249">
        <w:rPr>
          <w:rFonts w:ascii="Times New Roman" w:eastAsia="Times New Roman" w:hAnsi="Times New Roman" w:cs="Times New Roman"/>
          <w:color w:val="222222"/>
          <w:shd w:val="clear" w:color="auto" w:fill="FFFFFF"/>
          <w:lang w:val="en-GB"/>
        </w:rPr>
        <w:t>27:</w:t>
      </w:r>
      <w:r w:rsidRPr="00DC336A">
        <w:rPr>
          <w:rFonts w:ascii="Times New Roman" w:eastAsia="Times New Roman" w:hAnsi="Times New Roman" w:cs="Times New Roman"/>
          <w:color w:val="222222"/>
          <w:shd w:val="clear" w:color="auto" w:fill="FFFFFF"/>
          <w:lang w:val="en-GB"/>
        </w:rPr>
        <w:t>10, 1487-1505.</w:t>
      </w:r>
    </w:p>
    <w:p w14:paraId="322E88CB" w14:textId="77777777" w:rsidR="00080725" w:rsidRPr="00480BE9" w:rsidRDefault="00080725" w:rsidP="00080725">
      <w:pPr>
        <w:spacing w:line="480" w:lineRule="auto"/>
        <w:rPr>
          <w:rFonts w:ascii="Times New Roman" w:eastAsia="Times New Roman" w:hAnsi="Times New Roman" w:cs="Times New Roman"/>
          <w:color w:val="000000" w:themeColor="text1"/>
          <w:shd w:val="clear" w:color="auto" w:fill="FFFFFF"/>
          <w:lang w:val="en-GB"/>
        </w:rPr>
      </w:pPr>
    </w:p>
    <w:p w14:paraId="3E42AF3C" w14:textId="77777777" w:rsidR="00080725" w:rsidRDefault="00080725" w:rsidP="00080725">
      <w:pPr>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Culpepper, Pepper (2010). </w:t>
      </w:r>
      <w:r w:rsidRPr="00842971">
        <w:rPr>
          <w:rFonts w:ascii="Times New Roman" w:hAnsi="Times New Roman" w:cs="Times New Roman"/>
          <w:i/>
          <w:iCs/>
          <w:color w:val="000000" w:themeColor="text1"/>
        </w:rPr>
        <w:t>Quiet Politics and Business Power: Corporate Control in Europe and Japan</w:t>
      </w:r>
      <w:r>
        <w:rPr>
          <w:rFonts w:ascii="Times New Roman" w:hAnsi="Times New Roman" w:cs="Times New Roman"/>
          <w:color w:val="000000" w:themeColor="text1"/>
        </w:rPr>
        <w:t>. Cambridge: Cambridge University Press.</w:t>
      </w:r>
    </w:p>
    <w:p w14:paraId="1F496252" w14:textId="77777777" w:rsidR="00080725" w:rsidRDefault="00080725" w:rsidP="00080725">
      <w:pPr>
        <w:spacing w:line="480" w:lineRule="auto"/>
        <w:ind w:left="720" w:hanging="720"/>
        <w:rPr>
          <w:rFonts w:ascii="Times New Roman" w:hAnsi="Times New Roman" w:cs="Times New Roman"/>
          <w:color w:val="000000" w:themeColor="text1"/>
        </w:rPr>
      </w:pPr>
    </w:p>
    <w:p w14:paraId="5D4DAF3E" w14:textId="77777777" w:rsidR="00080725" w:rsidRPr="00480BE9" w:rsidRDefault="00080725" w:rsidP="00080725">
      <w:pPr>
        <w:spacing w:line="480" w:lineRule="auto"/>
        <w:ind w:left="720" w:hanging="720"/>
        <w:rPr>
          <w:rFonts w:ascii="Times New Roman" w:hAnsi="Times New Roman" w:cs="Times New Roman"/>
          <w:color w:val="000000" w:themeColor="text1"/>
          <w:lang w:val="en-GB"/>
        </w:rPr>
      </w:pPr>
      <w:r w:rsidRPr="00480BE9">
        <w:rPr>
          <w:rFonts w:ascii="Times New Roman" w:hAnsi="Times New Roman" w:cs="Times New Roman"/>
          <w:color w:val="000000" w:themeColor="text1"/>
        </w:rPr>
        <w:t>De Haas, H</w:t>
      </w:r>
      <w:r>
        <w:rPr>
          <w:rFonts w:ascii="Times New Roman" w:hAnsi="Times New Roman" w:cs="Times New Roman"/>
          <w:color w:val="000000" w:themeColor="text1"/>
        </w:rPr>
        <w:t xml:space="preserve">ein, Katharina Natter </w:t>
      </w:r>
      <w:r w:rsidRPr="00480BE9">
        <w:rPr>
          <w:rFonts w:ascii="Times New Roman" w:hAnsi="Times New Roman" w:cs="Times New Roman"/>
          <w:color w:val="000000" w:themeColor="text1"/>
        </w:rPr>
        <w:t xml:space="preserve">and </w:t>
      </w:r>
      <w:r>
        <w:rPr>
          <w:rFonts w:ascii="Times New Roman" w:hAnsi="Times New Roman" w:cs="Times New Roman"/>
          <w:color w:val="000000" w:themeColor="text1"/>
        </w:rPr>
        <w:t>Simona Vezzoli</w:t>
      </w:r>
      <w:r w:rsidRPr="00480BE9">
        <w:rPr>
          <w:rFonts w:ascii="Times New Roman" w:hAnsi="Times New Roman" w:cs="Times New Roman"/>
          <w:color w:val="000000" w:themeColor="text1"/>
        </w:rPr>
        <w:t xml:space="preserve"> (2018)</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‘Growing restrictiveness or changing selection? The nature and development of migration policies’, </w:t>
      </w:r>
      <w:r w:rsidRPr="00480BE9">
        <w:rPr>
          <w:rFonts w:ascii="Times New Roman" w:hAnsi="Times New Roman" w:cs="Times New Roman"/>
          <w:i/>
          <w:color w:val="000000" w:themeColor="text1"/>
        </w:rPr>
        <w:t>International Migration Review</w:t>
      </w:r>
      <w:r w:rsidRPr="00480BE9">
        <w:rPr>
          <w:rFonts w:ascii="Times New Roman" w:hAnsi="Times New Roman" w:cs="Times New Roman"/>
          <w:color w:val="000000" w:themeColor="text1"/>
        </w:rPr>
        <w:t xml:space="preserve"> 52</w:t>
      </w:r>
      <w:r>
        <w:rPr>
          <w:rFonts w:ascii="Times New Roman" w:hAnsi="Times New Roman" w:cs="Times New Roman"/>
          <w:color w:val="000000" w:themeColor="text1"/>
        </w:rPr>
        <w:t>:1,</w:t>
      </w:r>
      <w:r w:rsidRPr="00480BE9">
        <w:rPr>
          <w:rFonts w:ascii="Times New Roman" w:hAnsi="Times New Roman" w:cs="Times New Roman"/>
          <w:color w:val="000000" w:themeColor="text1"/>
        </w:rPr>
        <w:t xml:space="preserve"> 324–267</w:t>
      </w:r>
      <w:r>
        <w:rPr>
          <w:rFonts w:ascii="Times New Roman" w:hAnsi="Times New Roman" w:cs="Times New Roman"/>
          <w:color w:val="000000" w:themeColor="text1"/>
        </w:rPr>
        <w:t>.</w:t>
      </w:r>
    </w:p>
    <w:p w14:paraId="0848B3FF" w14:textId="77777777" w:rsidR="00080725" w:rsidRPr="00480BE9" w:rsidRDefault="00080725" w:rsidP="00080725">
      <w:pPr>
        <w:spacing w:line="480" w:lineRule="auto"/>
        <w:rPr>
          <w:rFonts w:ascii="Times New Roman" w:hAnsi="Times New Roman" w:cs="Times New Roman"/>
          <w:color w:val="000000" w:themeColor="text1"/>
          <w:lang w:val="en-GB"/>
        </w:rPr>
      </w:pPr>
    </w:p>
    <w:p w14:paraId="682DE246" w14:textId="77777777" w:rsidR="00080725"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Devitt, Camilla (2011). ‘Varieties of Capitalism, Variation in Labour Immigration’, </w:t>
      </w:r>
      <w:r w:rsidRPr="009D2249">
        <w:rPr>
          <w:rFonts w:ascii="Times New Roman" w:hAnsi="Times New Roman" w:cs="Times New Roman"/>
          <w:i/>
          <w:iCs/>
          <w:color w:val="000000" w:themeColor="text1"/>
        </w:rPr>
        <w:t>Journal of Ethnic and Migration Studies</w:t>
      </w:r>
      <w:r>
        <w:rPr>
          <w:rFonts w:ascii="Times New Roman" w:hAnsi="Times New Roman" w:cs="Times New Roman"/>
          <w:color w:val="000000" w:themeColor="text1"/>
        </w:rPr>
        <w:t>, 37:4, 579-596.</w:t>
      </w:r>
    </w:p>
    <w:p w14:paraId="434E90D0" w14:textId="77777777" w:rsidR="00080725"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p>
    <w:p w14:paraId="38165F4B"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sidRPr="00480BE9">
        <w:rPr>
          <w:rFonts w:ascii="Times New Roman" w:hAnsi="Times New Roman" w:cs="Times New Roman"/>
          <w:color w:val="000000" w:themeColor="text1"/>
        </w:rPr>
        <w:t>Džankić, J</w:t>
      </w:r>
      <w:r>
        <w:rPr>
          <w:rFonts w:ascii="Times New Roman" w:hAnsi="Times New Roman" w:cs="Times New Roman"/>
          <w:color w:val="000000" w:themeColor="text1"/>
        </w:rPr>
        <w:t>elena</w:t>
      </w:r>
      <w:r w:rsidRPr="00480BE9">
        <w:rPr>
          <w:rFonts w:ascii="Times New Roman" w:hAnsi="Times New Roman" w:cs="Times New Roman"/>
          <w:color w:val="000000" w:themeColor="text1"/>
        </w:rPr>
        <w:t xml:space="preserve"> (2015)</w:t>
      </w:r>
      <w:r>
        <w:rPr>
          <w:rFonts w:ascii="Times New Roman" w:hAnsi="Times New Roman" w:cs="Times New Roman"/>
          <w:color w:val="000000" w:themeColor="text1"/>
        </w:rPr>
        <w:t>. ‘</w:t>
      </w:r>
      <w:r w:rsidRPr="00480BE9">
        <w:rPr>
          <w:rFonts w:ascii="Times New Roman" w:hAnsi="Times New Roman" w:cs="Times New Roman"/>
          <w:color w:val="000000" w:themeColor="text1"/>
        </w:rPr>
        <w:t>Investment-based citizenship and</w:t>
      </w:r>
      <w:r>
        <w:rPr>
          <w:rFonts w:ascii="Times New Roman" w:hAnsi="Times New Roman" w:cs="Times New Roman"/>
          <w:color w:val="000000" w:themeColor="text1"/>
        </w:rPr>
        <w:t xml:space="preserve"> residence programmes in the EU’,</w:t>
      </w:r>
      <w:r w:rsidRPr="00480BE9">
        <w:rPr>
          <w:rFonts w:ascii="Times New Roman" w:hAnsi="Times New Roman" w:cs="Times New Roman"/>
          <w:color w:val="000000" w:themeColor="text1"/>
        </w:rPr>
        <w:t xml:space="preserve"> EUDO/RSCAS Working Paper 2015/08. Florence: EUI.</w:t>
      </w:r>
    </w:p>
    <w:p w14:paraId="4D529105" w14:textId="77777777" w:rsidR="00080725" w:rsidRPr="00480BE9"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p>
    <w:p w14:paraId="73923F4F" w14:textId="77777777" w:rsidR="00080725" w:rsidRPr="00480BE9" w:rsidRDefault="00080725" w:rsidP="00080725">
      <w:pPr>
        <w:spacing w:line="480" w:lineRule="auto"/>
        <w:ind w:left="720" w:hanging="720"/>
        <w:rPr>
          <w:rFonts w:ascii="Times New Roman" w:eastAsia="Times New Roman" w:hAnsi="Times New Roman" w:cs="Times New Roman"/>
          <w:color w:val="000000" w:themeColor="text1"/>
          <w:lang w:val="en-GB"/>
        </w:rPr>
      </w:pPr>
      <w:r w:rsidRPr="00480BE9">
        <w:rPr>
          <w:rFonts w:ascii="Times New Roman" w:eastAsia="Times New Roman" w:hAnsi="Times New Roman" w:cs="Times New Roman"/>
          <w:color w:val="000000" w:themeColor="text1"/>
          <w:shd w:val="clear" w:color="auto" w:fill="FFFFFF"/>
          <w:lang w:val="en-GB"/>
        </w:rPr>
        <w:t>Džankić, J</w:t>
      </w:r>
      <w:r>
        <w:rPr>
          <w:rFonts w:ascii="Times New Roman" w:eastAsia="Times New Roman" w:hAnsi="Times New Roman" w:cs="Times New Roman"/>
          <w:color w:val="000000" w:themeColor="text1"/>
          <w:shd w:val="clear" w:color="auto" w:fill="FFFFFF"/>
          <w:lang w:val="en-GB"/>
        </w:rPr>
        <w:t>elena</w:t>
      </w:r>
      <w:r w:rsidRPr="00480BE9">
        <w:rPr>
          <w:rFonts w:ascii="Times New Roman" w:eastAsia="Times New Roman" w:hAnsi="Times New Roman" w:cs="Times New Roman"/>
          <w:color w:val="000000" w:themeColor="text1"/>
          <w:shd w:val="clear" w:color="auto" w:fill="FFFFFF"/>
          <w:lang w:val="en-GB"/>
        </w:rPr>
        <w:t xml:space="preserve"> (2018) </w:t>
      </w:r>
      <w:r>
        <w:rPr>
          <w:rFonts w:ascii="Times New Roman" w:eastAsia="Times New Roman" w:hAnsi="Times New Roman" w:cs="Times New Roman"/>
          <w:color w:val="000000" w:themeColor="text1"/>
          <w:shd w:val="clear" w:color="auto" w:fill="FFFFFF"/>
          <w:lang w:val="en-GB"/>
        </w:rPr>
        <w:t>‘</w:t>
      </w:r>
      <w:r w:rsidRPr="00480BE9">
        <w:rPr>
          <w:rFonts w:ascii="Times New Roman" w:eastAsia="Times New Roman" w:hAnsi="Times New Roman" w:cs="Times New Roman"/>
          <w:color w:val="000000" w:themeColor="text1"/>
          <w:shd w:val="clear" w:color="auto" w:fill="FFFFFF"/>
          <w:lang w:val="en-GB"/>
        </w:rPr>
        <w:t>Immigrant investor progra</w:t>
      </w:r>
      <w:r>
        <w:rPr>
          <w:rFonts w:ascii="Times New Roman" w:eastAsia="Times New Roman" w:hAnsi="Times New Roman" w:cs="Times New Roman"/>
          <w:color w:val="000000" w:themeColor="text1"/>
          <w:shd w:val="clear" w:color="auto" w:fill="FFFFFF"/>
          <w:lang w:val="en-GB"/>
        </w:rPr>
        <w:t>mmes in the European Union (EU)’</w:t>
      </w:r>
      <w:r w:rsidRPr="00480BE9">
        <w:rPr>
          <w:rFonts w:ascii="Times New Roman" w:eastAsia="Times New Roman" w:hAnsi="Times New Roman" w:cs="Times New Roman"/>
          <w:color w:val="000000" w:themeColor="text1"/>
          <w:shd w:val="clear" w:color="auto" w:fill="FFFFFF"/>
          <w:lang w:val="en-GB"/>
        </w:rPr>
        <w:t> </w:t>
      </w:r>
      <w:r w:rsidRPr="00480BE9">
        <w:rPr>
          <w:rFonts w:ascii="Times New Roman" w:eastAsia="Times New Roman" w:hAnsi="Times New Roman" w:cs="Times New Roman"/>
          <w:i/>
          <w:iCs/>
          <w:color w:val="000000" w:themeColor="text1"/>
          <w:shd w:val="clear" w:color="auto" w:fill="FFFFFF"/>
          <w:lang w:val="en-GB"/>
        </w:rPr>
        <w:t>Journal of Contemporary European Studies</w:t>
      </w:r>
      <w:r w:rsidRPr="00480BE9">
        <w:rPr>
          <w:rFonts w:ascii="Times New Roman" w:eastAsia="Times New Roman" w:hAnsi="Times New Roman" w:cs="Times New Roman"/>
          <w:color w:val="000000" w:themeColor="text1"/>
          <w:shd w:val="clear" w:color="auto" w:fill="FFFFFF"/>
          <w:lang w:val="en-GB"/>
        </w:rPr>
        <w:t>, </w:t>
      </w:r>
      <w:r w:rsidRPr="00480BE9">
        <w:rPr>
          <w:rFonts w:ascii="Times New Roman" w:eastAsia="Times New Roman" w:hAnsi="Times New Roman" w:cs="Times New Roman"/>
          <w:i/>
          <w:iCs/>
          <w:color w:val="000000" w:themeColor="text1"/>
          <w:shd w:val="clear" w:color="auto" w:fill="FFFFFF"/>
          <w:lang w:val="en-GB"/>
        </w:rPr>
        <w:t>26</w:t>
      </w:r>
      <w:r>
        <w:rPr>
          <w:rFonts w:ascii="Times New Roman" w:eastAsia="Times New Roman" w:hAnsi="Times New Roman" w:cs="Times New Roman"/>
          <w:color w:val="000000" w:themeColor="text1"/>
          <w:shd w:val="clear" w:color="auto" w:fill="FFFFFF"/>
          <w:lang w:val="en-GB"/>
        </w:rPr>
        <w:t>:1,</w:t>
      </w:r>
      <w:r w:rsidRPr="00480BE9">
        <w:rPr>
          <w:rFonts w:ascii="Times New Roman" w:eastAsia="Times New Roman" w:hAnsi="Times New Roman" w:cs="Times New Roman"/>
          <w:color w:val="000000" w:themeColor="text1"/>
          <w:shd w:val="clear" w:color="auto" w:fill="FFFFFF"/>
          <w:lang w:val="en-GB"/>
        </w:rPr>
        <w:t xml:space="preserve"> 478-497.</w:t>
      </w:r>
    </w:p>
    <w:p w14:paraId="4C93B960"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5A3B857E"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r w:rsidRPr="00480BE9">
        <w:rPr>
          <w:rFonts w:ascii="Times New Roman" w:hAnsi="Times New Roman" w:cs="Times New Roman"/>
          <w:color w:val="000000" w:themeColor="text1"/>
        </w:rPr>
        <w:t>European Commission (2019a)</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Pr="00480BE9">
        <w:rPr>
          <w:rFonts w:ascii="Times New Roman" w:hAnsi="Times New Roman" w:cs="Times New Roman"/>
          <w:i/>
          <w:iCs/>
          <w:color w:val="000000" w:themeColor="text1"/>
        </w:rPr>
        <w:t>Investor Citizenship and Residence Schemes in the European Union. Report from the Commission to the European Parliament, the Council, the European Economic and Social Committee, and the Committee of the Regions</w:t>
      </w:r>
      <w:r w:rsidRPr="00480BE9">
        <w:rPr>
          <w:rFonts w:ascii="Times New Roman" w:hAnsi="Times New Roman" w:cs="Times New Roman"/>
          <w:color w:val="000000" w:themeColor="text1"/>
        </w:rPr>
        <w:t>. COM(2019) 12 final.</w:t>
      </w:r>
    </w:p>
    <w:p w14:paraId="387D2903"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349B23B2" w14:textId="77777777" w:rsidR="00080725" w:rsidRDefault="00080725" w:rsidP="00080725">
      <w:pPr>
        <w:spacing w:line="480" w:lineRule="auto"/>
        <w:ind w:left="720" w:hanging="720"/>
        <w:jc w:val="both"/>
        <w:rPr>
          <w:rFonts w:ascii="Times New Roman" w:hAnsi="Times New Roman" w:cs="Times New Roman"/>
          <w:color w:val="000000" w:themeColor="text1"/>
          <w:lang w:val="de-DE"/>
        </w:rPr>
      </w:pPr>
      <w:r w:rsidRPr="00480BE9">
        <w:rPr>
          <w:rFonts w:ascii="Times New Roman" w:hAnsi="Times New Roman" w:cs="Times New Roman"/>
          <w:color w:val="000000" w:themeColor="text1"/>
        </w:rPr>
        <w:t>European Commission (2019b)</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‘Executive Summary – Investors’ Residence Schemes in France’ in B.II Detailed Research – Country Summary Reports’. </w:t>
      </w:r>
      <w:r w:rsidRPr="00480BE9">
        <w:rPr>
          <w:rFonts w:ascii="Times New Roman" w:hAnsi="Times New Roman" w:cs="Times New Roman"/>
          <w:color w:val="000000" w:themeColor="text1"/>
          <w:lang w:val="de-DE"/>
        </w:rPr>
        <w:t xml:space="preserve">Online: </w:t>
      </w:r>
      <w:hyperlink r:id="rId7" w:history="1">
        <w:r w:rsidRPr="00480BE9">
          <w:rPr>
            <w:rStyle w:val="Hyperlink"/>
            <w:rFonts w:ascii="Times New Roman" w:hAnsi="Times New Roman" w:cs="Times New Roman"/>
            <w:color w:val="000000" w:themeColor="text1"/>
            <w:lang w:val="de-DE"/>
          </w:rPr>
          <w:t>https://ec.europa.eu/info/policies/justice-and-fundamental-rights/eu-citizenship/eu-citizenship/investor-citizenship-schemes_en</w:t>
        </w:r>
      </w:hyperlink>
      <w:r w:rsidRPr="00480BE9">
        <w:rPr>
          <w:rFonts w:ascii="Times New Roman" w:hAnsi="Times New Roman" w:cs="Times New Roman"/>
          <w:color w:val="000000" w:themeColor="text1"/>
          <w:lang w:val="de-DE"/>
        </w:rPr>
        <w:t xml:space="preserve"> </w:t>
      </w:r>
    </w:p>
    <w:p w14:paraId="3EB521B5" w14:textId="77777777" w:rsidR="00080725" w:rsidRDefault="00080725" w:rsidP="00080725">
      <w:pPr>
        <w:spacing w:line="480" w:lineRule="auto"/>
        <w:ind w:left="720" w:hanging="720"/>
        <w:jc w:val="both"/>
        <w:rPr>
          <w:rFonts w:ascii="Times New Roman" w:hAnsi="Times New Roman" w:cs="Times New Roman"/>
          <w:color w:val="000000" w:themeColor="text1"/>
          <w:lang w:val="de-DE"/>
        </w:rPr>
      </w:pPr>
    </w:p>
    <w:p w14:paraId="45DADF84" w14:textId="77777777" w:rsidR="00080725" w:rsidRPr="00480BE9" w:rsidRDefault="00080725" w:rsidP="00080725">
      <w:pPr>
        <w:spacing w:line="480" w:lineRule="auto"/>
        <w:ind w:left="720" w:hanging="720"/>
        <w:jc w:val="both"/>
        <w:rPr>
          <w:rFonts w:ascii="Times New Roman" w:hAnsi="Times New Roman" w:cs="Times New Roman"/>
          <w:color w:val="000000" w:themeColor="text1"/>
          <w:lang w:val="de-DE"/>
        </w:rPr>
      </w:pPr>
      <w:r>
        <w:rPr>
          <w:rFonts w:ascii="Times New Roman" w:hAnsi="Times New Roman" w:cs="Times New Roman"/>
          <w:color w:val="000000" w:themeColor="text1"/>
          <w:lang w:val="de-DE"/>
        </w:rPr>
        <w:t xml:space="preserve">European Commission (2019c). </w:t>
      </w:r>
      <w:r w:rsidRPr="00480BE9">
        <w:rPr>
          <w:rFonts w:ascii="Times New Roman" w:hAnsi="Times New Roman" w:cs="Times New Roman"/>
          <w:color w:val="000000" w:themeColor="text1"/>
        </w:rPr>
        <w:t>‘Executive Summary – Invest</w:t>
      </w:r>
      <w:r>
        <w:rPr>
          <w:rFonts w:ascii="Times New Roman" w:hAnsi="Times New Roman" w:cs="Times New Roman"/>
          <w:color w:val="000000" w:themeColor="text1"/>
        </w:rPr>
        <w:t>ors’ Residence Schemes in Spain</w:t>
      </w:r>
      <w:r w:rsidRPr="00480BE9">
        <w:rPr>
          <w:rFonts w:ascii="Times New Roman" w:hAnsi="Times New Roman" w:cs="Times New Roman"/>
          <w:color w:val="000000" w:themeColor="text1"/>
        </w:rPr>
        <w:t xml:space="preserve">’ in B.II Detailed Research – Country Summary Reports’. </w:t>
      </w:r>
      <w:r w:rsidRPr="00480BE9">
        <w:rPr>
          <w:rFonts w:ascii="Times New Roman" w:hAnsi="Times New Roman" w:cs="Times New Roman"/>
          <w:color w:val="000000" w:themeColor="text1"/>
          <w:lang w:val="de-DE"/>
        </w:rPr>
        <w:t xml:space="preserve">Online: </w:t>
      </w:r>
      <w:hyperlink r:id="rId8" w:history="1">
        <w:r w:rsidRPr="00480BE9">
          <w:rPr>
            <w:rStyle w:val="Hyperlink"/>
            <w:rFonts w:ascii="Times New Roman" w:hAnsi="Times New Roman" w:cs="Times New Roman"/>
            <w:color w:val="000000" w:themeColor="text1"/>
            <w:lang w:val="de-DE"/>
          </w:rPr>
          <w:t>https://ec.europa.eu/info/policies/justice-and-fundamental-rights/eu-citizenship/eu-citizenship/investor-citizenship-schemes_en</w:t>
        </w:r>
      </w:hyperlink>
    </w:p>
    <w:p w14:paraId="78BD9EB8" w14:textId="77777777" w:rsidR="00080725" w:rsidRDefault="00080725" w:rsidP="00080725">
      <w:pPr>
        <w:spacing w:line="480" w:lineRule="auto"/>
        <w:ind w:left="720" w:hanging="720"/>
        <w:jc w:val="both"/>
        <w:rPr>
          <w:rFonts w:ascii="Times New Roman" w:hAnsi="Times New Roman" w:cs="Times New Roman"/>
          <w:color w:val="000000" w:themeColor="text1"/>
          <w:lang w:val="de-DE"/>
        </w:rPr>
      </w:pPr>
    </w:p>
    <w:p w14:paraId="1D7EFBE5" w14:textId="77777777" w:rsidR="00080725" w:rsidRPr="00480BE9" w:rsidRDefault="00080725" w:rsidP="00080725">
      <w:pPr>
        <w:spacing w:line="480" w:lineRule="auto"/>
        <w:ind w:left="720" w:hanging="720"/>
        <w:jc w:val="both"/>
        <w:rPr>
          <w:rFonts w:ascii="Times New Roman" w:hAnsi="Times New Roman" w:cs="Times New Roman"/>
          <w:color w:val="000000" w:themeColor="text1"/>
          <w:lang w:val="de-DE"/>
        </w:rPr>
      </w:pPr>
      <w:r>
        <w:rPr>
          <w:rFonts w:ascii="Times New Roman" w:hAnsi="Times New Roman" w:cs="Times New Roman"/>
          <w:color w:val="000000" w:themeColor="text1"/>
          <w:lang w:val="de-DE"/>
        </w:rPr>
        <w:t xml:space="preserve">European Commission (2023). Speech by President von der Leyen on EU-China relations to the Mercator Institute for China Studies and the European Policy Centre, 30 March 2023. Online: </w:t>
      </w:r>
      <w:hyperlink r:id="rId9" w:history="1">
        <w:r w:rsidRPr="002E18ED">
          <w:rPr>
            <w:rStyle w:val="Hyperlink"/>
            <w:rFonts w:ascii="Times New Roman" w:hAnsi="Times New Roman" w:cs="Times New Roman"/>
            <w:lang w:val="de-DE"/>
          </w:rPr>
          <w:t>https://ec.europa.eu/commission/presscorner/detail/en/speech_23_2063</w:t>
        </w:r>
      </w:hyperlink>
      <w:r>
        <w:rPr>
          <w:rFonts w:ascii="Times New Roman" w:hAnsi="Times New Roman" w:cs="Times New Roman"/>
          <w:color w:val="000000" w:themeColor="text1"/>
          <w:lang w:val="de-DE"/>
        </w:rPr>
        <w:t xml:space="preserve"> </w:t>
      </w:r>
    </w:p>
    <w:p w14:paraId="2B924E31" w14:textId="77777777" w:rsidR="00080725" w:rsidRDefault="00080725" w:rsidP="00080725">
      <w:pPr>
        <w:spacing w:line="480" w:lineRule="auto"/>
        <w:ind w:left="720" w:hanging="720"/>
        <w:jc w:val="both"/>
        <w:rPr>
          <w:rFonts w:ascii="Times New Roman" w:hAnsi="Times New Roman" w:cs="Times New Roman"/>
          <w:color w:val="000000" w:themeColor="text1"/>
        </w:rPr>
      </w:pPr>
    </w:p>
    <w:p w14:paraId="26CE8B03" w14:textId="77777777" w:rsidR="00080725" w:rsidRDefault="00080725" w:rsidP="00080725">
      <w:pPr>
        <w:spacing w:line="480" w:lineRule="auto"/>
        <w:ind w:left="720" w:hanging="720"/>
        <w:jc w:val="both"/>
        <w:rPr>
          <w:rFonts w:ascii="Times New Roman" w:hAnsi="Times New Roman" w:cs="Times New Roman"/>
          <w:color w:val="000000" w:themeColor="text1"/>
        </w:rPr>
      </w:pPr>
      <w:r w:rsidRPr="00C17BCC">
        <w:rPr>
          <w:rFonts w:ascii="Times New Roman" w:hAnsi="Times New Roman" w:cs="Times New Roman"/>
          <w:color w:val="000000" w:themeColor="text1"/>
        </w:rPr>
        <w:t xml:space="preserve">European Parliament (2014). </w:t>
      </w:r>
      <w:r w:rsidRPr="00C17BCC">
        <w:rPr>
          <w:rFonts w:ascii="Times New Roman" w:hAnsi="Times New Roman" w:cs="Times New Roman"/>
          <w:i/>
          <w:iCs/>
          <w:color w:val="000000" w:themeColor="text1"/>
        </w:rPr>
        <w:t>Resolution of 16 January 2014 on EU citizenship for sal</w:t>
      </w:r>
      <w:r w:rsidRPr="00C17BCC">
        <w:rPr>
          <w:rFonts w:ascii="Times New Roman" w:hAnsi="Times New Roman" w:cs="Times New Roman"/>
          <w:color w:val="000000" w:themeColor="text1"/>
        </w:rPr>
        <w:t>e (2013/2995 (RSP)).</w:t>
      </w:r>
    </w:p>
    <w:p w14:paraId="5CB7CA6E" w14:textId="77777777" w:rsidR="00080725" w:rsidRDefault="00080725" w:rsidP="00080725">
      <w:pPr>
        <w:spacing w:line="480" w:lineRule="auto"/>
        <w:ind w:left="720" w:hanging="720"/>
        <w:jc w:val="both"/>
        <w:rPr>
          <w:rFonts w:ascii="Times New Roman" w:hAnsi="Times New Roman" w:cs="Times New Roman"/>
          <w:color w:val="000000" w:themeColor="text1"/>
        </w:rPr>
      </w:pPr>
    </w:p>
    <w:p w14:paraId="11DDBDB9" w14:textId="77777777" w:rsidR="00080725" w:rsidRDefault="00080725" w:rsidP="00080725">
      <w:pPr>
        <w:spacing w:line="48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 xml:space="preserve">Freeman, Gary P. (1995). ‘Modes of immigration politics in liberal democratic states’, </w:t>
      </w:r>
      <w:r w:rsidRPr="009D2249">
        <w:rPr>
          <w:rFonts w:ascii="Times New Roman" w:hAnsi="Times New Roman" w:cs="Times New Roman"/>
          <w:i/>
          <w:iCs/>
          <w:color w:val="000000" w:themeColor="text1"/>
        </w:rPr>
        <w:t>International Migration Review</w:t>
      </w:r>
      <w:r>
        <w:rPr>
          <w:rFonts w:ascii="Times New Roman" w:hAnsi="Times New Roman" w:cs="Times New Roman"/>
          <w:color w:val="000000" w:themeColor="text1"/>
        </w:rPr>
        <w:t>, 29:4, 881-902.</w:t>
      </w:r>
    </w:p>
    <w:p w14:paraId="02C41AEF" w14:textId="77777777" w:rsidR="00080725" w:rsidRDefault="00080725" w:rsidP="00080725">
      <w:pPr>
        <w:spacing w:line="480" w:lineRule="auto"/>
        <w:ind w:left="720" w:hanging="720"/>
        <w:jc w:val="both"/>
        <w:rPr>
          <w:rFonts w:ascii="Times New Roman" w:hAnsi="Times New Roman" w:cs="Times New Roman"/>
          <w:color w:val="000000" w:themeColor="text1"/>
        </w:rPr>
      </w:pPr>
    </w:p>
    <w:p w14:paraId="3849E332" w14:textId="77777777" w:rsidR="00080725" w:rsidRDefault="00080725" w:rsidP="00080725">
      <w:pPr>
        <w:spacing w:line="48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 xml:space="preserve">Freeman, Gary P. (2006). ‘National models, policy types, and the politics of immigration in liberal democracies’, </w:t>
      </w:r>
      <w:r w:rsidRPr="00BD50DA">
        <w:rPr>
          <w:rFonts w:ascii="Times New Roman" w:hAnsi="Times New Roman" w:cs="Times New Roman"/>
          <w:i/>
          <w:color w:val="000000" w:themeColor="text1"/>
        </w:rPr>
        <w:t>West European Politics</w:t>
      </w:r>
      <w:r>
        <w:rPr>
          <w:rFonts w:ascii="Times New Roman" w:hAnsi="Times New Roman" w:cs="Times New Roman"/>
          <w:color w:val="000000" w:themeColor="text1"/>
        </w:rPr>
        <w:t>, 29:2, 227-247</w:t>
      </w:r>
    </w:p>
    <w:p w14:paraId="059DBAA1" w14:textId="77777777" w:rsidR="00080725" w:rsidRPr="00C17BCC" w:rsidRDefault="00080725" w:rsidP="00080725">
      <w:pPr>
        <w:spacing w:line="480" w:lineRule="auto"/>
        <w:ind w:left="720" w:hanging="720"/>
        <w:jc w:val="both"/>
        <w:rPr>
          <w:rFonts w:ascii="Times New Roman" w:hAnsi="Times New Roman" w:cs="Times New Roman"/>
          <w:color w:val="000000" w:themeColor="text1"/>
        </w:rPr>
      </w:pPr>
    </w:p>
    <w:p w14:paraId="0F0D6538" w14:textId="77777777" w:rsidR="00080725" w:rsidRDefault="00080725" w:rsidP="00080725">
      <w:pPr>
        <w:ind w:left="720" w:hanging="720"/>
        <w:rPr>
          <w:rFonts w:ascii="Times New Roman" w:hAnsi="Times New Roman" w:cs="Times New Roman"/>
          <w:color w:val="000000" w:themeColor="text1"/>
          <w:u w:val="single"/>
        </w:rPr>
      </w:pPr>
      <w:r w:rsidRPr="00C17BCC">
        <w:rPr>
          <w:rFonts w:ascii="Times New Roman" w:hAnsi="Times New Roman" w:cs="Times New Roman"/>
          <w:color w:val="000000" w:themeColor="text1"/>
        </w:rPr>
        <w:t xml:space="preserve">Gabizon, </w:t>
      </w:r>
      <w:r w:rsidRPr="00C17BCC">
        <w:rPr>
          <w:rFonts w:ascii="Times New Roman" w:eastAsia="Times New Roman" w:hAnsi="Times New Roman" w:cs="Times New Roman"/>
          <w:color w:val="000000" w:themeColor="text1"/>
          <w:shd w:val="clear" w:color="auto" w:fill="FFFFFF"/>
        </w:rPr>
        <w:t xml:space="preserve"> </w:t>
      </w:r>
      <w:r w:rsidRPr="00C17BCC">
        <w:rPr>
          <w:rFonts w:ascii="Times New Roman" w:eastAsia="Times New Roman" w:hAnsi="Times New Roman" w:cs="Times New Roman"/>
          <w:color w:val="000000" w:themeColor="text1"/>
          <w:shd w:val="clear" w:color="auto" w:fill="FFFFFF"/>
          <w:lang w:val="en-GB"/>
        </w:rPr>
        <w:t>Cécilia</w:t>
      </w:r>
      <w:r w:rsidRPr="00C17BCC">
        <w:rPr>
          <w:rFonts w:ascii="Times New Roman" w:hAnsi="Times New Roman" w:cs="Times New Roman"/>
          <w:color w:val="000000" w:themeColor="text1"/>
        </w:rPr>
        <w:t xml:space="preserve">. (2009). </w:t>
      </w:r>
      <w:r w:rsidRPr="00C17BCC">
        <w:rPr>
          <w:rFonts w:ascii="Times New Roman" w:eastAsia="Times New Roman" w:hAnsi="Times New Roman" w:cs="Times New Roman"/>
          <w:bCs/>
          <w:color w:val="000000" w:themeColor="text1"/>
          <w:kern w:val="36"/>
          <w:lang w:val="en-GB" w:eastAsia="en-GB"/>
        </w:rPr>
        <w:t xml:space="preserve">Le gouvernement veut attirer les immigrés entrepreneurs, 16/09 </w:t>
      </w:r>
      <w:r w:rsidRPr="00C17BCC">
        <w:rPr>
          <w:rFonts w:ascii="Times New Roman" w:hAnsi="Times New Roman" w:cs="Times New Roman"/>
          <w:color w:val="000000" w:themeColor="text1"/>
          <w:u w:val="single"/>
        </w:rPr>
        <w:t>(lefigaro.fr)</w:t>
      </w:r>
    </w:p>
    <w:p w14:paraId="0FF0C7B3" w14:textId="77777777" w:rsidR="00080725" w:rsidRPr="00C17BCC" w:rsidRDefault="00080725" w:rsidP="00080725">
      <w:pPr>
        <w:rPr>
          <w:rFonts w:ascii="Times New Roman" w:hAnsi="Times New Roman" w:cs="Times New Roman"/>
          <w:color w:val="000000" w:themeColor="text1"/>
          <w:u w:val="single"/>
        </w:rPr>
      </w:pPr>
    </w:p>
    <w:p w14:paraId="2329D3E7" w14:textId="77777777" w:rsidR="00080725" w:rsidRPr="00C17BCC" w:rsidRDefault="00080725" w:rsidP="00080725">
      <w:pPr>
        <w:rPr>
          <w:rFonts w:ascii="Times New Roman" w:eastAsia="Times New Roman" w:hAnsi="Times New Roman" w:cs="Times New Roman"/>
          <w:sz w:val="20"/>
          <w:szCs w:val="20"/>
          <w:lang w:val="en-GB"/>
        </w:rPr>
      </w:pPr>
    </w:p>
    <w:p w14:paraId="16B30F66" w14:textId="77777777" w:rsidR="00080725"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r w:rsidRPr="00480BE9">
        <w:rPr>
          <w:rFonts w:ascii="Times New Roman" w:eastAsia="Times New Roman" w:hAnsi="Times New Roman" w:cs="Times New Roman"/>
          <w:color w:val="000000" w:themeColor="text1"/>
          <w:shd w:val="clear" w:color="auto" w:fill="FFFFFF"/>
          <w:lang w:val="en-GB"/>
        </w:rPr>
        <w:t>Gamlen, A</w:t>
      </w:r>
      <w:r>
        <w:rPr>
          <w:rFonts w:ascii="Times New Roman" w:eastAsia="Times New Roman" w:hAnsi="Times New Roman" w:cs="Times New Roman"/>
          <w:color w:val="000000" w:themeColor="text1"/>
          <w:shd w:val="clear" w:color="auto" w:fill="FFFFFF"/>
          <w:lang w:val="en-GB"/>
        </w:rPr>
        <w:t xml:space="preserve">lan, Chris Kutarna </w:t>
      </w:r>
      <w:r w:rsidRPr="00480BE9">
        <w:rPr>
          <w:rFonts w:ascii="Times New Roman" w:eastAsia="Times New Roman" w:hAnsi="Times New Roman" w:cs="Times New Roman"/>
          <w:color w:val="000000" w:themeColor="text1"/>
          <w:shd w:val="clear" w:color="auto" w:fill="FFFFFF"/>
          <w:lang w:val="en-GB"/>
        </w:rPr>
        <w:t>and</w:t>
      </w:r>
      <w:r>
        <w:rPr>
          <w:rFonts w:ascii="Times New Roman" w:eastAsia="Times New Roman" w:hAnsi="Times New Roman" w:cs="Times New Roman"/>
          <w:color w:val="000000" w:themeColor="text1"/>
          <w:shd w:val="clear" w:color="auto" w:fill="FFFFFF"/>
          <w:lang w:val="en-GB"/>
        </w:rPr>
        <w:t xml:space="preserve"> Ashby Monk</w:t>
      </w:r>
      <w:r w:rsidRPr="00480BE9">
        <w:rPr>
          <w:rFonts w:ascii="Times New Roman" w:eastAsia="Times New Roman" w:hAnsi="Times New Roman" w:cs="Times New Roman"/>
          <w:color w:val="000000" w:themeColor="text1"/>
          <w:shd w:val="clear" w:color="auto" w:fill="FFFFFF"/>
          <w:lang w:val="en-GB"/>
        </w:rPr>
        <w:t xml:space="preserve"> (2019)</w:t>
      </w:r>
      <w:r>
        <w:rPr>
          <w:rFonts w:ascii="Times New Roman" w:eastAsia="Times New Roman" w:hAnsi="Times New Roman" w:cs="Times New Roman"/>
          <w:color w:val="000000" w:themeColor="text1"/>
          <w:shd w:val="clear" w:color="auto" w:fill="FFFFFF"/>
          <w:lang w:val="en-GB"/>
        </w:rPr>
        <w:t>.</w:t>
      </w:r>
      <w:r w:rsidRPr="00480BE9">
        <w:rPr>
          <w:rFonts w:ascii="Times New Roman" w:eastAsia="Times New Roman" w:hAnsi="Times New Roman" w:cs="Times New Roman"/>
          <w:color w:val="000000" w:themeColor="text1"/>
          <w:shd w:val="clear" w:color="auto" w:fill="FFFFFF"/>
          <w:lang w:val="en-GB"/>
        </w:rPr>
        <w:t xml:space="preserve"> ‘Citizenship as Sovereign Wealth: Re</w:t>
      </w:r>
      <w:r w:rsidRPr="00480BE9">
        <w:rPr>
          <w:rFonts w:ascii="Noteworthy Light" w:eastAsia="Times New Roman" w:hAnsi="Noteworthy Light" w:cs="Noteworthy Light"/>
          <w:color w:val="000000" w:themeColor="text1"/>
          <w:shd w:val="clear" w:color="auto" w:fill="FFFFFF"/>
          <w:lang w:val="en-GB"/>
        </w:rPr>
        <w:t>‐</w:t>
      </w:r>
      <w:r w:rsidRPr="00480BE9">
        <w:rPr>
          <w:rFonts w:ascii="Times New Roman" w:eastAsia="Times New Roman" w:hAnsi="Times New Roman" w:cs="Times New Roman"/>
          <w:color w:val="000000" w:themeColor="text1"/>
          <w:shd w:val="clear" w:color="auto" w:fill="FFFFFF"/>
          <w:lang w:val="en-GB"/>
        </w:rPr>
        <w:t>thinking Investor Immigration’, </w:t>
      </w:r>
      <w:r w:rsidRPr="00480BE9">
        <w:rPr>
          <w:rFonts w:ascii="Times New Roman" w:eastAsia="Times New Roman" w:hAnsi="Times New Roman" w:cs="Times New Roman"/>
          <w:i/>
          <w:iCs/>
          <w:color w:val="000000" w:themeColor="text1"/>
          <w:shd w:val="clear" w:color="auto" w:fill="FFFFFF"/>
          <w:lang w:val="en-GB"/>
        </w:rPr>
        <w:t>Global Policy</w:t>
      </w:r>
      <w:r w:rsidRPr="00480BE9">
        <w:rPr>
          <w:rFonts w:ascii="Times New Roman" w:eastAsia="Times New Roman" w:hAnsi="Times New Roman" w:cs="Times New Roman"/>
          <w:color w:val="000000" w:themeColor="text1"/>
          <w:shd w:val="clear" w:color="auto" w:fill="FFFFFF"/>
          <w:lang w:val="en-GB"/>
        </w:rPr>
        <w:t>, </w:t>
      </w:r>
      <w:r w:rsidRPr="00C26987">
        <w:rPr>
          <w:rFonts w:ascii="Times New Roman" w:eastAsia="Times New Roman" w:hAnsi="Times New Roman" w:cs="Times New Roman"/>
          <w:iCs/>
          <w:color w:val="000000" w:themeColor="text1"/>
          <w:shd w:val="clear" w:color="auto" w:fill="FFFFFF"/>
          <w:lang w:val="en-GB"/>
        </w:rPr>
        <w:t>10</w:t>
      </w:r>
      <w:r w:rsidRPr="00C26987">
        <w:rPr>
          <w:rFonts w:ascii="Times New Roman" w:eastAsia="Times New Roman" w:hAnsi="Times New Roman" w:cs="Times New Roman"/>
          <w:color w:val="000000" w:themeColor="text1"/>
          <w:shd w:val="clear" w:color="auto" w:fill="FFFFFF"/>
          <w:lang w:val="en-GB"/>
        </w:rPr>
        <w:t>:</w:t>
      </w:r>
      <w:r>
        <w:rPr>
          <w:rFonts w:ascii="Times New Roman" w:eastAsia="Times New Roman" w:hAnsi="Times New Roman" w:cs="Times New Roman"/>
          <w:color w:val="000000" w:themeColor="text1"/>
          <w:shd w:val="clear" w:color="auto" w:fill="FFFFFF"/>
          <w:lang w:val="en-GB"/>
        </w:rPr>
        <w:t>4,</w:t>
      </w:r>
      <w:r w:rsidRPr="00480BE9">
        <w:rPr>
          <w:rFonts w:ascii="Times New Roman" w:eastAsia="Times New Roman" w:hAnsi="Times New Roman" w:cs="Times New Roman"/>
          <w:color w:val="000000" w:themeColor="text1"/>
          <w:shd w:val="clear" w:color="auto" w:fill="FFFFFF"/>
          <w:lang w:val="en-GB"/>
        </w:rPr>
        <w:t xml:space="preserve"> 527-541</w:t>
      </w:r>
    </w:p>
    <w:p w14:paraId="6E6284A8" w14:textId="77777777" w:rsidR="00080725" w:rsidRPr="00D16F8D"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p>
    <w:p w14:paraId="5488219B" w14:textId="77777777" w:rsidR="00080725" w:rsidRPr="00480BE9" w:rsidRDefault="00080725" w:rsidP="00080725">
      <w:pPr>
        <w:spacing w:line="480" w:lineRule="auto"/>
        <w:ind w:left="720" w:hanging="720"/>
        <w:rPr>
          <w:rFonts w:ascii="Times New Roman" w:eastAsia="Times New Roman" w:hAnsi="Times New Roman" w:cs="Times New Roman"/>
          <w:color w:val="000000" w:themeColor="text1"/>
          <w:lang w:val="en-GB"/>
        </w:rPr>
      </w:pPr>
      <w:r w:rsidRPr="00480BE9">
        <w:rPr>
          <w:rFonts w:ascii="Times New Roman" w:hAnsi="Times New Roman" w:cs="Times New Roman"/>
          <w:color w:val="000000" w:themeColor="text1"/>
          <w:shd w:val="clear" w:color="auto" w:fill="FFFFFF"/>
        </w:rPr>
        <w:t>Harpaz, Y</w:t>
      </w:r>
      <w:r>
        <w:rPr>
          <w:rFonts w:ascii="Times New Roman" w:hAnsi="Times New Roman" w:cs="Times New Roman"/>
          <w:color w:val="000000" w:themeColor="text1"/>
          <w:shd w:val="clear" w:color="auto" w:fill="FFFFFF"/>
        </w:rPr>
        <w:t>ossi</w:t>
      </w:r>
      <w:r w:rsidRPr="00480BE9">
        <w:rPr>
          <w:rFonts w:ascii="Times New Roman" w:hAnsi="Times New Roman" w:cs="Times New Roman"/>
          <w:color w:val="000000" w:themeColor="text1"/>
          <w:shd w:val="clear" w:color="auto" w:fill="FFFFFF"/>
        </w:rPr>
        <w:t xml:space="preserve"> (2022)</w:t>
      </w:r>
      <w:r>
        <w:rPr>
          <w:rFonts w:ascii="Times New Roman" w:hAnsi="Times New Roman" w:cs="Times New Roman"/>
          <w:color w:val="000000" w:themeColor="text1"/>
          <w:shd w:val="clear" w:color="auto" w:fill="FFFFFF"/>
        </w:rPr>
        <w:t>.</w:t>
      </w:r>
      <w:r w:rsidRPr="00480BE9">
        <w:rPr>
          <w:rFonts w:ascii="Times New Roman" w:hAnsi="Times New Roman" w:cs="Times New Roman"/>
          <w:color w:val="000000" w:themeColor="text1"/>
          <w:shd w:val="clear" w:color="auto" w:fill="FFFFFF"/>
        </w:rPr>
        <w:t xml:space="preserve"> ‘One foot on shore: An analysis of global millionaires' demand for US investor visas’, </w:t>
      </w:r>
      <w:r w:rsidRPr="00480BE9">
        <w:rPr>
          <w:rFonts w:ascii="Times New Roman" w:hAnsi="Times New Roman" w:cs="Times New Roman"/>
          <w:i/>
          <w:iCs/>
          <w:color w:val="000000" w:themeColor="text1"/>
          <w:shd w:val="clear" w:color="auto" w:fill="FFFFFF"/>
        </w:rPr>
        <w:t>The British Journal of Sociology</w:t>
      </w:r>
      <w:r>
        <w:rPr>
          <w:rFonts w:ascii="Times New Roman" w:hAnsi="Times New Roman" w:cs="Times New Roman"/>
          <w:color w:val="000000" w:themeColor="text1"/>
          <w:shd w:val="clear" w:color="auto" w:fill="FFFFFF"/>
        </w:rPr>
        <w:t xml:space="preserve"> 73:3,</w:t>
      </w:r>
      <w:r w:rsidRPr="00480BE9">
        <w:rPr>
          <w:rFonts w:ascii="Times New Roman" w:hAnsi="Times New Roman" w:cs="Times New Roman"/>
          <w:color w:val="000000" w:themeColor="text1"/>
          <w:shd w:val="clear" w:color="auto" w:fill="FFFFFF"/>
        </w:rPr>
        <w:t xml:space="preserve"> 554-570.</w:t>
      </w:r>
    </w:p>
    <w:p w14:paraId="057E2BD3"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54640270"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sidRPr="00480BE9">
        <w:rPr>
          <w:rFonts w:ascii="Times New Roman" w:hAnsi="Times New Roman" w:cs="Times New Roman"/>
          <w:color w:val="000000" w:themeColor="text1"/>
        </w:rPr>
        <w:t>Helbling, M</w:t>
      </w:r>
      <w:r>
        <w:rPr>
          <w:rFonts w:ascii="Times New Roman" w:hAnsi="Times New Roman" w:cs="Times New Roman"/>
          <w:color w:val="000000" w:themeColor="text1"/>
        </w:rPr>
        <w:t>arc</w:t>
      </w:r>
      <w:r w:rsidRPr="00480BE9">
        <w:rPr>
          <w:rFonts w:ascii="Times New Roman" w:hAnsi="Times New Roman" w:cs="Times New Roman"/>
          <w:color w:val="000000" w:themeColor="text1"/>
        </w:rPr>
        <w:t>,</w:t>
      </w:r>
      <w:r>
        <w:rPr>
          <w:rFonts w:ascii="Times New Roman" w:hAnsi="Times New Roman" w:cs="Times New Roman"/>
          <w:color w:val="000000" w:themeColor="text1"/>
        </w:rPr>
        <w:t xml:space="preserve"> Liv Bjerre</w:t>
      </w:r>
      <w:r w:rsidRPr="00480BE9">
        <w:rPr>
          <w:rFonts w:ascii="Times New Roman" w:hAnsi="Times New Roman" w:cs="Times New Roman"/>
          <w:color w:val="000000" w:themeColor="text1"/>
        </w:rPr>
        <w:t>,</w:t>
      </w:r>
      <w:r>
        <w:rPr>
          <w:rFonts w:ascii="Times New Roman" w:hAnsi="Times New Roman" w:cs="Times New Roman"/>
          <w:color w:val="000000" w:themeColor="text1"/>
        </w:rPr>
        <w:t xml:space="preserve"> Friederike Römer</w:t>
      </w:r>
      <w:r w:rsidRPr="00480BE9">
        <w:rPr>
          <w:rFonts w:ascii="Times New Roman" w:hAnsi="Times New Roman" w:cs="Times New Roman"/>
          <w:color w:val="000000" w:themeColor="text1"/>
        </w:rPr>
        <w:t xml:space="preserve"> and </w:t>
      </w:r>
      <w:r>
        <w:rPr>
          <w:rFonts w:ascii="Times New Roman" w:hAnsi="Times New Roman" w:cs="Times New Roman"/>
          <w:color w:val="000000" w:themeColor="text1"/>
        </w:rPr>
        <w:t>Malisa Zobel</w:t>
      </w:r>
      <w:r w:rsidRPr="00480BE9">
        <w:rPr>
          <w:rFonts w:ascii="Times New Roman" w:hAnsi="Times New Roman" w:cs="Times New Roman"/>
          <w:color w:val="000000" w:themeColor="text1"/>
        </w:rPr>
        <w:t xml:space="preserve"> (2017)</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‘Measuring immigration policies: The IMPIC database’, </w:t>
      </w:r>
      <w:r w:rsidRPr="00480BE9">
        <w:rPr>
          <w:rFonts w:ascii="Times New Roman" w:hAnsi="Times New Roman" w:cs="Times New Roman"/>
          <w:i/>
          <w:color w:val="000000" w:themeColor="text1"/>
        </w:rPr>
        <w:t>European Political Science</w:t>
      </w:r>
      <w:r w:rsidRPr="00480BE9">
        <w:rPr>
          <w:rFonts w:ascii="Times New Roman" w:hAnsi="Times New Roman" w:cs="Times New Roman"/>
          <w:color w:val="000000" w:themeColor="text1"/>
        </w:rPr>
        <w:t xml:space="preserve"> 16</w:t>
      </w:r>
      <w:r>
        <w:rPr>
          <w:rFonts w:ascii="Times New Roman" w:hAnsi="Times New Roman" w:cs="Times New Roman"/>
          <w:color w:val="000000" w:themeColor="text1"/>
        </w:rPr>
        <w:t>: 1,</w:t>
      </w:r>
      <w:r w:rsidRPr="00480BE9">
        <w:rPr>
          <w:rFonts w:ascii="Times New Roman" w:hAnsi="Times New Roman" w:cs="Times New Roman"/>
          <w:color w:val="000000" w:themeColor="text1"/>
        </w:rPr>
        <w:t xml:space="preserve"> 79–98</w:t>
      </w:r>
    </w:p>
    <w:p w14:paraId="1BBE52CA"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6F7AC986"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r w:rsidRPr="00480BE9">
        <w:rPr>
          <w:rFonts w:ascii="Times New Roman" w:hAnsi="Times New Roman" w:cs="Times New Roman"/>
          <w:color w:val="000000" w:themeColor="text1"/>
        </w:rPr>
        <w:t>Home Office (2006)</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Pr="00480BE9">
        <w:rPr>
          <w:rFonts w:ascii="Times New Roman" w:hAnsi="Times New Roman" w:cs="Times New Roman"/>
          <w:i/>
          <w:iCs/>
          <w:color w:val="000000" w:themeColor="text1"/>
        </w:rPr>
        <w:t>A Points-Based System: Making Migration Work for Britain</w:t>
      </w:r>
      <w:r w:rsidRPr="00480BE9">
        <w:rPr>
          <w:rFonts w:ascii="Times New Roman" w:hAnsi="Times New Roman" w:cs="Times New Roman"/>
          <w:color w:val="000000" w:themeColor="text1"/>
        </w:rPr>
        <w:t>, Cm 6741, London: HMSO.</w:t>
      </w:r>
    </w:p>
    <w:p w14:paraId="54921815"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03B2C7F5"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r w:rsidRPr="00480BE9">
        <w:rPr>
          <w:rFonts w:ascii="Times New Roman" w:hAnsi="Times New Roman" w:cs="Times New Roman"/>
          <w:color w:val="000000" w:themeColor="text1"/>
        </w:rPr>
        <w:t>House of Commons (2023)</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Pr="00480BE9">
        <w:rPr>
          <w:rFonts w:ascii="Times New Roman" w:hAnsi="Times New Roman" w:cs="Times New Roman"/>
          <w:i/>
          <w:iCs/>
          <w:color w:val="000000" w:themeColor="text1"/>
        </w:rPr>
        <w:t>The Tier 1 (Investor) route: Review of operation between 30 June 2008 and 6 April 2015. Statement made on 12 January 2023</w:t>
      </w:r>
      <w:r w:rsidRPr="00480BE9">
        <w:rPr>
          <w:rFonts w:ascii="Times New Roman" w:hAnsi="Times New Roman" w:cs="Times New Roman"/>
          <w:color w:val="000000" w:themeColor="text1"/>
        </w:rPr>
        <w:t>, UIN HCWS492.</w:t>
      </w:r>
    </w:p>
    <w:p w14:paraId="7CADABCF"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2DA5320A"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r w:rsidRPr="00480BE9">
        <w:rPr>
          <w:rFonts w:ascii="Times New Roman" w:hAnsi="Times New Roman" w:cs="Times New Roman"/>
          <w:color w:val="000000" w:themeColor="text1"/>
        </w:rPr>
        <w:t>Intelligence and Security Committee of Parliament (2020)</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Pr="00480BE9">
        <w:rPr>
          <w:rFonts w:ascii="Times New Roman" w:hAnsi="Times New Roman" w:cs="Times New Roman"/>
          <w:i/>
          <w:iCs/>
          <w:color w:val="000000" w:themeColor="text1"/>
        </w:rPr>
        <w:t>Russia</w:t>
      </w:r>
      <w:r w:rsidRPr="00480BE9">
        <w:rPr>
          <w:rFonts w:ascii="Times New Roman" w:hAnsi="Times New Roman" w:cs="Times New Roman"/>
          <w:color w:val="000000" w:themeColor="text1"/>
        </w:rPr>
        <w:t xml:space="preserve">, HC 632, 21 July 2020. </w:t>
      </w:r>
      <w:hyperlink r:id="rId10" w:history="1">
        <w:r w:rsidRPr="00480BE9">
          <w:rPr>
            <w:rStyle w:val="Hyperlink"/>
            <w:rFonts w:ascii="Times New Roman" w:hAnsi="Times New Roman" w:cs="Times New Roman"/>
            <w:color w:val="000000" w:themeColor="text1"/>
          </w:rPr>
          <w:t>https://isc.independent.gov.uk/wp-content/uploads/2021/01/20200721_HC632_CCS001_CCS1019402408-001_ISC_Russia_Report_Web_Accessible.pdf</w:t>
        </w:r>
      </w:hyperlink>
      <w:r w:rsidRPr="00480BE9">
        <w:rPr>
          <w:rFonts w:ascii="Times New Roman" w:hAnsi="Times New Roman" w:cs="Times New Roman"/>
          <w:color w:val="000000" w:themeColor="text1"/>
        </w:rPr>
        <w:t xml:space="preserve"> </w:t>
      </w:r>
    </w:p>
    <w:p w14:paraId="357D7DA1"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p>
    <w:p w14:paraId="2A4954B8"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sidRPr="00480BE9">
        <w:rPr>
          <w:rFonts w:ascii="Times New Roman" w:hAnsi="Times New Roman" w:cs="Times New Roman"/>
          <w:color w:val="000000" w:themeColor="text1"/>
        </w:rPr>
        <w:t>Joppke, C</w:t>
      </w:r>
      <w:r>
        <w:rPr>
          <w:rFonts w:ascii="Times New Roman" w:hAnsi="Times New Roman" w:cs="Times New Roman"/>
          <w:color w:val="000000" w:themeColor="text1"/>
        </w:rPr>
        <w:t>hristian</w:t>
      </w:r>
      <w:r w:rsidRPr="00480BE9">
        <w:rPr>
          <w:rFonts w:ascii="Times New Roman" w:hAnsi="Times New Roman" w:cs="Times New Roman"/>
          <w:color w:val="000000" w:themeColor="text1"/>
        </w:rPr>
        <w:t xml:space="preserve"> (2021)</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Pr="00480BE9">
        <w:rPr>
          <w:rFonts w:ascii="Times New Roman" w:hAnsi="Times New Roman" w:cs="Times New Roman"/>
          <w:i/>
          <w:iCs/>
          <w:color w:val="000000" w:themeColor="text1"/>
        </w:rPr>
        <w:t>Neoliberal Nationalism: Immigration and the Rise of the Populist Right</w:t>
      </w:r>
      <w:r w:rsidRPr="00480BE9">
        <w:rPr>
          <w:rFonts w:ascii="Times New Roman" w:hAnsi="Times New Roman" w:cs="Times New Roman"/>
          <w:color w:val="000000" w:themeColor="text1"/>
        </w:rPr>
        <w:t>. Cambridge: Cambridge University Press.</w:t>
      </w:r>
    </w:p>
    <w:p w14:paraId="5A43D868"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p>
    <w:p w14:paraId="77D1E525" w14:textId="77777777" w:rsidR="00080725"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sidRPr="00480BE9">
        <w:rPr>
          <w:rFonts w:ascii="Times New Roman" w:hAnsi="Times New Roman" w:cs="Times New Roman"/>
          <w:color w:val="000000" w:themeColor="text1"/>
        </w:rPr>
        <w:t>Kharpal, A</w:t>
      </w:r>
      <w:r>
        <w:rPr>
          <w:rFonts w:ascii="Times New Roman" w:hAnsi="Times New Roman" w:cs="Times New Roman"/>
          <w:color w:val="000000" w:themeColor="text1"/>
        </w:rPr>
        <w:t>rjun</w:t>
      </w:r>
      <w:r w:rsidRPr="00480BE9">
        <w:rPr>
          <w:rFonts w:ascii="Times New Roman" w:hAnsi="Times New Roman" w:cs="Times New Roman"/>
          <w:color w:val="000000" w:themeColor="text1"/>
        </w:rPr>
        <w:t>. (2017)</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French President Macron launches tech visa to make France a ‘country of unicorns’, CNBC, 15 June </w:t>
      </w:r>
    </w:p>
    <w:p w14:paraId="4A50B4B3"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p>
    <w:p w14:paraId="15312566" w14:textId="16933593" w:rsidR="00080725" w:rsidRPr="005A1CF7" w:rsidRDefault="00080725" w:rsidP="00080725">
      <w:pPr>
        <w:widowControl w:val="0"/>
        <w:autoSpaceDE w:val="0"/>
        <w:autoSpaceDN w:val="0"/>
        <w:adjustRightInd w:val="0"/>
        <w:spacing w:line="480" w:lineRule="auto"/>
        <w:ind w:left="720" w:hanging="720"/>
        <w:rPr>
          <w:rFonts w:ascii="Times New Roman" w:hAnsi="Times New Roman" w:cs="Times New Roman"/>
          <w:color w:val="222222"/>
          <w:shd w:val="clear" w:color="auto" w:fill="FFFFFF"/>
        </w:rPr>
      </w:pPr>
      <w:r w:rsidRPr="005A1CF7">
        <w:rPr>
          <w:rFonts w:ascii="Times New Roman" w:hAnsi="Times New Roman" w:cs="Times New Roman"/>
          <w:color w:val="222222"/>
          <w:shd w:val="clear" w:color="auto" w:fill="FFFFFF"/>
        </w:rPr>
        <w:t>Kochenov, Dimitry. and Surak, Kristin. (2023) </w:t>
      </w:r>
      <w:r w:rsidRPr="005A1CF7">
        <w:rPr>
          <w:rFonts w:ascii="Times New Roman" w:hAnsi="Times New Roman" w:cs="Times New Roman"/>
          <w:i/>
          <w:iCs/>
          <w:color w:val="222222"/>
          <w:shd w:val="clear" w:color="auto" w:fill="FFFFFF"/>
        </w:rPr>
        <w:t>Citizenship and Residence Sales: Rethinking the Boundaries of Belonging</w:t>
      </w:r>
      <w:r w:rsidRPr="005A1CF7">
        <w:rPr>
          <w:rFonts w:ascii="Times New Roman" w:hAnsi="Times New Roman" w:cs="Times New Roman"/>
          <w:color w:val="222222"/>
          <w:shd w:val="clear" w:color="auto" w:fill="FFFFFF"/>
        </w:rPr>
        <w:t xml:space="preserve">. </w:t>
      </w:r>
      <w:r w:rsidR="00C26987">
        <w:rPr>
          <w:rFonts w:ascii="Times New Roman" w:hAnsi="Times New Roman" w:cs="Times New Roman"/>
          <w:color w:val="222222"/>
          <w:shd w:val="clear" w:color="auto" w:fill="FFFFFF"/>
        </w:rPr>
        <w:t xml:space="preserve">Cambridge: </w:t>
      </w:r>
      <w:r w:rsidRPr="005A1CF7">
        <w:rPr>
          <w:rFonts w:ascii="Times New Roman" w:hAnsi="Times New Roman" w:cs="Times New Roman"/>
          <w:color w:val="222222"/>
          <w:shd w:val="clear" w:color="auto" w:fill="FFFFFF"/>
        </w:rPr>
        <w:t xml:space="preserve">Cambridge University Press. </w:t>
      </w:r>
    </w:p>
    <w:p w14:paraId="197482E3" w14:textId="77777777" w:rsidR="00080725"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p>
    <w:p w14:paraId="25CE0739" w14:textId="77777777" w:rsidR="00080725"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Lahav, Gallya (2006). ‘Actors and venues in immigration control: Closing the gap between political demands and policy outcomes’, </w:t>
      </w:r>
      <w:r w:rsidRPr="00BD50DA">
        <w:rPr>
          <w:rFonts w:ascii="Times New Roman" w:hAnsi="Times New Roman" w:cs="Times New Roman"/>
          <w:i/>
          <w:color w:val="000000" w:themeColor="text1"/>
        </w:rPr>
        <w:t>West European Politics</w:t>
      </w:r>
      <w:r>
        <w:rPr>
          <w:rFonts w:ascii="Times New Roman" w:hAnsi="Times New Roman" w:cs="Times New Roman"/>
          <w:color w:val="000000" w:themeColor="text1"/>
        </w:rPr>
        <w:t>, 29:2, 201-223.</w:t>
      </w:r>
    </w:p>
    <w:p w14:paraId="6BF7D77E"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p>
    <w:p w14:paraId="1E12E90C" w14:textId="77777777" w:rsidR="00080725" w:rsidRPr="00480BE9" w:rsidRDefault="00080725" w:rsidP="00080725">
      <w:pPr>
        <w:pStyle w:val="Heading1"/>
        <w:shd w:val="clear" w:color="auto" w:fill="FFFFFF"/>
        <w:spacing w:before="0" w:after="360" w:line="480" w:lineRule="auto"/>
        <w:ind w:left="720" w:hanging="720"/>
        <w:rPr>
          <w:rFonts w:ascii="Times New Roman" w:eastAsia="Times New Roman" w:hAnsi="Times New Roman" w:cs="Times New Roman"/>
          <w:color w:val="000000" w:themeColor="text1"/>
          <w:sz w:val="24"/>
          <w:szCs w:val="24"/>
        </w:rPr>
      </w:pPr>
      <w:r w:rsidRPr="00480BE9">
        <w:rPr>
          <w:rFonts w:ascii="Times New Roman" w:hAnsi="Times New Roman" w:cs="Times New Roman"/>
          <w:color w:val="000000" w:themeColor="text1"/>
          <w:spacing w:val="3"/>
          <w:sz w:val="24"/>
          <w:szCs w:val="24"/>
          <w:shd w:val="clear" w:color="auto" w:fill="FFFFFF"/>
        </w:rPr>
        <w:t>Lamoncola (2011)</w:t>
      </w:r>
      <w:r>
        <w:rPr>
          <w:rFonts w:ascii="Times New Roman" w:hAnsi="Times New Roman" w:cs="Times New Roman"/>
          <w:color w:val="000000" w:themeColor="text1"/>
          <w:spacing w:val="3"/>
          <w:sz w:val="24"/>
          <w:szCs w:val="24"/>
          <w:shd w:val="clear" w:color="auto" w:fill="FFFFFF"/>
        </w:rPr>
        <w:t>.</w:t>
      </w:r>
      <w:r w:rsidRPr="00480BE9">
        <w:rPr>
          <w:rFonts w:ascii="Times New Roman" w:hAnsi="Times New Roman" w:cs="Times New Roman"/>
          <w:color w:val="000000" w:themeColor="text1"/>
          <w:spacing w:val="3"/>
          <w:sz w:val="24"/>
          <w:szCs w:val="24"/>
          <w:shd w:val="clear" w:color="auto" w:fill="FFFFFF"/>
        </w:rPr>
        <w:t xml:space="preserve"> </w:t>
      </w:r>
      <w:r w:rsidRPr="00480BE9">
        <w:rPr>
          <w:rFonts w:ascii="Times New Roman" w:eastAsia="Times New Roman" w:hAnsi="Times New Roman" w:cs="Times New Roman"/>
          <w:bCs/>
          <w:color w:val="000000" w:themeColor="text1"/>
          <w:sz w:val="24"/>
          <w:szCs w:val="24"/>
        </w:rPr>
        <w:t>Foreign Trade and Immigration sign protocol to promote foreign investment</w:t>
      </w:r>
      <w:r w:rsidRPr="00480BE9">
        <w:rPr>
          <w:rFonts w:ascii="Times New Roman" w:eastAsia="Times New Roman" w:hAnsi="Times New Roman" w:cs="Times New Roman"/>
          <w:color w:val="000000" w:themeColor="text1"/>
          <w:sz w:val="24"/>
          <w:szCs w:val="24"/>
        </w:rPr>
        <w:t xml:space="preserve"> </w:t>
      </w:r>
      <w:hyperlink r:id="rId11" w:history="1">
        <w:r w:rsidRPr="00480BE9">
          <w:rPr>
            <w:rStyle w:val="Hyperlink"/>
            <w:rFonts w:ascii="Times New Roman" w:hAnsi="Times New Roman" w:cs="Times New Roman"/>
            <w:color w:val="000000" w:themeColor="text1"/>
            <w:spacing w:val="3"/>
            <w:sz w:val="24"/>
            <w:szCs w:val="24"/>
            <w:shd w:val="clear" w:color="auto" w:fill="FFFFFF"/>
          </w:rPr>
          <w:t>https://www.lamoncloa.gob.es/lang/en/gobierno/news/Paginas/2011/041111Comercio.aspx</w:t>
        </w:r>
      </w:hyperlink>
      <w:r w:rsidRPr="00480BE9">
        <w:rPr>
          <w:rFonts w:ascii="Times New Roman" w:hAnsi="Times New Roman" w:cs="Times New Roman"/>
          <w:color w:val="000000" w:themeColor="text1"/>
          <w:spacing w:val="3"/>
          <w:sz w:val="24"/>
          <w:szCs w:val="24"/>
          <w:shd w:val="clear" w:color="auto" w:fill="FFFFFF"/>
        </w:rPr>
        <w:t xml:space="preserve"> </w:t>
      </w:r>
    </w:p>
    <w:p w14:paraId="568336F7" w14:textId="77777777" w:rsidR="00080725" w:rsidRPr="00480BE9" w:rsidRDefault="00080725" w:rsidP="00080725">
      <w:pPr>
        <w:pStyle w:val="Heading1"/>
        <w:shd w:val="clear" w:color="auto" w:fill="FFFFFF"/>
        <w:spacing w:line="480" w:lineRule="auto"/>
        <w:rPr>
          <w:rFonts w:ascii="Times New Roman" w:eastAsia="Times New Roman" w:hAnsi="Times New Roman" w:cs="Times New Roman"/>
          <w:color w:val="000000" w:themeColor="text1"/>
          <w:kern w:val="36"/>
          <w:sz w:val="24"/>
          <w:szCs w:val="24"/>
          <w:lang w:val="en-GB" w:eastAsia="en-GB"/>
        </w:rPr>
      </w:pPr>
      <w:r w:rsidRPr="00480BE9">
        <w:rPr>
          <w:rFonts w:ascii="Times New Roman" w:hAnsi="Times New Roman" w:cs="Times New Roman"/>
          <w:color w:val="000000" w:themeColor="text1"/>
          <w:spacing w:val="3"/>
          <w:sz w:val="24"/>
          <w:szCs w:val="24"/>
          <w:shd w:val="clear" w:color="auto" w:fill="FFFFFF"/>
        </w:rPr>
        <w:t xml:space="preserve">Leparmentier, P.A. (2007) </w:t>
      </w:r>
      <w:r w:rsidRPr="00480BE9">
        <w:rPr>
          <w:rFonts w:ascii="Times New Roman" w:eastAsia="Times New Roman" w:hAnsi="Times New Roman" w:cs="Times New Roman"/>
          <w:color w:val="000000" w:themeColor="text1"/>
          <w:kern w:val="36"/>
          <w:sz w:val="24"/>
          <w:szCs w:val="24"/>
          <w:lang w:val="en-GB" w:eastAsia="en-GB"/>
        </w:rPr>
        <w:t>Le malentendu, déjà ?, Le Monde 18 June</w:t>
      </w:r>
    </w:p>
    <w:p w14:paraId="02E0981F" w14:textId="77777777" w:rsidR="00080725" w:rsidRPr="00480BE9" w:rsidRDefault="00080725" w:rsidP="00080725">
      <w:pPr>
        <w:widowControl w:val="0"/>
        <w:autoSpaceDE w:val="0"/>
        <w:autoSpaceDN w:val="0"/>
        <w:adjustRightInd w:val="0"/>
        <w:spacing w:line="480" w:lineRule="auto"/>
        <w:rPr>
          <w:rFonts w:ascii="Times New Roman" w:hAnsi="Times New Roman" w:cs="Times New Roman"/>
          <w:color w:val="000000" w:themeColor="text1"/>
        </w:rPr>
      </w:pPr>
    </w:p>
    <w:p w14:paraId="7D38906F" w14:textId="77777777"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sidRPr="00480BE9">
        <w:rPr>
          <w:rFonts w:ascii="Times New Roman" w:hAnsi="Times New Roman" w:cs="Times New Roman"/>
          <w:color w:val="000000" w:themeColor="text1"/>
        </w:rPr>
        <w:t>Levy, J</w:t>
      </w:r>
      <w:r>
        <w:rPr>
          <w:rFonts w:ascii="Times New Roman" w:hAnsi="Times New Roman" w:cs="Times New Roman"/>
          <w:color w:val="000000" w:themeColor="text1"/>
        </w:rPr>
        <w:t>onah D.</w:t>
      </w:r>
      <w:r w:rsidRPr="00480BE9">
        <w:rPr>
          <w:rFonts w:ascii="Times New Roman" w:hAnsi="Times New Roman" w:cs="Times New Roman"/>
          <w:color w:val="000000" w:themeColor="text1"/>
        </w:rPr>
        <w:t xml:space="preserve"> (2008)</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‘From the dirigiste state to the social anesthesia state: French economic policy in the Longue Durée’, </w:t>
      </w:r>
      <w:r w:rsidRPr="00480BE9">
        <w:rPr>
          <w:rFonts w:ascii="Times New Roman" w:hAnsi="Times New Roman" w:cs="Times New Roman"/>
          <w:i/>
          <w:color w:val="000000" w:themeColor="text1"/>
        </w:rPr>
        <w:t>Modern and Contemporary France</w:t>
      </w:r>
      <w:r>
        <w:rPr>
          <w:rFonts w:ascii="Times New Roman" w:hAnsi="Times New Roman" w:cs="Times New Roman"/>
          <w:color w:val="000000" w:themeColor="text1"/>
        </w:rPr>
        <w:t>, 16: 4,</w:t>
      </w:r>
      <w:r w:rsidRPr="00480BE9">
        <w:rPr>
          <w:rFonts w:ascii="Times New Roman" w:hAnsi="Times New Roman" w:cs="Times New Roman"/>
          <w:color w:val="000000" w:themeColor="text1"/>
        </w:rPr>
        <w:t xml:space="preserve"> 417–435.</w:t>
      </w:r>
    </w:p>
    <w:p w14:paraId="7E09F4D9"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5F0329C8" w14:textId="77777777" w:rsidR="00080725" w:rsidRPr="00480BE9"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r w:rsidRPr="00480BE9">
        <w:rPr>
          <w:rFonts w:ascii="Times New Roman" w:eastAsia="Times New Roman" w:hAnsi="Times New Roman" w:cs="Times New Roman"/>
          <w:color w:val="000000" w:themeColor="text1"/>
          <w:shd w:val="clear" w:color="auto" w:fill="FFFFFF"/>
          <w:lang w:val="en-GB"/>
        </w:rPr>
        <w:t>Levy, J</w:t>
      </w:r>
      <w:r>
        <w:rPr>
          <w:rFonts w:ascii="Times New Roman" w:eastAsia="Times New Roman" w:hAnsi="Times New Roman" w:cs="Times New Roman"/>
          <w:color w:val="000000" w:themeColor="text1"/>
          <w:shd w:val="clear" w:color="auto" w:fill="FFFFFF"/>
          <w:lang w:val="en-GB"/>
        </w:rPr>
        <w:t xml:space="preserve">onah </w:t>
      </w:r>
      <w:r w:rsidRPr="00480BE9">
        <w:rPr>
          <w:rFonts w:ascii="Times New Roman" w:eastAsia="Times New Roman" w:hAnsi="Times New Roman" w:cs="Times New Roman"/>
          <w:color w:val="000000" w:themeColor="text1"/>
          <w:shd w:val="clear" w:color="auto" w:fill="FFFFFF"/>
          <w:lang w:val="en-GB"/>
        </w:rPr>
        <w:t>D. (2017)</w:t>
      </w:r>
      <w:r>
        <w:rPr>
          <w:rFonts w:ascii="Times New Roman" w:eastAsia="Times New Roman" w:hAnsi="Times New Roman" w:cs="Times New Roman"/>
          <w:color w:val="000000" w:themeColor="text1"/>
          <w:shd w:val="clear" w:color="auto" w:fill="FFFFFF"/>
          <w:lang w:val="en-GB"/>
        </w:rPr>
        <w:t>.</w:t>
      </w:r>
      <w:r w:rsidRPr="00480BE9">
        <w:rPr>
          <w:rFonts w:ascii="Times New Roman" w:eastAsia="Times New Roman" w:hAnsi="Times New Roman" w:cs="Times New Roman"/>
          <w:color w:val="000000" w:themeColor="text1"/>
          <w:shd w:val="clear" w:color="auto" w:fill="FFFFFF"/>
          <w:lang w:val="en-GB"/>
        </w:rPr>
        <w:t xml:space="preserve"> ‘The return of the state? France’s response to the financial and economic crisis’, </w:t>
      </w:r>
      <w:r w:rsidRPr="00480BE9">
        <w:rPr>
          <w:rFonts w:ascii="Times New Roman" w:eastAsia="Times New Roman" w:hAnsi="Times New Roman" w:cs="Times New Roman"/>
          <w:i/>
          <w:iCs/>
          <w:color w:val="000000" w:themeColor="text1"/>
          <w:shd w:val="clear" w:color="auto" w:fill="FFFFFF"/>
          <w:lang w:val="en-GB"/>
        </w:rPr>
        <w:t>Comparative European Politics</w:t>
      </w:r>
      <w:r w:rsidRPr="00480BE9">
        <w:rPr>
          <w:rFonts w:ascii="Times New Roman" w:eastAsia="Times New Roman" w:hAnsi="Times New Roman" w:cs="Times New Roman"/>
          <w:color w:val="000000" w:themeColor="text1"/>
          <w:shd w:val="clear" w:color="auto" w:fill="FFFFFF"/>
          <w:lang w:val="en-GB"/>
        </w:rPr>
        <w:t>, </w:t>
      </w:r>
      <w:r w:rsidRPr="00C26987">
        <w:rPr>
          <w:rFonts w:ascii="Times New Roman" w:eastAsia="Times New Roman" w:hAnsi="Times New Roman" w:cs="Times New Roman"/>
          <w:iCs/>
          <w:color w:val="000000" w:themeColor="text1"/>
          <w:shd w:val="clear" w:color="auto" w:fill="FFFFFF"/>
          <w:lang w:val="en-GB"/>
        </w:rPr>
        <w:t>15</w:t>
      </w:r>
      <w:r w:rsidRPr="00C26987">
        <w:rPr>
          <w:rFonts w:ascii="Times New Roman" w:eastAsia="Times New Roman" w:hAnsi="Times New Roman" w:cs="Times New Roman"/>
          <w:color w:val="000000" w:themeColor="text1"/>
          <w:shd w:val="clear" w:color="auto" w:fill="FFFFFF"/>
          <w:lang w:val="en-GB"/>
        </w:rPr>
        <w:t>:</w:t>
      </w:r>
      <w:r>
        <w:rPr>
          <w:rFonts w:ascii="Times New Roman" w:eastAsia="Times New Roman" w:hAnsi="Times New Roman" w:cs="Times New Roman"/>
          <w:color w:val="000000" w:themeColor="text1"/>
          <w:shd w:val="clear" w:color="auto" w:fill="FFFFFF"/>
          <w:lang w:val="en-GB"/>
        </w:rPr>
        <w:t>4,</w:t>
      </w:r>
      <w:r w:rsidRPr="00480BE9">
        <w:rPr>
          <w:rFonts w:ascii="Times New Roman" w:eastAsia="Times New Roman" w:hAnsi="Times New Roman" w:cs="Times New Roman"/>
          <w:color w:val="000000" w:themeColor="text1"/>
          <w:shd w:val="clear" w:color="auto" w:fill="FFFFFF"/>
          <w:lang w:val="en-GB"/>
        </w:rPr>
        <w:t xml:space="preserve"> 604-627.</w:t>
      </w:r>
    </w:p>
    <w:p w14:paraId="1766CEBA" w14:textId="77777777" w:rsidR="00080725" w:rsidRPr="00480BE9" w:rsidRDefault="00080725" w:rsidP="00080725">
      <w:pPr>
        <w:spacing w:line="480" w:lineRule="auto"/>
        <w:ind w:left="720" w:hanging="720"/>
        <w:rPr>
          <w:rFonts w:ascii="Times New Roman" w:eastAsia="Times New Roman" w:hAnsi="Times New Roman" w:cs="Times New Roman"/>
          <w:color w:val="000000" w:themeColor="text1"/>
          <w:lang w:val="en-GB"/>
        </w:rPr>
      </w:pPr>
    </w:p>
    <w:p w14:paraId="5E156CB7" w14:textId="4AFAECA7" w:rsidR="00080725" w:rsidRDefault="00080725" w:rsidP="00080725">
      <w:pPr>
        <w:spacing w:line="480" w:lineRule="auto"/>
        <w:ind w:left="720" w:hanging="720"/>
        <w:rPr>
          <w:rFonts w:ascii="Times New Roman" w:hAnsi="Times New Roman" w:cs="Times New Roman"/>
          <w:color w:val="000000" w:themeColor="text1"/>
          <w:shd w:val="clear" w:color="auto" w:fill="FFFFFF"/>
        </w:rPr>
      </w:pPr>
      <w:r w:rsidRPr="00480BE9">
        <w:rPr>
          <w:rFonts w:ascii="Times New Roman" w:hAnsi="Times New Roman" w:cs="Times New Roman"/>
          <w:color w:val="000000" w:themeColor="text1"/>
          <w:shd w:val="clear" w:color="auto" w:fill="FFFFFF"/>
        </w:rPr>
        <w:t>López, I</w:t>
      </w:r>
      <w:r>
        <w:rPr>
          <w:rFonts w:ascii="Times New Roman" w:hAnsi="Times New Roman" w:cs="Times New Roman"/>
          <w:color w:val="000000" w:themeColor="text1"/>
          <w:shd w:val="clear" w:color="auto" w:fill="FFFFFF"/>
        </w:rPr>
        <w:t>sidro</w:t>
      </w:r>
      <w:r w:rsidRPr="00480BE9">
        <w:rPr>
          <w:rFonts w:ascii="Times New Roman" w:hAnsi="Times New Roman" w:cs="Times New Roman"/>
          <w:color w:val="000000" w:themeColor="text1"/>
          <w:shd w:val="clear" w:color="auto" w:fill="FFFFFF"/>
        </w:rPr>
        <w:t xml:space="preserve"> and </w:t>
      </w:r>
      <w:r>
        <w:rPr>
          <w:rFonts w:ascii="Times New Roman" w:hAnsi="Times New Roman" w:cs="Times New Roman"/>
          <w:color w:val="000000" w:themeColor="text1"/>
          <w:shd w:val="clear" w:color="auto" w:fill="FFFFFF"/>
        </w:rPr>
        <w:t xml:space="preserve">Emmanuel Rodríguez </w:t>
      </w:r>
      <w:r w:rsidRPr="00480BE9">
        <w:rPr>
          <w:rFonts w:ascii="Times New Roman" w:hAnsi="Times New Roman" w:cs="Times New Roman"/>
          <w:color w:val="000000" w:themeColor="text1"/>
          <w:shd w:val="clear" w:color="auto" w:fill="FFFFFF"/>
        </w:rPr>
        <w:t>(2011)</w:t>
      </w:r>
      <w:r>
        <w:rPr>
          <w:rFonts w:ascii="Times New Roman" w:hAnsi="Times New Roman" w:cs="Times New Roman"/>
          <w:color w:val="000000" w:themeColor="text1"/>
          <w:shd w:val="clear" w:color="auto" w:fill="FFFFFF"/>
        </w:rPr>
        <w:t>.</w:t>
      </w:r>
      <w:r w:rsidRPr="00480BE9">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w:t>
      </w:r>
      <w:r w:rsidRPr="00480BE9">
        <w:rPr>
          <w:rFonts w:ascii="Times New Roman" w:hAnsi="Times New Roman" w:cs="Times New Roman"/>
          <w:color w:val="000000" w:themeColor="text1"/>
          <w:shd w:val="clear" w:color="auto" w:fill="FFFFFF"/>
        </w:rPr>
        <w:t>The Spanish m</w:t>
      </w:r>
      <w:r>
        <w:rPr>
          <w:rFonts w:ascii="Times New Roman" w:hAnsi="Times New Roman" w:cs="Times New Roman"/>
          <w:color w:val="000000" w:themeColor="text1"/>
          <w:shd w:val="clear" w:color="auto" w:fill="FFFFFF"/>
        </w:rPr>
        <w:t>odel’,</w:t>
      </w:r>
      <w:r w:rsidRPr="00480BE9">
        <w:rPr>
          <w:rFonts w:ascii="Times New Roman" w:hAnsi="Times New Roman" w:cs="Times New Roman"/>
          <w:color w:val="000000" w:themeColor="text1"/>
          <w:shd w:val="clear" w:color="auto" w:fill="FFFFFF"/>
        </w:rPr>
        <w:t> </w:t>
      </w:r>
      <w:r w:rsidR="00C26987">
        <w:rPr>
          <w:rFonts w:ascii="Times New Roman" w:hAnsi="Times New Roman" w:cs="Times New Roman"/>
          <w:i/>
          <w:iCs/>
          <w:color w:val="000000" w:themeColor="text1"/>
          <w:shd w:val="clear" w:color="auto" w:fill="FFFFFF"/>
        </w:rPr>
        <w:t>New Left R</w:t>
      </w:r>
      <w:r w:rsidRPr="00480BE9">
        <w:rPr>
          <w:rFonts w:ascii="Times New Roman" w:hAnsi="Times New Roman" w:cs="Times New Roman"/>
          <w:i/>
          <w:iCs/>
          <w:color w:val="000000" w:themeColor="text1"/>
          <w:shd w:val="clear" w:color="auto" w:fill="FFFFFF"/>
        </w:rPr>
        <w:t>eview</w:t>
      </w:r>
      <w:r w:rsidRPr="00480BE9">
        <w:rPr>
          <w:rFonts w:ascii="Times New Roman" w:hAnsi="Times New Roman" w:cs="Times New Roman"/>
          <w:color w:val="000000" w:themeColor="text1"/>
          <w:shd w:val="clear" w:color="auto" w:fill="FFFFFF"/>
        </w:rPr>
        <w:t>, </w:t>
      </w:r>
      <w:r w:rsidRPr="00C26987">
        <w:rPr>
          <w:rFonts w:ascii="Times New Roman" w:hAnsi="Times New Roman" w:cs="Times New Roman"/>
          <w:iCs/>
          <w:color w:val="000000" w:themeColor="text1"/>
          <w:shd w:val="clear" w:color="auto" w:fill="FFFFFF"/>
        </w:rPr>
        <w:t>69</w:t>
      </w:r>
      <w:r>
        <w:rPr>
          <w:rFonts w:ascii="Times New Roman" w:hAnsi="Times New Roman" w:cs="Times New Roman"/>
          <w:color w:val="000000" w:themeColor="text1"/>
          <w:shd w:val="clear" w:color="auto" w:fill="FFFFFF"/>
        </w:rPr>
        <w:t>:3,</w:t>
      </w:r>
      <w:r w:rsidRPr="00480BE9">
        <w:rPr>
          <w:rFonts w:ascii="Times New Roman" w:hAnsi="Times New Roman" w:cs="Times New Roman"/>
          <w:color w:val="000000" w:themeColor="text1"/>
          <w:shd w:val="clear" w:color="auto" w:fill="FFFFFF"/>
        </w:rPr>
        <w:t xml:space="preserve"> 5-29.</w:t>
      </w:r>
    </w:p>
    <w:p w14:paraId="76F89CB1" w14:textId="77777777" w:rsidR="00080725" w:rsidRDefault="00080725" w:rsidP="00080725">
      <w:pPr>
        <w:spacing w:line="480" w:lineRule="auto"/>
        <w:ind w:left="720" w:hanging="720"/>
        <w:rPr>
          <w:rFonts w:ascii="Times New Roman" w:hAnsi="Times New Roman" w:cs="Times New Roman"/>
          <w:color w:val="000000" w:themeColor="text1"/>
          <w:shd w:val="clear" w:color="auto" w:fill="FFFFFF"/>
        </w:rPr>
      </w:pPr>
    </w:p>
    <w:p w14:paraId="3AA027F0" w14:textId="77777777" w:rsidR="00080725" w:rsidRPr="00480BE9" w:rsidRDefault="00080725" w:rsidP="00080725">
      <w:pPr>
        <w:spacing w:line="480" w:lineRule="auto"/>
        <w:ind w:left="720" w:hanging="720"/>
        <w:rPr>
          <w:rFonts w:ascii="Times New Roman" w:eastAsia="Times New Roman" w:hAnsi="Times New Roman" w:cs="Times New Roman"/>
          <w:color w:val="000000" w:themeColor="text1"/>
          <w:lang w:val="en-GB"/>
        </w:rPr>
      </w:pPr>
      <w:r>
        <w:rPr>
          <w:rFonts w:ascii="Times New Roman" w:hAnsi="Times New Roman" w:cs="Times New Roman"/>
          <w:color w:val="000000" w:themeColor="text1"/>
          <w:shd w:val="clear" w:color="auto" w:fill="FFFFFF"/>
        </w:rPr>
        <w:t xml:space="preserve">Lutz, Philipp (2018) ‘Variation in policy success: radical right populism and migration policy’, </w:t>
      </w:r>
      <w:r w:rsidRPr="007A70C4">
        <w:rPr>
          <w:rFonts w:ascii="Times New Roman" w:hAnsi="Times New Roman" w:cs="Times New Roman"/>
          <w:i/>
          <w:color w:val="000000" w:themeColor="text1"/>
          <w:shd w:val="clear" w:color="auto" w:fill="FFFFFF"/>
        </w:rPr>
        <w:t>West European Politics,</w:t>
      </w:r>
      <w:r>
        <w:rPr>
          <w:rFonts w:ascii="Times New Roman" w:hAnsi="Times New Roman" w:cs="Times New Roman"/>
          <w:color w:val="000000" w:themeColor="text1"/>
          <w:shd w:val="clear" w:color="auto" w:fill="FFFFFF"/>
        </w:rPr>
        <w:t xml:space="preserve"> 42:3, 517-544.</w:t>
      </w:r>
    </w:p>
    <w:p w14:paraId="2D2902EC" w14:textId="77777777" w:rsidR="00080725" w:rsidRPr="00480BE9" w:rsidRDefault="00080725" w:rsidP="00080725">
      <w:pPr>
        <w:tabs>
          <w:tab w:val="left" w:pos="2571"/>
        </w:tabs>
        <w:spacing w:line="48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ab/>
      </w:r>
    </w:p>
    <w:p w14:paraId="1961DE52" w14:textId="4D1C7979" w:rsidR="00080725" w:rsidRPr="00480BE9" w:rsidRDefault="00080725" w:rsidP="00080725">
      <w:pPr>
        <w:widowControl w:val="0"/>
        <w:autoSpaceDE w:val="0"/>
        <w:autoSpaceDN w:val="0"/>
        <w:adjustRightInd w:val="0"/>
        <w:spacing w:line="480" w:lineRule="auto"/>
        <w:ind w:left="720" w:hanging="720"/>
        <w:rPr>
          <w:rFonts w:ascii="Times New Roman" w:hAnsi="Times New Roman" w:cs="Times New Roman"/>
          <w:color w:val="000000" w:themeColor="text1"/>
        </w:rPr>
      </w:pPr>
      <w:r w:rsidRPr="00480BE9">
        <w:rPr>
          <w:rFonts w:ascii="Times New Roman" w:hAnsi="Times New Roman" w:cs="Times New Roman"/>
          <w:color w:val="000000" w:themeColor="text1"/>
        </w:rPr>
        <w:t>Menz, G</w:t>
      </w:r>
      <w:r>
        <w:rPr>
          <w:rFonts w:ascii="Times New Roman" w:hAnsi="Times New Roman" w:cs="Times New Roman"/>
          <w:color w:val="000000" w:themeColor="text1"/>
        </w:rPr>
        <w:t>eorg</w:t>
      </w:r>
      <w:r w:rsidRPr="00480BE9">
        <w:rPr>
          <w:rFonts w:ascii="Times New Roman" w:hAnsi="Times New Roman" w:cs="Times New Roman"/>
          <w:color w:val="000000" w:themeColor="text1"/>
        </w:rPr>
        <w:t xml:space="preserve"> (2008)</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Pr="00480BE9">
        <w:rPr>
          <w:rFonts w:ascii="Times New Roman" w:hAnsi="Times New Roman" w:cs="Times New Roman"/>
          <w:i/>
          <w:color w:val="000000" w:themeColor="text1"/>
        </w:rPr>
        <w:t>Varieties of Capitalism and Europeanization: National Response Strategies to the Single European Market</w:t>
      </w:r>
      <w:r w:rsidR="00C26987">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Oxford: Oxford University Press.</w:t>
      </w:r>
    </w:p>
    <w:p w14:paraId="5A9AA74F"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7A117263"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r w:rsidRPr="00480BE9">
        <w:rPr>
          <w:rFonts w:ascii="Times New Roman" w:hAnsi="Times New Roman" w:cs="Times New Roman"/>
          <w:color w:val="000000" w:themeColor="text1"/>
        </w:rPr>
        <w:t>Migration Advisory Committee (MAC) (2014)</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Pr="00480BE9">
        <w:rPr>
          <w:rFonts w:ascii="Times New Roman" w:hAnsi="Times New Roman" w:cs="Times New Roman"/>
          <w:i/>
          <w:iCs/>
          <w:color w:val="000000" w:themeColor="text1"/>
        </w:rPr>
        <w:t>Tier 1 (Investor) route: investment thresholds and economic benefits</w:t>
      </w:r>
      <w:r w:rsidRPr="00480BE9">
        <w:rPr>
          <w:rFonts w:ascii="Times New Roman" w:hAnsi="Times New Roman" w:cs="Times New Roman"/>
          <w:color w:val="000000" w:themeColor="text1"/>
        </w:rPr>
        <w:t>, London: Migration Advisory Committee.</w:t>
      </w:r>
    </w:p>
    <w:p w14:paraId="0A5E475D"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5DE476F3"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Parker,</w:t>
      </w:r>
      <w:r w:rsidRPr="00480BE9">
        <w:rPr>
          <w:rFonts w:ascii="Times New Roman" w:hAnsi="Times New Roman" w:cs="Times New Roman"/>
          <w:color w:val="000000" w:themeColor="text1"/>
        </w:rPr>
        <w:t xml:space="preserve"> Owen (2017)</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‘Commercializing citizenship in crisis EU: The case of immigrant investor programmes’, </w:t>
      </w:r>
      <w:r w:rsidRPr="00480BE9">
        <w:rPr>
          <w:rFonts w:ascii="Times New Roman" w:hAnsi="Times New Roman" w:cs="Times New Roman"/>
          <w:i/>
          <w:iCs/>
          <w:color w:val="000000" w:themeColor="text1"/>
        </w:rPr>
        <w:t>JCMS: Journal of Common Market Studies</w:t>
      </w:r>
      <w:r>
        <w:rPr>
          <w:rFonts w:ascii="Times New Roman" w:hAnsi="Times New Roman" w:cs="Times New Roman"/>
          <w:color w:val="000000" w:themeColor="text1"/>
        </w:rPr>
        <w:t>, 55:2,</w:t>
      </w:r>
      <w:r w:rsidRPr="00480BE9">
        <w:rPr>
          <w:rFonts w:ascii="Times New Roman" w:hAnsi="Times New Roman" w:cs="Times New Roman"/>
          <w:color w:val="000000" w:themeColor="text1"/>
        </w:rPr>
        <w:t xml:space="preserve"> 332-348.</w:t>
      </w:r>
    </w:p>
    <w:p w14:paraId="20B44303" w14:textId="77777777" w:rsidR="00080725" w:rsidRPr="00480BE9" w:rsidRDefault="00080725" w:rsidP="00080725">
      <w:pPr>
        <w:spacing w:line="480" w:lineRule="auto"/>
        <w:jc w:val="both"/>
        <w:rPr>
          <w:rFonts w:ascii="Times New Roman" w:eastAsia="Times New Roman" w:hAnsi="Times New Roman" w:cs="Times New Roman"/>
          <w:color w:val="000000" w:themeColor="text1"/>
          <w:shd w:val="clear" w:color="auto" w:fill="FFFFFF"/>
          <w:lang w:val="en-GB"/>
        </w:rPr>
      </w:pPr>
    </w:p>
    <w:p w14:paraId="3E7B91CC"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r w:rsidRPr="00480BE9">
        <w:rPr>
          <w:rFonts w:ascii="Times New Roman" w:hAnsi="Times New Roman" w:cs="Times New Roman"/>
          <w:color w:val="000000" w:themeColor="text1"/>
        </w:rPr>
        <w:t>Ruhs, M</w:t>
      </w:r>
      <w:r>
        <w:rPr>
          <w:rFonts w:ascii="Times New Roman" w:hAnsi="Times New Roman" w:cs="Times New Roman"/>
          <w:color w:val="000000" w:themeColor="text1"/>
        </w:rPr>
        <w:t>artin</w:t>
      </w:r>
      <w:r w:rsidRPr="00480BE9">
        <w:rPr>
          <w:rFonts w:ascii="Times New Roman" w:hAnsi="Times New Roman" w:cs="Times New Roman"/>
          <w:color w:val="000000" w:themeColor="text1"/>
        </w:rPr>
        <w:t xml:space="preserve"> (2013)</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Pr="00480BE9">
        <w:rPr>
          <w:rFonts w:ascii="Times New Roman" w:hAnsi="Times New Roman" w:cs="Times New Roman"/>
          <w:i/>
          <w:color w:val="000000" w:themeColor="text1"/>
        </w:rPr>
        <w:t>The Price of Rights</w:t>
      </w:r>
      <w:r w:rsidRPr="00480BE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Princeton: </w:t>
      </w:r>
      <w:r w:rsidRPr="00480BE9">
        <w:rPr>
          <w:rFonts w:ascii="Times New Roman" w:hAnsi="Times New Roman" w:cs="Times New Roman"/>
          <w:color w:val="000000" w:themeColor="text1"/>
        </w:rPr>
        <w:t>Princeton University Press</w:t>
      </w:r>
    </w:p>
    <w:p w14:paraId="2595126E"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62F0DF33"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r w:rsidRPr="00480BE9">
        <w:rPr>
          <w:rFonts w:ascii="Times New Roman" w:hAnsi="Times New Roman" w:cs="Times New Roman"/>
          <w:color w:val="000000" w:themeColor="text1"/>
        </w:rPr>
        <w:t>Ruhs, M</w:t>
      </w:r>
      <w:r>
        <w:rPr>
          <w:rFonts w:ascii="Times New Roman" w:hAnsi="Times New Roman" w:cs="Times New Roman"/>
          <w:color w:val="000000" w:themeColor="text1"/>
        </w:rPr>
        <w:t>artin</w:t>
      </w:r>
      <w:r w:rsidRPr="00480BE9">
        <w:rPr>
          <w:rFonts w:ascii="Times New Roman" w:hAnsi="Times New Roman" w:cs="Times New Roman"/>
          <w:color w:val="000000" w:themeColor="text1"/>
        </w:rPr>
        <w:t xml:space="preserve"> (2018)</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‘Labor immigration policies in high-income countries: variations across political regimes and varieties of capitalism’, </w:t>
      </w:r>
      <w:r w:rsidRPr="00480BE9">
        <w:rPr>
          <w:rFonts w:ascii="Times New Roman" w:hAnsi="Times New Roman" w:cs="Times New Roman"/>
          <w:i/>
          <w:color w:val="000000" w:themeColor="text1"/>
        </w:rPr>
        <w:t>The Journal of Legal Studies</w:t>
      </w:r>
      <w:r>
        <w:rPr>
          <w:rFonts w:ascii="Times New Roman" w:hAnsi="Times New Roman" w:cs="Times New Roman"/>
          <w:color w:val="000000" w:themeColor="text1"/>
        </w:rPr>
        <w:t xml:space="preserve"> 47:S1,</w:t>
      </w:r>
      <w:r w:rsidRPr="00480BE9">
        <w:rPr>
          <w:rFonts w:ascii="Times New Roman" w:hAnsi="Times New Roman" w:cs="Times New Roman"/>
          <w:color w:val="000000" w:themeColor="text1"/>
        </w:rPr>
        <w:t xml:space="preserve"> 89–S127</w:t>
      </w:r>
    </w:p>
    <w:p w14:paraId="4DAF8E2E"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62EE4EB4"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r w:rsidRPr="00480BE9">
        <w:rPr>
          <w:rFonts w:ascii="Times New Roman" w:hAnsi="Times New Roman" w:cs="Times New Roman"/>
          <w:color w:val="000000" w:themeColor="text1"/>
        </w:rPr>
        <w:t>Sciolino, E</w:t>
      </w:r>
      <w:r>
        <w:rPr>
          <w:rFonts w:ascii="Times New Roman" w:hAnsi="Times New Roman" w:cs="Times New Roman"/>
          <w:color w:val="000000" w:themeColor="text1"/>
        </w:rPr>
        <w:t>laine</w:t>
      </w:r>
      <w:r w:rsidRPr="00480BE9">
        <w:rPr>
          <w:rFonts w:ascii="Times New Roman" w:hAnsi="Times New Roman" w:cs="Times New Roman"/>
          <w:color w:val="000000" w:themeColor="text1"/>
        </w:rPr>
        <w:t xml:space="preserve"> (2007)</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‘Sarkozy wins in </w:t>
      </w:r>
      <w:bookmarkStart w:id="0" w:name="_GoBack"/>
      <w:bookmarkEnd w:id="0"/>
      <w:r w:rsidRPr="00480BE9">
        <w:rPr>
          <w:rFonts w:ascii="Times New Roman" w:hAnsi="Times New Roman" w:cs="Times New Roman"/>
          <w:color w:val="000000" w:themeColor="text1"/>
        </w:rPr>
        <w:t xml:space="preserve">France and vows break with the past’, </w:t>
      </w:r>
      <w:r w:rsidRPr="00480BE9">
        <w:rPr>
          <w:rFonts w:ascii="Times New Roman" w:hAnsi="Times New Roman" w:cs="Times New Roman"/>
          <w:i/>
          <w:color w:val="000000" w:themeColor="text1"/>
        </w:rPr>
        <w:t>New York Times</w:t>
      </w:r>
      <w:r w:rsidRPr="00480BE9">
        <w:rPr>
          <w:rFonts w:ascii="Times New Roman" w:hAnsi="Times New Roman" w:cs="Times New Roman"/>
          <w:color w:val="000000" w:themeColor="text1"/>
        </w:rPr>
        <w:t xml:space="preserve">, 7 May </w:t>
      </w:r>
    </w:p>
    <w:p w14:paraId="6B4E40FB"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341FC51C" w14:textId="6B1DD17F" w:rsidR="00080725" w:rsidRPr="00480BE9" w:rsidRDefault="00080725" w:rsidP="00080725">
      <w:pPr>
        <w:spacing w:line="480" w:lineRule="auto"/>
        <w:ind w:left="720" w:hanging="720"/>
        <w:rPr>
          <w:rFonts w:ascii="Times New Roman" w:eastAsia="Times New Roman" w:hAnsi="Times New Roman" w:cs="Times New Roman"/>
          <w:color w:val="000000" w:themeColor="text1"/>
          <w:lang w:val="en-GB"/>
        </w:rPr>
      </w:pPr>
      <w:r w:rsidRPr="00480BE9">
        <w:rPr>
          <w:rFonts w:ascii="Times New Roman" w:eastAsia="Times New Roman" w:hAnsi="Times New Roman" w:cs="Times New Roman"/>
          <w:iCs/>
          <w:color w:val="000000" w:themeColor="text1"/>
          <w:shd w:val="clear" w:color="auto" w:fill="FFFFFF"/>
          <w:lang w:val="en-GB"/>
        </w:rPr>
        <w:t>Shachar</w:t>
      </w:r>
      <w:r w:rsidRPr="00480BE9" w:rsidDel="00451806">
        <w:rPr>
          <w:rFonts w:ascii="Times New Roman" w:hAnsi="Times New Roman" w:cs="Times New Roman"/>
          <w:color w:val="000000" w:themeColor="text1"/>
        </w:rPr>
        <w:t xml:space="preserve"> </w:t>
      </w:r>
      <w:r w:rsidRPr="00480BE9">
        <w:rPr>
          <w:rFonts w:ascii="Times New Roman" w:hAnsi="Times New Roman" w:cs="Times New Roman"/>
          <w:color w:val="000000" w:themeColor="text1"/>
        </w:rPr>
        <w:t>, A</w:t>
      </w:r>
      <w:r>
        <w:rPr>
          <w:rFonts w:ascii="Times New Roman" w:hAnsi="Times New Roman" w:cs="Times New Roman"/>
          <w:color w:val="000000" w:themeColor="text1"/>
        </w:rPr>
        <w:t>yelet</w:t>
      </w:r>
      <w:r w:rsidRPr="00480BE9">
        <w:rPr>
          <w:rFonts w:ascii="Times New Roman" w:hAnsi="Times New Roman" w:cs="Times New Roman"/>
          <w:color w:val="000000" w:themeColor="text1"/>
        </w:rPr>
        <w:t xml:space="preserve"> (2018)</w:t>
      </w:r>
      <w:r>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‘Citizenship for sale?’, in </w:t>
      </w:r>
      <w:r>
        <w:rPr>
          <w:rFonts w:ascii="Times New Roman" w:eastAsia="Times New Roman" w:hAnsi="Times New Roman" w:cs="Times New Roman"/>
          <w:iCs/>
          <w:color w:val="000000" w:themeColor="text1"/>
          <w:shd w:val="clear" w:color="auto" w:fill="FFFFFF"/>
          <w:lang w:val="en-GB"/>
        </w:rPr>
        <w:t>Ayelet</w:t>
      </w:r>
      <w:r w:rsidRPr="00480BE9">
        <w:rPr>
          <w:rFonts w:ascii="Times New Roman" w:eastAsia="Times New Roman" w:hAnsi="Times New Roman" w:cs="Times New Roman"/>
          <w:iCs/>
          <w:color w:val="000000" w:themeColor="text1"/>
          <w:shd w:val="clear" w:color="auto" w:fill="FFFFFF"/>
          <w:lang w:val="en-GB"/>
        </w:rPr>
        <w:t xml:space="preserve"> Shachar, R</w:t>
      </w:r>
      <w:r>
        <w:rPr>
          <w:rFonts w:ascii="Times New Roman" w:eastAsia="Times New Roman" w:hAnsi="Times New Roman" w:cs="Times New Roman"/>
          <w:iCs/>
          <w:color w:val="000000" w:themeColor="text1"/>
          <w:shd w:val="clear" w:color="auto" w:fill="FFFFFF"/>
          <w:lang w:val="en-GB"/>
        </w:rPr>
        <w:t>ainer</w:t>
      </w:r>
      <w:r w:rsidRPr="00480BE9">
        <w:rPr>
          <w:rFonts w:ascii="Times New Roman" w:eastAsia="Times New Roman" w:hAnsi="Times New Roman" w:cs="Times New Roman"/>
          <w:iCs/>
          <w:color w:val="000000" w:themeColor="text1"/>
          <w:shd w:val="clear" w:color="auto" w:fill="FFFFFF"/>
          <w:lang w:val="en-GB"/>
        </w:rPr>
        <w:t xml:space="preserve"> Baub</w:t>
      </w:r>
      <w:r w:rsidRPr="00480BE9">
        <w:rPr>
          <w:rFonts w:ascii="Times New Roman" w:hAnsi="Times New Roman" w:cs="Times New Roman"/>
          <w:color w:val="000000" w:themeColor="text1"/>
        </w:rPr>
        <w:t>öck, I</w:t>
      </w:r>
      <w:r>
        <w:rPr>
          <w:rFonts w:ascii="Times New Roman" w:hAnsi="Times New Roman" w:cs="Times New Roman"/>
          <w:color w:val="000000" w:themeColor="text1"/>
        </w:rPr>
        <w:t>rene</w:t>
      </w:r>
      <w:r w:rsidRPr="00480BE9">
        <w:rPr>
          <w:rFonts w:ascii="Times New Roman" w:hAnsi="Times New Roman" w:cs="Times New Roman"/>
          <w:color w:val="000000" w:themeColor="text1"/>
        </w:rPr>
        <w:t xml:space="preserve"> Blomeraad and M</w:t>
      </w:r>
      <w:r>
        <w:rPr>
          <w:rFonts w:ascii="Times New Roman" w:hAnsi="Times New Roman" w:cs="Times New Roman"/>
          <w:color w:val="000000" w:themeColor="text1"/>
        </w:rPr>
        <w:t>aarten</w:t>
      </w:r>
      <w:r w:rsidRPr="00480BE9">
        <w:rPr>
          <w:rFonts w:ascii="Times New Roman" w:hAnsi="Times New Roman" w:cs="Times New Roman"/>
          <w:color w:val="000000" w:themeColor="text1"/>
        </w:rPr>
        <w:t xml:space="preserve"> Vink (eds</w:t>
      </w:r>
      <w:r w:rsidR="00C26987">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t>
      </w:r>
      <w:r w:rsidRPr="00480BE9">
        <w:rPr>
          <w:rFonts w:ascii="Times New Roman" w:eastAsia="Times New Roman" w:hAnsi="Times New Roman" w:cs="Times New Roman"/>
          <w:i/>
          <w:iCs/>
          <w:color w:val="000000" w:themeColor="text1"/>
          <w:shd w:val="clear" w:color="auto" w:fill="FFFFFF"/>
          <w:lang w:val="en-GB"/>
        </w:rPr>
        <w:t>The Oxford Handbook of Citizenship</w:t>
      </w:r>
      <w:r>
        <w:rPr>
          <w:rFonts w:ascii="Times New Roman" w:eastAsia="Times New Roman" w:hAnsi="Times New Roman" w:cs="Times New Roman"/>
          <w:i/>
          <w:iCs/>
          <w:color w:val="000000" w:themeColor="text1"/>
          <w:shd w:val="clear" w:color="auto" w:fill="FFFFFF"/>
          <w:lang w:val="en-GB"/>
        </w:rPr>
        <w:t>.</w:t>
      </w:r>
      <w:r w:rsidRPr="00480BE9">
        <w:rPr>
          <w:rFonts w:ascii="Times New Roman" w:eastAsia="Times New Roman" w:hAnsi="Times New Roman" w:cs="Times New Roman"/>
          <w:i/>
          <w:iCs/>
          <w:color w:val="000000" w:themeColor="text1"/>
          <w:shd w:val="clear" w:color="auto" w:fill="FFFFFF"/>
          <w:lang w:val="en-GB"/>
        </w:rPr>
        <w:t xml:space="preserve"> </w:t>
      </w:r>
      <w:r w:rsidR="00C26987">
        <w:rPr>
          <w:rFonts w:ascii="Times New Roman" w:eastAsia="Times New Roman" w:hAnsi="Times New Roman" w:cs="Times New Roman"/>
          <w:iCs/>
          <w:color w:val="000000" w:themeColor="text1"/>
          <w:shd w:val="clear" w:color="auto" w:fill="FFFFFF"/>
          <w:lang w:val="en-GB"/>
        </w:rPr>
        <w:t>Oxford:</w:t>
      </w:r>
      <w:r w:rsidRPr="00480BE9">
        <w:rPr>
          <w:rFonts w:ascii="Times New Roman" w:eastAsia="Times New Roman" w:hAnsi="Times New Roman" w:cs="Times New Roman"/>
          <w:iCs/>
          <w:color w:val="000000" w:themeColor="text1"/>
          <w:shd w:val="clear" w:color="auto" w:fill="FFFFFF"/>
          <w:lang w:val="en-GB"/>
        </w:rPr>
        <w:t xml:space="preserve"> Oxford University Press</w:t>
      </w:r>
      <w:r>
        <w:rPr>
          <w:rFonts w:ascii="Times New Roman" w:eastAsia="Times New Roman" w:hAnsi="Times New Roman" w:cs="Times New Roman"/>
          <w:i/>
          <w:iCs/>
          <w:color w:val="000000" w:themeColor="text1"/>
          <w:shd w:val="clear" w:color="auto" w:fill="FFFFFF"/>
          <w:lang w:val="en-GB"/>
        </w:rPr>
        <w:t>,</w:t>
      </w:r>
      <w:r w:rsidRPr="00480BE9">
        <w:rPr>
          <w:rFonts w:ascii="Times New Roman" w:eastAsia="Times New Roman" w:hAnsi="Times New Roman" w:cs="Times New Roman"/>
          <w:iCs/>
          <w:color w:val="000000" w:themeColor="text1"/>
          <w:shd w:val="clear" w:color="auto" w:fill="FFFFFF"/>
          <w:lang w:val="en-GB"/>
        </w:rPr>
        <w:t xml:space="preserve">789-816. </w:t>
      </w:r>
    </w:p>
    <w:p w14:paraId="41D99A9D" w14:textId="77777777" w:rsidR="00080725" w:rsidRPr="00480BE9" w:rsidRDefault="00080725" w:rsidP="00080725">
      <w:pPr>
        <w:spacing w:line="480" w:lineRule="auto"/>
        <w:jc w:val="both"/>
        <w:rPr>
          <w:rFonts w:ascii="Times New Roman" w:hAnsi="Times New Roman" w:cs="Times New Roman"/>
          <w:color w:val="000000" w:themeColor="text1"/>
        </w:rPr>
      </w:pPr>
    </w:p>
    <w:p w14:paraId="540D51E6" w14:textId="3E95568D" w:rsidR="00080725" w:rsidRPr="00480BE9" w:rsidRDefault="00080725" w:rsidP="00080725">
      <w:pPr>
        <w:spacing w:line="480" w:lineRule="auto"/>
        <w:ind w:left="720" w:hanging="720"/>
        <w:jc w:val="both"/>
        <w:rPr>
          <w:rFonts w:ascii="Times New Roman" w:hAnsi="Times New Roman" w:cs="Times New Roman"/>
          <w:color w:val="000000" w:themeColor="text1"/>
        </w:rPr>
      </w:pPr>
      <w:r w:rsidRPr="00480BE9">
        <w:rPr>
          <w:rFonts w:ascii="Times New Roman" w:hAnsi="Times New Roman" w:cs="Times New Roman"/>
          <w:color w:val="000000" w:themeColor="text1"/>
        </w:rPr>
        <w:t xml:space="preserve">Sumption, Madeleine, and Kate Hooper (2014) </w:t>
      </w:r>
      <w:r w:rsidRPr="00480BE9">
        <w:rPr>
          <w:rFonts w:ascii="Times New Roman" w:hAnsi="Times New Roman" w:cs="Times New Roman"/>
          <w:i/>
          <w:iCs/>
          <w:color w:val="000000" w:themeColor="text1"/>
        </w:rPr>
        <w:t>Selling Visas and Citizenship: Policy Questions form the Global Boom in Investor Migration</w:t>
      </w:r>
      <w:r w:rsidR="00C26987">
        <w:rPr>
          <w:rFonts w:ascii="Times New Roman" w:hAnsi="Times New Roman" w:cs="Times New Roman"/>
          <w:color w:val="000000" w:themeColor="text1"/>
        </w:rPr>
        <w:t>.</w:t>
      </w:r>
      <w:r w:rsidRPr="00480BE9">
        <w:rPr>
          <w:rFonts w:ascii="Times New Roman" w:hAnsi="Times New Roman" w:cs="Times New Roman"/>
          <w:color w:val="000000" w:themeColor="text1"/>
        </w:rPr>
        <w:t xml:space="preserve"> Washington, DC: Migration Policy Institute. </w:t>
      </w:r>
    </w:p>
    <w:p w14:paraId="1E0BCEBB"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46069E2C" w14:textId="272D58BD" w:rsidR="00080725" w:rsidRPr="00480BE9" w:rsidRDefault="00080725" w:rsidP="00080725">
      <w:pPr>
        <w:spacing w:line="480" w:lineRule="auto"/>
        <w:ind w:left="720" w:hanging="720"/>
        <w:rPr>
          <w:rFonts w:ascii="Times New Roman" w:eastAsia="Times New Roman" w:hAnsi="Times New Roman" w:cs="Times New Roman"/>
          <w:color w:val="000000" w:themeColor="text1"/>
        </w:rPr>
      </w:pPr>
      <w:r w:rsidRPr="00480BE9">
        <w:rPr>
          <w:rFonts w:ascii="Times New Roman" w:eastAsia="Times New Roman" w:hAnsi="Times New Roman" w:cs="Times New Roman"/>
          <w:color w:val="000000" w:themeColor="text1"/>
          <w:shd w:val="clear" w:color="auto" w:fill="FFFFFF"/>
        </w:rPr>
        <w:t>Sumption, M</w:t>
      </w:r>
      <w:r>
        <w:rPr>
          <w:rFonts w:ascii="Times New Roman" w:eastAsia="Times New Roman" w:hAnsi="Times New Roman" w:cs="Times New Roman"/>
          <w:color w:val="000000" w:themeColor="text1"/>
          <w:shd w:val="clear" w:color="auto" w:fill="FFFFFF"/>
        </w:rPr>
        <w:t>adeline</w:t>
      </w:r>
      <w:r w:rsidRPr="00480BE9">
        <w:rPr>
          <w:rFonts w:ascii="Times New Roman" w:eastAsia="Times New Roman" w:hAnsi="Times New Roman" w:cs="Times New Roman"/>
          <w:color w:val="000000" w:themeColor="text1"/>
          <w:shd w:val="clear" w:color="auto" w:fill="FFFFFF"/>
        </w:rPr>
        <w:t xml:space="preserve"> (2021)</w:t>
      </w:r>
      <w:r>
        <w:rPr>
          <w:rFonts w:ascii="Times New Roman" w:eastAsia="Times New Roman" w:hAnsi="Times New Roman" w:cs="Times New Roman"/>
          <w:color w:val="000000" w:themeColor="text1"/>
          <w:shd w:val="clear" w:color="auto" w:fill="FFFFFF"/>
        </w:rPr>
        <w:t>.</w:t>
      </w:r>
      <w:r w:rsidRPr="00480BE9">
        <w:rPr>
          <w:rFonts w:ascii="Times New Roman" w:eastAsia="Times New Roman" w:hAnsi="Times New Roman" w:cs="Times New Roman"/>
          <w:color w:val="000000" w:themeColor="text1"/>
          <w:shd w:val="clear" w:color="auto" w:fill="FFFFFF"/>
        </w:rPr>
        <w:t xml:space="preserve"> </w:t>
      </w:r>
      <w:r w:rsidR="00C26987">
        <w:rPr>
          <w:rFonts w:ascii="Times New Roman" w:eastAsia="Times New Roman" w:hAnsi="Times New Roman" w:cs="Times New Roman"/>
          <w:color w:val="000000" w:themeColor="text1"/>
          <w:shd w:val="clear" w:color="auto" w:fill="FFFFFF"/>
        </w:rPr>
        <w:t>‘</w:t>
      </w:r>
      <w:r w:rsidRPr="00480BE9">
        <w:rPr>
          <w:rFonts w:ascii="Times New Roman" w:eastAsia="Times New Roman" w:hAnsi="Times New Roman" w:cs="Times New Roman"/>
          <w:color w:val="000000" w:themeColor="text1"/>
          <w:shd w:val="clear" w:color="auto" w:fill="FFFFFF"/>
        </w:rPr>
        <w:t>Can Investor Residence and Citizenship Programmes be a Policy Success?</w:t>
      </w:r>
      <w:r w:rsidR="00C26987">
        <w:rPr>
          <w:rFonts w:ascii="Times New Roman" w:eastAsia="Times New Roman" w:hAnsi="Times New Roman" w:cs="Times New Roman"/>
          <w:color w:val="000000" w:themeColor="text1"/>
          <w:shd w:val="clear" w:color="auto" w:fill="FFFFFF"/>
        </w:rPr>
        <w:t>’, i</w:t>
      </w:r>
      <w:r w:rsidRPr="00480BE9">
        <w:rPr>
          <w:rFonts w:ascii="Times New Roman" w:eastAsia="Times New Roman" w:hAnsi="Times New Roman" w:cs="Times New Roman"/>
          <w:color w:val="000000" w:themeColor="text1"/>
          <w:shd w:val="clear" w:color="auto" w:fill="FFFFFF"/>
        </w:rPr>
        <w:t>n D</w:t>
      </w:r>
      <w:r w:rsidR="00C26987">
        <w:rPr>
          <w:rFonts w:ascii="Times New Roman" w:eastAsia="Times New Roman" w:hAnsi="Times New Roman" w:cs="Times New Roman"/>
          <w:color w:val="000000" w:themeColor="text1"/>
          <w:shd w:val="clear" w:color="auto" w:fill="FFFFFF"/>
        </w:rPr>
        <w:t>imitry</w:t>
      </w:r>
      <w:r w:rsidRPr="00480BE9">
        <w:rPr>
          <w:rFonts w:ascii="Times New Roman" w:eastAsia="Times New Roman" w:hAnsi="Times New Roman" w:cs="Times New Roman"/>
          <w:color w:val="000000" w:themeColor="text1"/>
          <w:shd w:val="clear" w:color="auto" w:fill="FFFFFF"/>
        </w:rPr>
        <w:t>. Kochenov and K</w:t>
      </w:r>
      <w:r>
        <w:rPr>
          <w:rFonts w:ascii="Times New Roman" w:eastAsia="Times New Roman" w:hAnsi="Times New Roman" w:cs="Times New Roman"/>
          <w:color w:val="000000" w:themeColor="text1"/>
          <w:shd w:val="clear" w:color="auto" w:fill="FFFFFF"/>
        </w:rPr>
        <w:t>ristin</w:t>
      </w:r>
      <w:r w:rsidRPr="00480BE9">
        <w:rPr>
          <w:rFonts w:ascii="Times New Roman" w:eastAsia="Times New Roman" w:hAnsi="Times New Roman" w:cs="Times New Roman"/>
          <w:color w:val="000000" w:themeColor="text1"/>
          <w:shd w:val="clear" w:color="auto" w:fill="FFFFFF"/>
        </w:rPr>
        <w:t>. Surak (eds</w:t>
      </w:r>
      <w:r w:rsidR="00C26987">
        <w:rPr>
          <w:rFonts w:ascii="Times New Roman" w:eastAsia="Times New Roman" w:hAnsi="Times New Roman" w:cs="Times New Roman"/>
          <w:color w:val="000000" w:themeColor="text1"/>
          <w:shd w:val="clear" w:color="auto" w:fill="FFFFFF"/>
        </w:rPr>
        <w:t>.</w:t>
      </w:r>
      <w:r w:rsidRPr="00480BE9">
        <w:rPr>
          <w:rFonts w:ascii="Times New Roman" w:eastAsia="Times New Roman" w:hAnsi="Times New Roman" w:cs="Times New Roman"/>
          <w:color w:val="000000" w:themeColor="text1"/>
          <w:shd w:val="clear" w:color="auto" w:fill="FFFFFF"/>
        </w:rPr>
        <w:t xml:space="preserve">), </w:t>
      </w:r>
      <w:r w:rsidRPr="00755D1A">
        <w:rPr>
          <w:rFonts w:ascii="Times New Roman" w:eastAsia="Times New Roman" w:hAnsi="Times New Roman" w:cs="Times New Roman"/>
          <w:i/>
          <w:color w:val="000000" w:themeColor="text1"/>
          <w:shd w:val="clear" w:color="auto" w:fill="FFFFFF"/>
        </w:rPr>
        <w:t>The Law of Citizenship and Money</w:t>
      </w:r>
      <w:r>
        <w:rPr>
          <w:rFonts w:ascii="Times New Roman" w:eastAsia="Times New Roman" w:hAnsi="Times New Roman" w:cs="Times New Roman"/>
          <w:color w:val="000000" w:themeColor="text1"/>
          <w:shd w:val="clear" w:color="auto" w:fill="FFFFFF"/>
        </w:rPr>
        <w:t>. Cambridge:</w:t>
      </w:r>
      <w:r w:rsidRPr="00480BE9">
        <w:rPr>
          <w:rFonts w:ascii="Times New Roman" w:eastAsia="Times New Roman" w:hAnsi="Times New Roman" w:cs="Times New Roman"/>
          <w:color w:val="000000" w:themeColor="text1"/>
          <w:shd w:val="clear" w:color="auto" w:fill="FFFFFF"/>
        </w:rPr>
        <w:t xml:space="preserve"> Cambridge University Press </w:t>
      </w:r>
    </w:p>
    <w:p w14:paraId="06EEC758" w14:textId="77777777" w:rsidR="00080725" w:rsidRPr="00480BE9" w:rsidRDefault="00080725" w:rsidP="00080725">
      <w:pPr>
        <w:spacing w:line="480" w:lineRule="auto"/>
        <w:ind w:left="720" w:hanging="720"/>
        <w:jc w:val="both"/>
        <w:rPr>
          <w:rFonts w:ascii="Times New Roman" w:hAnsi="Times New Roman" w:cs="Times New Roman"/>
          <w:color w:val="000000" w:themeColor="text1"/>
        </w:rPr>
      </w:pPr>
    </w:p>
    <w:p w14:paraId="116227C7" w14:textId="77777777" w:rsidR="00080725"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r w:rsidRPr="00480BE9">
        <w:rPr>
          <w:rFonts w:ascii="Times New Roman" w:eastAsia="Times New Roman" w:hAnsi="Times New Roman" w:cs="Times New Roman"/>
          <w:color w:val="000000" w:themeColor="text1"/>
          <w:shd w:val="clear" w:color="auto" w:fill="FFFFFF"/>
          <w:lang w:val="en-GB"/>
        </w:rPr>
        <w:t>Surak, K</w:t>
      </w:r>
      <w:r>
        <w:rPr>
          <w:rFonts w:ascii="Times New Roman" w:eastAsia="Times New Roman" w:hAnsi="Times New Roman" w:cs="Times New Roman"/>
          <w:color w:val="000000" w:themeColor="text1"/>
          <w:shd w:val="clear" w:color="auto" w:fill="FFFFFF"/>
          <w:lang w:val="en-GB"/>
        </w:rPr>
        <w:t>ristin</w:t>
      </w:r>
      <w:r w:rsidRPr="00480BE9">
        <w:rPr>
          <w:rFonts w:ascii="Times New Roman" w:eastAsia="Times New Roman" w:hAnsi="Times New Roman" w:cs="Times New Roman"/>
          <w:color w:val="000000" w:themeColor="text1"/>
          <w:shd w:val="clear" w:color="auto" w:fill="FFFFFF"/>
          <w:lang w:val="en-GB"/>
        </w:rPr>
        <w:t xml:space="preserve"> (2020)</w:t>
      </w:r>
      <w:r>
        <w:rPr>
          <w:rFonts w:ascii="Times New Roman" w:eastAsia="Times New Roman" w:hAnsi="Times New Roman" w:cs="Times New Roman"/>
          <w:color w:val="000000" w:themeColor="text1"/>
          <w:shd w:val="clear" w:color="auto" w:fill="FFFFFF"/>
          <w:lang w:val="en-GB"/>
        </w:rPr>
        <w:t>.</w:t>
      </w:r>
      <w:r w:rsidRPr="00480BE9">
        <w:rPr>
          <w:rFonts w:ascii="Times New Roman" w:eastAsia="Times New Roman" w:hAnsi="Times New Roman" w:cs="Times New Roman"/>
          <w:color w:val="000000" w:themeColor="text1"/>
          <w:shd w:val="clear" w:color="auto" w:fill="FFFFFF"/>
          <w:lang w:val="en-GB"/>
        </w:rPr>
        <w:t xml:space="preserve"> ‘Who wants to buy a visa? Comparing the uptake of residence by investment programs in the European Union’, </w:t>
      </w:r>
      <w:r w:rsidRPr="00480BE9">
        <w:rPr>
          <w:rFonts w:ascii="Times New Roman" w:eastAsia="Times New Roman" w:hAnsi="Times New Roman" w:cs="Times New Roman"/>
          <w:i/>
          <w:iCs/>
          <w:color w:val="000000" w:themeColor="text1"/>
          <w:shd w:val="clear" w:color="auto" w:fill="FFFFFF"/>
          <w:lang w:val="en-GB"/>
        </w:rPr>
        <w:t>Journal of Contemporary European Studies</w:t>
      </w:r>
      <w:r w:rsidRPr="00480BE9">
        <w:rPr>
          <w:rFonts w:ascii="Times New Roman" w:eastAsia="Times New Roman" w:hAnsi="Times New Roman" w:cs="Times New Roman"/>
          <w:color w:val="000000" w:themeColor="text1"/>
          <w:shd w:val="clear" w:color="auto" w:fill="FFFFFF"/>
          <w:lang w:val="en-GB"/>
        </w:rPr>
        <w:t>, </w:t>
      </w:r>
      <w:r w:rsidRPr="00C26987">
        <w:rPr>
          <w:rFonts w:ascii="Times New Roman" w:eastAsia="Times New Roman" w:hAnsi="Times New Roman" w:cs="Times New Roman"/>
          <w:iCs/>
          <w:color w:val="000000" w:themeColor="text1"/>
          <w:shd w:val="clear" w:color="auto" w:fill="FFFFFF"/>
          <w:lang w:val="en-GB"/>
        </w:rPr>
        <w:t>30</w:t>
      </w:r>
      <w:r w:rsidRPr="00C26987">
        <w:rPr>
          <w:rFonts w:ascii="Times New Roman" w:eastAsia="Times New Roman" w:hAnsi="Times New Roman" w:cs="Times New Roman"/>
          <w:color w:val="000000" w:themeColor="text1"/>
          <w:shd w:val="clear" w:color="auto" w:fill="FFFFFF"/>
          <w:lang w:val="en-GB"/>
        </w:rPr>
        <w:t>:</w:t>
      </w:r>
      <w:r>
        <w:rPr>
          <w:rFonts w:ascii="Times New Roman" w:eastAsia="Times New Roman" w:hAnsi="Times New Roman" w:cs="Times New Roman"/>
          <w:color w:val="000000" w:themeColor="text1"/>
          <w:shd w:val="clear" w:color="auto" w:fill="FFFFFF"/>
          <w:lang w:val="en-GB"/>
        </w:rPr>
        <w:t>1,</w:t>
      </w:r>
      <w:r w:rsidRPr="00480BE9">
        <w:rPr>
          <w:rFonts w:ascii="Times New Roman" w:eastAsia="Times New Roman" w:hAnsi="Times New Roman" w:cs="Times New Roman"/>
          <w:color w:val="000000" w:themeColor="text1"/>
          <w:shd w:val="clear" w:color="auto" w:fill="FFFFFF"/>
          <w:lang w:val="en-GB"/>
        </w:rPr>
        <w:t>151-169.</w:t>
      </w:r>
    </w:p>
    <w:p w14:paraId="7D9CC898" w14:textId="77777777" w:rsidR="00080725" w:rsidRPr="00255464"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p>
    <w:p w14:paraId="02C85E1E" w14:textId="77777777" w:rsidR="00080725" w:rsidRPr="00480BE9"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r w:rsidRPr="00480BE9">
        <w:rPr>
          <w:rFonts w:ascii="Times New Roman" w:eastAsia="Times New Roman" w:hAnsi="Times New Roman" w:cs="Times New Roman"/>
          <w:color w:val="000000" w:themeColor="text1"/>
          <w:shd w:val="clear" w:color="auto" w:fill="FFFFFF"/>
          <w:lang w:val="en-GB"/>
        </w:rPr>
        <w:t>Surak, K</w:t>
      </w:r>
      <w:r>
        <w:rPr>
          <w:rFonts w:ascii="Times New Roman" w:eastAsia="Times New Roman" w:hAnsi="Times New Roman" w:cs="Times New Roman"/>
          <w:color w:val="000000" w:themeColor="text1"/>
          <w:shd w:val="clear" w:color="auto" w:fill="FFFFFF"/>
          <w:lang w:val="en-GB"/>
        </w:rPr>
        <w:t>ristin</w:t>
      </w:r>
      <w:r w:rsidRPr="00480BE9">
        <w:rPr>
          <w:rFonts w:ascii="Times New Roman" w:eastAsia="Times New Roman" w:hAnsi="Times New Roman" w:cs="Times New Roman"/>
          <w:color w:val="000000" w:themeColor="text1"/>
          <w:shd w:val="clear" w:color="auto" w:fill="FFFFFF"/>
          <w:lang w:val="en-GB"/>
        </w:rPr>
        <w:t xml:space="preserve"> and </w:t>
      </w:r>
      <w:r>
        <w:rPr>
          <w:rFonts w:ascii="Times New Roman" w:eastAsia="Times New Roman" w:hAnsi="Times New Roman" w:cs="Times New Roman"/>
          <w:color w:val="000000" w:themeColor="text1"/>
          <w:shd w:val="clear" w:color="auto" w:fill="FFFFFF"/>
          <w:lang w:val="en-GB"/>
        </w:rPr>
        <w:t>Yusuke Tsuzuki</w:t>
      </w:r>
      <w:r w:rsidRPr="00480BE9">
        <w:rPr>
          <w:rFonts w:ascii="Times New Roman" w:eastAsia="Times New Roman" w:hAnsi="Times New Roman" w:cs="Times New Roman"/>
          <w:color w:val="000000" w:themeColor="text1"/>
          <w:shd w:val="clear" w:color="auto" w:fill="FFFFFF"/>
          <w:lang w:val="en-GB"/>
        </w:rPr>
        <w:t xml:space="preserve"> (2021)</w:t>
      </w:r>
      <w:r>
        <w:rPr>
          <w:rFonts w:ascii="Times New Roman" w:eastAsia="Times New Roman" w:hAnsi="Times New Roman" w:cs="Times New Roman"/>
          <w:color w:val="000000" w:themeColor="text1"/>
          <w:shd w:val="clear" w:color="auto" w:fill="FFFFFF"/>
          <w:lang w:val="en-GB"/>
        </w:rPr>
        <w:t>.</w:t>
      </w:r>
      <w:r w:rsidRPr="00480BE9">
        <w:rPr>
          <w:rFonts w:ascii="Times New Roman" w:eastAsia="Times New Roman" w:hAnsi="Times New Roman" w:cs="Times New Roman"/>
          <w:color w:val="000000" w:themeColor="text1"/>
          <w:shd w:val="clear" w:color="auto" w:fill="FFFFFF"/>
          <w:lang w:val="en-GB"/>
        </w:rPr>
        <w:t xml:space="preserve"> ‘Are golden visas a golden opportunity? Assessing the economic origins and outcomes of residence by investment programmes in the EU’, </w:t>
      </w:r>
      <w:r w:rsidRPr="00480BE9">
        <w:rPr>
          <w:rFonts w:ascii="Times New Roman" w:eastAsia="Times New Roman" w:hAnsi="Times New Roman" w:cs="Times New Roman"/>
          <w:i/>
          <w:iCs/>
          <w:color w:val="000000" w:themeColor="text1"/>
          <w:shd w:val="clear" w:color="auto" w:fill="FFFFFF"/>
          <w:lang w:val="en-GB"/>
        </w:rPr>
        <w:t>Journal of Ethnic and Migration Studies</w:t>
      </w:r>
      <w:r w:rsidRPr="00480BE9">
        <w:rPr>
          <w:rFonts w:ascii="Times New Roman" w:eastAsia="Times New Roman" w:hAnsi="Times New Roman" w:cs="Times New Roman"/>
          <w:color w:val="000000" w:themeColor="text1"/>
          <w:shd w:val="clear" w:color="auto" w:fill="FFFFFF"/>
          <w:lang w:val="en-GB"/>
        </w:rPr>
        <w:t>, </w:t>
      </w:r>
      <w:r w:rsidRPr="00C26987">
        <w:rPr>
          <w:rFonts w:ascii="Times New Roman" w:eastAsia="Times New Roman" w:hAnsi="Times New Roman" w:cs="Times New Roman"/>
          <w:iCs/>
          <w:color w:val="000000" w:themeColor="text1"/>
          <w:shd w:val="clear" w:color="auto" w:fill="FFFFFF"/>
          <w:lang w:val="en-GB"/>
        </w:rPr>
        <w:t>47</w:t>
      </w:r>
      <w:r>
        <w:rPr>
          <w:rFonts w:ascii="Times New Roman" w:eastAsia="Times New Roman" w:hAnsi="Times New Roman" w:cs="Times New Roman"/>
          <w:color w:val="000000" w:themeColor="text1"/>
          <w:shd w:val="clear" w:color="auto" w:fill="FFFFFF"/>
          <w:lang w:val="en-GB"/>
        </w:rPr>
        <w:t>:</w:t>
      </w:r>
      <w:r w:rsidRPr="00480BE9">
        <w:rPr>
          <w:rFonts w:ascii="Times New Roman" w:eastAsia="Times New Roman" w:hAnsi="Times New Roman" w:cs="Times New Roman"/>
          <w:color w:val="000000" w:themeColor="text1"/>
          <w:shd w:val="clear" w:color="auto" w:fill="FFFFFF"/>
          <w:lang w:val="en-GB"/>
        </w:rPr>
        <w:t>15</w:t>
      </w:r>
      <w:r>
        <w:rPr>
          <w:rFonts w:ascii="Times New Roman" w:eastAsia="Times New Roman" w:hAnsi="Times New Roman" w:cs="Times New Roman"/>
          <w:color w:val="000000" w:themeColor="text1"/>
          <w:shd w:val="clear" w:color="auto" w:fill="FFFFFF"/>
          <w:lang w:val="en-GB"/>
        </w:rPr>
        <w:t>,</w:t>
      </w:r>
      <w:r w:rsidRPr="00480BE9">
        <w:rPr>
          <w:rFonts w:ascii="Times New Roman" w:eastAsia="Times New Roman" w:hAnsi="Times New Roman" w:cs="Times New Roman"/>
          <w:color w:val="000000" w:themeColor="text1"/>
          <w:shd w:val="clear" w:color="auto" w:fill="FFFFFF"/>
          <w:lang w:val="en-GB"/>
        </w:rPr>
        <w:t xml:space="preserve"> 3367-3389.</w:t>
      </w:r>
    </w:p>
    <w:p w14:paraId="5BCF51C7" w14:textId="77777777" w:rsidR="00080725" w:rsidRPr="00480BE9" w:rsidRDefault="00080725" w:rsidP="00080725">
      <w:pPr>
        <w:spacing w:line="480" w:lineRule="auto"/>
        <w:rPr>
          <w:rFonts w:ascii="Times New Roman" w:eastAsia="Times New Roman" w:hAnsi="Times New Roman" w:cs="Times New Roman"/>
          <w:color w:val="000000" w:themeColor="text1"/>
          <w:shd w:val="clear" w:color="auto" w:fill="FFFFFF"/>
          <w:lang w:val="en-GB"/>
        </w:rPr>
      </w:pPr>
    </w:p>
    <w:p w14:paraId="3B8137EE" w14:textId="77777777" w:rsidR="00080725"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r w:rsidRPr="00480BE9">
        <w:rPr>
          <w:rFonts w:ascii="Times New Roman" w:eastAsia="Times New Roman" w:hAnsi="Times New Roman" w:cs="Times New Roman"/>
          <w:color w:val="000000" w:themeColor="text1"/>
          <w:shd w:val="clear" w:color="auto" w:fill="FFFFFF"/>
          <w:lang w:val="en-GB"/>
        </w:rPr>
        <w:t>Transparency International UK (2015)</w:t>
      </w:r>
      <w:r>
        <w:rPr>
          <w:rFonts w:ascii="Times New Roman" w:eastAsia="Times New Roman" w:hAnsi="Times New Roman" w:cs="Times New Roman"/>
          <w:color w:val="000000" w:themeColor="text1"/>
          <w:shd w:val="clear" w:color="auto" w:fill="FFFFFF"/>
          <w:lang w:val="en-GB"/>
        </w:rPr>
        <w:t>.</w:t>
      </w:r>
      <w:r w:rsidRPr="00480BE9">
        <w:rPr>
          <w:rFonts w:ascii="Times New Roman" w:eastAsia="Times New Roman" w:hAnsi="Times New Roman" w:cs="Times New Roman"/>
          <w:color w:val="000000" w:themeColor="text1"/>
          <w:shd w:val="clear" w:color="auto" w:fill="FFFFFF"/>
          <w:lang w:val="en-GB"/>
        </w:rPr>
        <w:t xml:space="preserve"> </w:t>
      </w:r>
      <w:r w:rsidRPr="00480BE9">
        <w:rPr>
          <w:rFonts w:ascii="Times New Roman" w:eastAsia="Times New Roman" w:hAnsi="Times New Roman" w:cs="Times New Roman"/>
          <w:i/>
          <w:iCs/>
          <w:color w:val="000000" w:themeColor="text1"/>
          <w:shd w:val="clear" w:color="auto" w:fill="FFFFFF"/>
          <w:lang w:val="en-GB"/>
        </w:rPr>
        <w:t>Gold Rush: Investment Visas and Corrupt Capital Flows into the UK</w:t>
      </w:r>
      <w:r w:rsidRPr="00480BE9">
        <w:rPr>
          <w:rFonts w:ascii="Times New Roman" w:eastAsia="Times New Roman" w:hAnsi="Times New Roman" w:cs="Times New Roman"/>
          <w:color w:val="000000" w:themeColor="text1"/>
          <w:shd w:val="clear" w:color="auto" w:fill="FFFFFF"/>
          <w:lang w:val="en-GB"/>
        </w:rPr>
        <w:t>, London: Transparency International UK.</w:t>
      </w:r>
    </w:p>
    <w:p w14:paraId="674B80DF" w14:textId="77777777" w:rsidR="00080725" w:rsidRDefault="00080725" w:rsidP="00080725">
      <w:pPr>
        <w:spacing w:line="480" w:lineRule="auto"/>
        <w:ind w:left="720" w:hanging="720"/>
        <w:rPr>
          <w:rFonts w:ascii="Times New Roman" w:eastAsia="Times New Roman" w:hAnsi="Times New Roman" w:cs="Times New Roman"/>
          <w:color w:val="000000" w:themeColor="text1"/>
          <w:shd w:val="clear" w:color="auto" w:fill="FFFFFF"/>
          <w:lang w:val="en-GB"/>
        </w:rPr>
      </w:pPr>
    </w:p>
    <w:p w14:paraId="569BDBED" w14:textId="77777777" w:rsidR="00080725" w:rsidRPr="00480BE9" w:rsidRDefault="00080725" w:rsidP="00080725">
      <w:pPr>
        <w:spacing w:line="480" w:lineRule="auto"/>
        <w:ind w:left="720" w:hanging="720"/>
        <w:rPr>
          <w:rFonts w:ascii="Times New Roman" w:hAnsi="Times New Roman" w:cs="Times New Roman"/>
          <w:color w:val="000000" w:themeColor="text1"/>
        </w:rPr>
      </w:pPr>
      <w:r>
        <w:rPr>
          <w:rFonts w:ascii="Times New Roman" w:eastAsia="Times New Roman" w:hAnsi="Times New Roman" w:cs="Times New Roman"/>
          <w:color w:val="000000" w:themeColor="text1"/>
          <w:shd w:val="clear" w:color="auto" w:fill="FFFFFF"/>
          <w:lang w:val="en-GB"/>
        </w:rPr>
        <w:t xml:space="preserve">Wright, Chris (2012). ‘Policy Legacies, Visa Reform and the Resilience of Immigration Politics’, </w:t>
      </w:r>
      <w:r w:rsidRPr="00851F0F">
        <w:rPr>
          <w:rFonts w:ascii="Times New Roman" w:eastAsia="Times New Roman" w:hAnsi="Times New Roman" w:cs="Times New Roman"/>
          <w:i/>
          <w:color w:val="000000" w:themeColor="text1"/>
          <w:shd w:val="clear" w:color="auto" w:fill="FFFFFF"/>
          <w:lang w:val="en-GB"/>
        </w:rPr>
        <w:t>West European Politics,</w:t>
      </w:r>
      <w:r>
        <w:rPr>
          <w:rFonts w:ascii="Times New Roman" w:eastAsia="Times New Roman" w:hAnsi="Times New Roman" w:cs="Times New Roman"/>
          <w:color w:val="000000" w:themeColor="text1"/>
          <w:shd w:val="clear" w:color="auto" w:fill="FFFFFF"/>
          <w:lang w:val="en-GB"/>
        </w:rPr>
        <w:t xml:space="preserve"> 35:4, 726-755.</w:t>
      </w:r>
    </w:p>
    <w:p w14:paraId="5F8D4052" w14:textId="77777777" w:rsidR="00080725" w:rsidRDefault="00080725" w:rsidP="00080725">
      <w:pPr>
        <w:pStyle w:val="EndnoteText"/>
        <w:spacing w:line="480" w:lineRule="auto"/>
        <w:rPr>
          <w:rFonts w:ascii="Times New Roman" w:hAnsi="Times New Roman" w:cs="Times New Roman"/>
          <w:b/>
        </w:rPr>
      </w:pPr>
    </w:p>
    <w:p w14:paraId="48E97B61" w14:textId="77777777" w:rsidR="00080725" w:rsidRDefault="00080725" w:rsidP="00080725">
      <w:pPr>
        <w:pStyle w:val="EndnoteText"/>
        <w:spacing w:line="480" w:lineRule="auto"/>
        <w:rPr>
          <w:rFonts w:ascii="Times New Roman" w:hAnsi="Times New Roman" w:cs="Times New Roman"/>
          <w:b/>
        </w:rPr>
      </w:pPr>
    </w:p>
    <w:p w14:paraId="43339142" w14:textId="77777777" w:rsidR="00080725" w:rsidRDefault="00080725" w:rsidP="00080725">
      <w:pPr>
        <w:pStyle w:val="EndnoteText"/>
        <w:spacing w:line="480" w:lineRule="auto"/>
        <w:rPr>
          <w:rFonts w:ascii="Times New Roman" w:hAnsi="Times New Roman" w:cs="Times New Roman"/>
          <w:b/>
        </w:rPr>
      </w:pPr>
      <w:r w:rsidRPr="009E7006">
        <w:rPr>
          <w:rFonts w:ascii="Times New Roman" w:hAnsi="Times New Roman" w:cs="Times New Roman"/>
          <w:b/>
        </w:rPr>
        <w:t xml:space="preserve">Disclosure statement </w:t>
      </w:r>
    </w:p>
    <w:p w14:paraId="2C586559" w14:textId="77777777" w:rsidR="00080725" w:rsidRDefault="00080725" w:rsidP="00080725">
      <w:pPr>
        <w:pStyle w:val="EndnoteText"/>
        <w:spacing w:line="480" w:lineRule="auto"/>
        <w:rPr>
          <w:rFonts w:ascii="Times New Roman" w:hAnsi="Times New Roman" w:cs="Times New Roman"/>
        </w:rPr>
      </w:pPr>
      <w:r>
        <w:rPr>
          <w:rFonts w:ascii="Times New Roman" w:hAnsi="Times New Roman" w:cs="Times New Roman"/>
        </w:rPr>
        <w:t xml:space="preserve">No potential conflict of interest was reported by the authors </w:t>
      </w:r>
    </w:p>
    <w:p w14:paraId="2CDABAE2" w14:textId="77777777" w:rsidR="00080725" w:rsidRDefault="00080725" w:rsidP="00DC336A">
      <w:pPr>
        <w:pStyle w:val="EndnoteText"/>
        <w:spacing w:line="480" w:lineRule="auto"/>
        <w:rPr>
          <w:rFonts w:ascii="Times New Roman" w:hAnsi="Times New Roman" w:cs="Times New Roman"/>
          <w:b/>
        </w:rPr>
      </w:pPr>
    </w:p>
    <w:p w14:paraId="5E403063" w14:textId="77777777" w:rsidR="00080725" w:rsidRDefault="00080725" w:rsidP="00DC336A">
      <w:pPr>
        <w:pStyle w:val="EndnoteText"/>
        <w:spacing w:line="480" w:lineRule="auto"/>
        <w:rPr>
          <w:rFonts w:ascii="Times New Roman" w:hAnsi="Times New Roman" w:cs="Times New Roman"/>
          <w:b/>
        </w:rPr>
      </w:pPr>
    </w:p>
    <w:p w14:paraId="78731B2B" w14:textId="42F785F4" w:rsidR="00080725" w:rsidRPr="00080725" w:rsidRDefault="00080725" w:rsidP="00DC336A">
      <w:pPr>
        <w:pStyle w:val="EndnoteText"/>
        <w:spacing w:line="480" w:lineRule="auto"/>
        <w:rPr>
          <w:rFonts w:ascii="Times New Roman" w:hAnsi="Times New Roman" w:cs="Times New Roman"/>
          <w:b/>
        </w:rPr>
      </w:pPr>
      <w:r w:rsidRPr="009E7006">
        <w:rPr>
          <w:rFonts w:ascii="Times New Roman" w:hAnsi="Times New Roman" w:cs="Times New Roman"/>
          <w:b/>
        </w:rPr>
        <w:t xml:space="preserve">Notes on contributors </w:t>
      </w:r>
    </w:p>
    <w:p w14:paraId="6A95BAB9" w14:textId="1CC6B2A0" w:rsidR="00080725" w:rsidRPr="009E7006" w:rsidRDefault="00080725" w:rsidP="00DC336A">
      <w:pPr>
        <w:pStyle w:val="EndnoteText"/>
        <w:spacing w:line="480" w:lineRule="auto"/>
        <w:rPr>
          <w:rFonts w:ascii="Times New Roman" w:hAnsi="Times New Roman" w:cs="Times New Roman"/>
        </w:rPr>
      </w:pPr>
      <w:r w:rsidRPr="009E7006">
        <w:rPr>
          <w:rFonts w:ascii="Times New Roman" w:hAnsi="Times New Roman" w:cs="Times New Roman"/>
        </w:rPr>
        <w:t>Erica Consterdine is a senior lecturer in public policy at the Department for Politics, Philosophy and Religion, Lancaster University. Her research focuses on immigration policy and governance and has been published in</w:t>
      </w:r>
      <w:r>
        <w:rPr>
          <w:rFonts w:ascii="Times New Roman" w:hAnsi="Times New Roman" w:cs="Times New Roman"/>
        </w:rPr>
        <w:t xml:space="preserve"> the</w:t>
      </w:r>
      <w:r w:rsidRPr="009E7006">
        <w:rPr>
          <w:rFonts w:ascii="Times New Roman" w:hAnsi="Times New Roman" w:cs="Times New Roman"/>
        </w:rPr>
        <w:t xml:space="preserve"> </w:t>
      </w:r>
      <w:r w:rsidRPr="009E7006">
        <w:rPr>
          <w:rFonts w:ascii="Times New Roman" w:hAnsi="Times New Roman" w:cs="Times New Roman"/>
          <w:i/>
        </w:rPr>
        <w:t>Journal of European Public Policy</w:t>
      </w:r>
      <w:r w:rsidRPr="009E7006">
        <w:rPr>
          <w:rFonts w:ascii="Times New Roman" w:hAnsi="Times New Roman" w:cs="Times New Roman"/>
        </w:rPr>
        <w:t xml:space="preserve"> and </w:t>
      </w:r>
      <w:r w:rsidRPr="009E7006">
        <w:rPr>
          <w:rFonts w:ascii="Times New Roman" w:hAnsi="Times New Roman" w:cs="Times New Roman"/>
          <w:i/>
        </w:rPr>
        <w:t>British Journal of Politics and International Relations</w:t>
      </w:r>
      <w:r w:rsidRPr="009E7006">
        <w:rPr>
          <w:rFonts w:ascii="Times New Roman" w:hAnsi="Times New Roman" w:cs="Times New Roman"/>
        </w:rPr>
        <w:t xml:space="preserve"> amongst </w:t>
      </w:r>
      <w:r>
        <w:rPr>
          <w:rFonts w:ascii="Times New Roman" w:hAnsi="Times New Roman" w:cs="Times New Roman"/>
        </w:rPr>
        <w:t>o</w:t>
      </w:r>
      <w:r w:rsidRPr="009E7006">
        <w:rPr>
          <w:rFonts w:ascii="Times New Roman" w:hAnsi="Times New Roman" w:cs="Times New Roman"/>
        </w:rPr>
        <w:t>ther</w:t>
      </w:r>
      <w:r>
        <w:rPr>
          <w:rFonts w:ascii="Times New Roman" w:hAnsi="Times New Roman" w:cs="Times New Roman"/>
        </w:rPr>
        <w:t xml:space="preserve">s. </w:t>
      </w:r>
      <w:r w:rsidRPr="009E7006">
        <w:rPr>
          <w:rFonts w:ascii="Times New Roman" w:hAnsi="Times New Roman" w:cs="Times New Roman"/>
        </w:rPr>
        <w:t>[e.consterdine@lancaster.ac.uk].</w:t>
      </w:r>
    </w:p>
    <w:p w14:paraId="5476DDC2" w14:textId="3842F599" w:rsidR="00080725" w:rsidRPr="00080725" w:rsidRDefault="00080725" w:rsidP="00DC336A">
      <w:pPr>
        <w:pStyle w:val="EndnoteText"/>
        <w:spacing w:line="480" w:lineRule="auto"/>
        <w:rPr>
          <w:rFonts w:ascii="Times New Roman" w:hAnsi="Times New Roman" w:cs="Times New Roman"/>
        </w:rPr>
      </w:pPr>
      <w:r w:rsidRPr="00080725">
        <w:rPr>
          <w:rFonts w:ascii="Times New Roman" w:hAnsi="Times New Roman" w:cs="Times New Roman"/>
        </w:rPr>
        <w:t xml:space="preserve">ORCID number: 0000-0001-7661-762X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yriad Pro">
    <w:altName w:val="Cambria"/>
    <w:panose1 w:val="00000000000000000000"/>
    <w:charset w:val="00"/>
    <w:family w:val="swiss"/>
    <w:notTrueType/>
    <w:pitch w:val="default"/>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Noteworthy Light">
    <w:panose1 w:val="02000400000000000000"/>
    <w:charset w:val="00"/>
    <w:family w:val="auto"/>
    <w:pitch w:val="variable"/>
    <w:sig w:usb0="8000006F" w:usb1="08000048" w:usb2="14600000" w:usb3="00000000" w:csb0="0000011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56524623"/>
      <w:docPartObj>
        <w:docPartGallery w:val="Page Numbers (Bottom of Page)"/>
        <w:docPartUnique/>
      </w:docPartObj>
    </w:sdtPr>
    <w:sdtContent>
      <w:p w14:paraId="4F27B48E" w14:textId="77777777" w:rsidR="00080725" w:rsidRDefault="00080725" w:rsidP="002B45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68726" w14:textId="77777777" w:rsidR="00080725" w:rsidRDefault="0008072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23276499"/>
      <w:docPartObj>
        <w:docPartGallery w:val="Page Numbers (Bottom of Page)"/>
        <w:docPartUnique/>
      </w:docPartObj>
    </w:sdtPr>
    <w:sdtContent>
      <w:p w14:paraId="3C5B4BF1" w14:textId="77777777" w:rsidR="00080725" w:rsidRDefault="00080725" w:rsidP="002B45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26987">
          <w:rPr>
            <w:rStyle w:val="PageNumber"/>
            <w:noProof/>
          </w:rPr>
          <w:t>40</w:t>
        </w:r>
        <w:r>
          <w:rPr>
            <w:rStyle w:val="PageNumber"/>
          </w:rPr>
          <w:fldChar w:fldCharType="end"/>
        </w:r>
      </w:p>
    </w:sdtContent>
  </w:sdt>
  <w:p w14:paraId="157D3365" w14:textId="77777777" w:rsidR="00080725" w:rsidRDefault="000807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7F0C7" w14:textId="77777777" w:rsidR="00080725" w:rsidRDefault="00080725" w:rsidP="00DC336A">
      <w:r>
        <w:separator/>
      </w:r>
    </w:p>
  </w:footnote>
  <w:footnote w:type="continuationSeparator" w:id="0">
    <w:p w14:paraId="1797FD87" w14:textId="77777777" w:rsidR="00080725" w:rsidRDefault="00080725" w:rsidP="00DC33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390F"/>
    <w:multiLevelType w:val="hybridMultilevel"/>
    <w:tmpl w:val="7164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73538"/>
    <w:multiLevelType w:val="hybridMultilevel"/>
    <w:tmpl w:val="E70A060A"/>
    <w:lvl w:ilvl="0" w:tplc="98E4FC5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0E2A92"/>
    <w:multiLevelType w:val="hybridMultilevel"/>
    <w:tmpl w:val="95C08A26"/>
    <w:lvl w:ilvl="0" w:tplc="648A9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D22741"/>
    <w:multiLevelType w:val="multilevel"/>
    <w:tmpl w:val="9C94776A"/>
    <w:lvl w:ilvl="0">
      <w:start w:val="1"/>
      <w:numFmt w:val="bullet"/>
      <w:pStyle w:val="MMultilevel"/>
      <w:lvlText w:val=""/>
      <w:lvlJc w:val="left"/>
      <w:pPr>
        <w:ind w:left="425" w:hanging="425"/>
      </w:pPr>
      <w:rPr>
        <w:rFonts w:ascii="Wingdings" w:hAnsi="Wingdings" w:hint="default"/>
        <w:caps w:val="0"/>
        <w:strike w:val="0"/>
        <w:dstrike w:val="0"/>
        <w:vanish w:val="0"/>
        <w:color w:val="4F81BD" w:themeColor="accent1"/>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426"/>
      </w:pPr>
      <w:rPr>
        <w:rFonts w:ascii="Wingdings" w:hAnsi="Wingdings" w:hint="default"/>
        <w:color w:val="4F81BD" w:themeColor="accent1"/>
      </w:rPr>
    </w:lvl>
    <w:lvl w:ilvl="2">
      <w:start w:val="1"/>
      <w:numFmt w:val="bullet"/>
      <w:lvlText w:val=""/>
      <w:lvlJc w:val="left"/>
      <w:pPr>
        <w:tabs>
          <w:tab w:val="num" w:pos="1276"/>
        </w:tabs>
        <w:ind w:left="1276" w:hanging="425"/>
      </w:pPr>
      <w:rPr>
        <w:rFonts w:ascii="Wingdings" w:hAnsi="Wingdings" w:hint="default"/>
        <w:color w:val="7AB800"/>
      </w:rPr>
    </w:lvl>
    <w:lvl w:ilvl="3">
      <w:start w:val="1"/>
      <w:numFmt w:val="bullet"/>
      <w:lvlText w:val=""/>
      <w:lvlJc w:val="left"/>
      <w:pPr>
        <w:tabs>
          <w:tab w:val="num" w:pos="1701"/>
        </w:tabs>
        <w:ind w:left="1701" w:hanging="425"/>
      </w:pPr>
      <w:rPr>
        <w:rFonts w:ascii="Symbol" w:hAnsi="Symbol" w:hint="default"/>
        <w:caps w:val="0"/>
        <w:strike w:val="0"/>
        <w:dstrike w:val="0"/>
        <w:vanish w:val="0"/>
        <w:color w:val="7AB8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5C0F01EC"/>
    <w:multiLevelType w:val="hybridMultilevel"/>
    <w:tmpl w:val="BDCCECE0"/>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2A7074"/>
    <w:multiLevelType w:val="hybridMultilevel"/>
    <w:tmpl w:val="BA06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A16B71"/>
    <w:multiLevelType w:val="hybridMultilevel"/>
    <w:tmpl w:val="5D98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43367A"/>
    <w:multiLevelType w:val="hybridMultilevel"/>
    <w:tmpl w:val="5D86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2"/>
  </w:num>
  <w:num w:numId="6">
    <w:abstractNumId w:val="6"/>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sterdine, Erica">
    <w15:presenceInfo w15:providerId="AD" w15:userId="S-1-5-21-725345543-1229272821-1177238915-377139"/>
  </w15:person>
  <w15:person w15:author="James Hampshire">
    <w15:presenceInfo w15:providerId="AD" w15:userId="S::jah31@sussex.ac.uk::11f78ae9-ffee-4a38-a653-c74571a3bd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6A"/>
    <w:rsid w:val="00000EBB"/>
    <w:rsid w:val="00010BE3"/>
    <w:rsid w:val="000124FC"/>
    <w:rsid w:val="00034B56"/>
    <w:rsid w:val="000355BD"/>
    <w:rsid w:val="00035D8C"/>
    <w:rsid w:val="000603A1"/>
    <w:rsid w:val="00080725"/>
    <w:rsid w:val="00100EE1"/>
    <w:rsid w:val="00117E53"/>
    <w:rsid w:val="001332ED"/>
    <w:rsid w:val="001552BA"/>
    <w:rsid w:val="00184F27"/>
    <w:rsid w:val="001C7160"/>
    <w:rsid w:val="001D643A"/>
    <w:rsid w:val="002117C0"/>
    <w:rsid w:val="002240F4"/>
    <w:rsid w:val="002353DF"/>
    <w:rsid w:val="00241631"/>
    <w:rsid w:val="00242D17"/>
    <w:rsid w:val="00255464"/>
    <w:rsid w:val="00285D62"/>
    <w:rsid w:val="002864C4"/>
    <w:rsid w:val="002B45B7"/>
    <w:rsid w:val="002B4EC1"/>
    <w:rsid w:val="002C046E"/>
    <w:rsid w:val="00303485"/>
    <w:rsid w:val="003234DC"/>
    <w:rsid w:val="00340B59"/>
    <w:rsid w:val="003A1501"/>
    <w:rsid w:val="003B02B2"/>
    <w:rsid w:val="003B2EA9"/>
    <w:rsid w:val="003C3FF2"/>
    <w:rsid w:val="003D26E4"/>
    <w:rsid w:val="003F130A"/>
    <w:rsid w:val="004028F6"/>
    <w:rsid w:val="00440E6E"/>
    <w:rsid w:val="004E71D1"/>
    <w:rsid w:val="00532E58"/>
    <w:rsid w:val="0058794B"/>
    <w:rsid w:val="005A1CF7"/>
    <w:rsid w:val="005B5322"/>
    <w:rsid w:val="005D07DB"/>
    <w:rsid w:val="005F7B93"/>
    <w:rsid w:val="00671840"/>
    <w:rsid w:val="00680542"/>
    <w:rsid w:val="00683733"/>
    <w:rsid w:val="006867AC"/>
    <w:rsid w:val="00690E1F"/>
    <w:rsid w:val="006932D9"/>
    <w:rsid w:val="006940CF"/>
    <w:rsid w:val="006B120F"/>
    <w:rsid w:val="006D3D12"/>
    <w:rsid w:val="006D51EB"/>
    <w:rsid w:val="00700F6D"/>
    <w:rsid w:val="007348DD"/>
    <w:rsid w:val="00737CA6"/>
    <w:rsid w:val="007441E9"/>
    <w:rsid w:val="00757FF6"/>
    <w:rsid w:val="00793E4F"/>
    <w:rsid w:val="007C54BE"/>
    <w:rsid w:val="007D1569"/>
    <w:rsid w:val="007D4BC6"/>
    <w:rsid w:val="007E5ED2"/>
    <w:rsid w:val="007E620B"/>
    <w:rsid w:val="00835AB9"/>
    <w:rsid w:val="00842971"/>
    <w:rsid w:val="0087378C"/>
    <w:rsid w:val="0088751B"/>
    <w:rsid w:val="008906CF"/>
    <w:rsid w:val="008934FA"/>
    <w:rsid w:val="008B2E71"/>
    <w:rsid w:val="008E46B1"/>
    <w:rsid w:val="009267C7"/>
    <w:rsid w:val="00933154"/>
    <w:rsid w:val="00982CC4"/>
    <w:rsid w:val="009D2249"/>
    <w:rsid w:val="009D6822"/>
    <w:rsid w:val="009E47B9"/>
    <w:rsid w:val="009E7006"/>
    <w:rsid w:val="00A53D16"/>
    <w:rsid w:val="00A57F0F"/>
    <w:rsid w:val="00A62E70"/>
    <w:rsid w:val="00A630E0"/>
    <w:rsid w:val="00A976C7"/>
    <w:rsid w:val="00AD2E61"/>
    <w:rsid w:val="00B37A1A"/>
    <w:rsid w:val="00B9491E"/>
    <w:rsid w:val="00B96136"/>
    <w:rsid w:val="00BA3392"/>
    <w:rsid w:val="00BA6AF0"/>
    <w:rsid w:val="00BC7821"/>
    <w:rsid w:val="00C170A4"/>
    <w:rsid w:val="00C26987"/>
    <w:rsid w:val="00C542C6"/>
    <w:rsid w:val="00C75844"/>
    <w:rsid w:val="00C771AB"/>
    <w:rsid w:val="00D16F8D"/>
    <w:rsid w:val="00D44622"/>
    <w:rsid w:val="00D46329"/>
    <w:rsid w:val="00D47C97"/>
    <w:rsid w:val="00D925B7"/>
    <w:rsid w:val="00DA41EB"/>
    <w:rsid w:val="00DB3E13"/>
    <w:rsid w:val="00DB66F6"/>
    <w:rsid w:val="00DC2F49"/>
    <w:rsid w:val="00DC336A"/>
    <w:rsid w:val="00DC4E8D"/>
    <w:rsid w:val="00DD42DB"/>
    <w:rsid w:val="00E07470"/>
    <w:rsid w:val="00E2633B"/>
    <w:rsid w:val="00E3232C"/>
    <w:rsid w:val="00E35DAB"/>
    <w:rsid w:val="00E479E4"/>
    <w:rsid w:val="00E8737F"/>
    <w:rsid w:val="00ED0E47"/>
    <w:rsid w:val="00F0362F"/>
    <w:rsid w:val="00F0676A"/>
    <w:rsid w:val="00F26935"/>
    <w:rsid w:val="00F46674"/>
    <w:rsid w:val="00F52766"/>
    <w:rsid w:val="00F66E64"/>
    <w:rsid w:val="00F81346"/>
    <w:rsid w:val="00F95DDD"/>
    <w:rsid w:val="00F965F5"/>
    <w:rsid w:val="00FC2DE0"/>
    <w:rsid w:val="00FC4329"/>
    <w:rsid w:val="00FE238E"/>
    <w:rsid w:val="00FF1FAE"/>
    <w:rsid w:val="00FF3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2AA2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6A"/>
    <w:rPr>
      <w:rFonts w:eastAsiaTheme="minorHAnsi"/>
    </w:rPr>
  </w:style>
  <w:style w:type="paragraph" w:styleId="Heading1">
    <w:name w:val="heading 1"/>
    <w:basedOn w:val="Normal"/>
    <w:next w:val="Normal"/>
    <w:link w:val="Heading1Char"/>
    <w:uiPriority w:val="9"/>
    <w:qFormat/>
    <w:rsid w:val="00DC336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36A"/>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DC336A"/>
    <w:pPr>
      <w:tabs>
        <w:tab w:val="center" w:pos="4680"/>
        <w:tab w:val="right" w:pos="9360"/>
      </w:tabs>
    </w:pPr>
  </w:style>
  <w:style w:type="character" w:customStyle="1" w:styleId="FooterChar">
    <w:name w:val="Footer Char"/>
    <w:basedOn w:val="DefaultParagraphFont"/>
    <w:link w:val="Footer"/>
    <w:uiPriority w:val="99"/>
    <w:rsid w:val="00DC336A"/>
    <w:rPr>
      <w:rFonts w:eastAsiaTheme="minorHAnsi"/>
    </w:rPr>
  </w:style>
  <w:style w:type="character" w:styleId="PageNumber">
    <w:name w:val="page number"/>
    <w:basedOn w:val="DefaultParagraphFont"/>
    <w:uiPriority w:val="99"/>
    <w:semiHidden/>
    <w:unhideWhenUsed/>
    <w:rsid w:val="00DC336A"/>
  </w:style>
  <w:style w:type="paragraph" w:styleId="BalloonText">
    <w:name w:val="Balloon Text"/>
    <w:basedOn w:val="Normal"/>
    <w:link w:val="BalloonTextChar"/>
    <w:uiPriority w:val="99"/>
    <w:semiHidden/>
    <w:unhideWhenUsed/>
    <w:rsid w:val="00DC336A"/>
    <w:rPr>
      <w:rFonts w:ascii="Lucida Grande" w:hAnsi="Lucida Grande"/>
      <w:sz w:val="18"/>
      <w:szCs w:val="18"/>
    </w:rPr>
  </w:style>
  <w:style w:type="character" w:customStyle="1" w:styleId="BalloonTextChar">
    <w:name w:val="Balloon Text Char"/>
    <w:basedOn w:val="DefaultParagraphFont"/>
    <w:link w:val="BalloonText"/>
    <w:uiPriority w:val="99"/>
    <w:semiHidden/>
    <w:rsid w:val="00DC336A"/>
    <w:rPr>
      <w:rFonts w:ascii="Lucida Grande" w:eastAsiaTheme="minorHAnsi" w:hAnsi="Lucida Grande"/>
      <w:sz w:val="18"/>
      <w:szCs w:val="18"/>
    </w:rPr>
  </w:style>
  <w:style w:type="paragraph" w:styleId="Header">
    <w:name w:val="header"/>
    <w:basedOn w:val="Normal"/>
    <w:link w:val="HeaderChar"/>
    <w:uiPriority w:val="99"/>
    <w:unhideWhenUsed/>
    <w:rsid w:val="00DC336A"/>
    <w:pPr>
      <w:tabs>
        <w:tab w:val="center" w:pos="4320"/>
        <w:tab w:val="right" w:pos="8640"/>
      </w:tabs>
    </w:pPr>
  </w:style>
  <w:style w:type="character" w:customStyle="1" w:styleId="HeaderChar">
    <w:name w:val="Header Char"/>
    <w:basedOn w:val="DefaultParagraphFont"/>
    <w:link w:val="Header"/>
    <w:uiPriority w:val="99"/>
    <w:rsid w:val="00DC336A"/>
    <w:rPr>
      <w:rFonts w:eastAsiaTheme="minorHAnsi"/>
    </w:rPr>
  </w:style>
  <w:style w:type="character" w:styleId="CommentReference">
    <w:name w:val="annotation reference"/>
    <w:basedOn w:val="DefaultParagraphFont"/>
    <w:uiPriority w:val="99"/>
    <w:semiHidden/>
    <w:unhideWhenUsed/>
    <w:rsid w:val="00DC336A"/>
    <w:rPr>
      <w:sz w:val="18"/>
      <w:szCs w:val="18"/>
    </w:rPr>
  </w:style>
  <w:style w:type="paragraph" w:styleId="CommentText">
    <w:name w:val="annotation text"/>
    <w:basedOn w:val="Normal"/>
    <w:link w:val="CommentTextChar"/>
    <w:uiPriority w:val="99"/>
    <w:semiHidden/>
    <w:unhideWhenUsed/>
    <w:rsid w:val="00DC336A"/>
  </w:style>
  <w:style w:type="character" w:customStyle="1" w:styleId="CommentTextChar">
    <w:name w:val="Comment Text Char"/>
    <w:basedOn w:val="DefaultParagraphFont"/>
    <w:link w:val="CommentText"/>
    <w:uiPriority w:val="99"/>
    <w:semiHidden/>
    <w:rsid w:val="00DC336A"/>
    <w:rPr>
      <w:rFonts w:eastAsiaTheme="minorHAnsi"/>
    </w:rPr>
  </w:style>
  <w:style w:type="paragraph" w:styleId="CommentSubject">
    <w:name w:val="annotation subject"/>
    <w:basedOn w:val="CommentText"/>
    <w:next w:val="CommentText"/>
    <w:link w:val="CommentSubjectChar"/>
    <w:uiPriority w:val="99"/>
    <w:semiHidden/>
    <w:unhideWhenUsed/>
    <w:rsid w:val="00DC336A"/>
    <w:rPr>
      <w:b/>
      <w:bCs/>
      <w:sz w:val="20"/>
      <w:szCs w:val="20"/>
    </w:rPr>
  </w:style>
  <w:style w:type="character" w:customStyle="1" w:styleId="CommentSubjectChar">
    <w:name w:val="Comment Subject Char"/>
    <w:basedOn w:val="CommentTextChar"/>
    <w:link w:val="CommentSubject"/>
    <w:uiPriority w:val="99"/>
    <w:semiHidden/>
    <w:rsid w:val="00DC336A"/>
    <w:rPr>
      <w:rFonts w:eastAsiaTheme="minorHAnsi"/>
      <w:b/>
      <w:bCs/>
      <w:sz w:val="20"/>
      <w:szCs w:val="20"/>
    </w:rPr>
  </w:style>
  <w:style w:type="paragraph" w:styleId="ListParagraph">
    <w:name w:val="List Paragraph"/>
    <w:basedOn w:val="Normal"/>
    <w:uiPriority w:val="34"/>
    <w:qFormat/>
    <w:rsid w:val="00DC336A"/>
    <w:pPr>
      <w:ind w:left="720"/>
      <w:contextualSpacing/>
    </w:pPr>
  </w:style>
  <w:style w:type="paragraph" w:styleId="EndnoteText">
    <w:name w:val="endnote text"/>
    <w:basedOn w:val="Normal"/>
    <w:link w:val="EndnoteTextChar"/>
    <w:uiPriority w:val="99"/>
    <w:unhideWhenUsed/>
    <w:rsid w:val="00DC336A"/>
  </w:style>
  <w:style w:type="character" w:customStyle="1" w:styleId="EndnoteTextChar">
    <w:name w:val="Endnote Text Char"/>
    <w:basedOn w:val="DefaultParagraphFont"/>
    <w:link w:val="EndnoteText"/>
    <w:uiPriority w:val="99"/>
    <w:rsid w:val="00DC336A"/>
    <w:rPr>
      <w:rFonts w:eastAsiaTheme="minorHAnsi"/>
    </w:rPr>
  </w:style>
  <w:style w:type="character" w:styleId="EndnoteReference">
    <w:name w:val="endnote reference"/>
    <w:basedOn w:val="DefaultParagraphFont"/>
    <w:uiPriority w:val="99"/>
    <w:unhideWhenUsed/>
    <w:rsid w:val="00DC336A"/>
    <w:rPr>
      <w:vertAlign w:val="superscript"/>
    </w:rPr>
  </w:style>
  <w:style w:type="paragraph" w:customStyle="1" w:styleId="Default">
    <w:name w:val="Default"/>
    <w:rsid w:val="00DC336A"/>
    <w:pPr>
      <w:widowControl w:val="0"/>
      <w:autoSpaceDE w:val="0"/>
      <w:autoSpaceDN w:val="0"/>
      <w:adjustRightInd w:val="0"/>
    </w:pPr>
    <w:rPr>
      <w:rFonts w:ascii="Myriad Pro" w:eastAsiaTheme="minorHAnsi" w:hAnsi="Myriad Pro" w:cs="Myriad Pro"/>
      <w:color w:val="000000"/>
    </w:rPr>
  </w:style>
  <w:style w:type="character" w:styleId="Hyperlink">
    <w:name w:val="Hyperlink"/>
    <w:basedOn w:val="DefaultParagraphFont"/>
    <w:uiPriority w:val="99"/>
    <w:unhideWhenUsed/>
    <w:rsid w:val="00DC336A"/>
    <w:rPr>
      <w:color w:val="0000FF" w:themeColor="hyperlink"/>
      <w:u w:val="single"/>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FR,F"/>
    <w:uiPriority w:val="99"/>
    <w:qFormat/>
    <w:rsid w:val="00DC336A"/>
    <w:rPr>
      <w:vertAlign w:val="superscript"/>
    </w:rPr>
  </w:style>
  <w:style w:type="paragraph" w:styleId="FootnoteText">
    <w:name w:val="footnote text"/>
    <w:aliases w:val="M Footnotes"/>
    <w:basedOn w:val="Normal"/>
    <w:link w:val="FootnoteTextChar"/>
    <w:uiPriority w:val="99"/>
    <w:qFormat/>
    <w:rsid w:val="00DC336A"/>
    <w:pPr>
      <w:jc w:val="both"/>
    </w:pPr>
    <w:rPr>
      <w:rFonts w:ascii="Times New Roman" w:eastAsia="Times New Roman" w:hAnsi="Times New Roman" w:cs="Times New Roman"/>
      <w:sz w:val="18"/>
      <w:szCs w:val="22"/>
      <w:lang w:val="en-GB" w:eastAsia="fr-FR"/>
    </w:rPr>
  </w:style>
  <w:style w:type="character" w:customStyle="1" w:styleId="FootnoteTextChar">
    <w:name w:val="Footnote Text Char"/>
    <w:aliases w:val="M Footnotes Char"/>
    <w:basedOn w:val="DefaultParagraphFont"/>
    <w:link w:val="FootnoteText"/>
    <w:uiPriority w:val="99"/>
    <w:rsid w:val="00DC336A"/>
    <w:rPr>
      <w:rFonts w:ascii="Times New Roman" w:eastAsia="Times New Roman" w:hAnsi="Times New Roman" w:cs="Times New Roman"/>
      <w:sz w:val="18"/>
      <w:szCs w:val="22"/>
      <w:lang w:val="en-GB" w:eastAsia="fr-FR"/>
    </w:rPr>
  </w:style>
  <w:style w:type="paragraph" w:customStyle="1" w:styleId="MMultilevel">
    <w:name w:val="M Multilevel"/>
    <w:basedOn w:val="Normal"/>
    <w:link w:val="MMultilevelChar"/>
    <w:qFormat/>
    <w:rsid w:val="00DC336A"/>
    <w:pPr>
      <w:widowControl w:val="0"/>
      <w:numPr>
        <w:numId w:val="3"/>
      </w:numPr>
      <w:jc w:val="both"/>
    </w:pPr>
    <w:rPr>
      <w:rFonts w:ascii="Times New Roman" w:eastAsia="Times New Roman" w:hAnsi="Times New Roman" w:cs="Times New Roman"/>
      <w:bCs/>
      <w:sz w:val="22"/>
      <w:szCs w:val="22"/>
      <w:lang w:eastAsia="fr-FR"/>
    </w:rPr>
  </w:style>
  <w:style w:type="character" w:customStyle="1" w:styleId="MMultilevelChar">
    <w:name w:val="M Multilevel Char"/>
    <w:link w:val="MMultilevel"/>
    <w:rsid w:val="00DC336A"/>
    <w:rPr>
      <w:rFonts w:ascii="Times New Roman" w:eastAsia="Times New Roman" w:hAnsi="Times New Roman" w:cs="Times New Roman"/>
      <w:bCs/>
      <w:sz w:val="22"/>
      <w:szCs w:val="22"/>
      <w:lang w:eastAsia="fr-FR"/>
    </w:rPr>
  </w:style>
  <w:style w:type="character" w:customStyle="1" w:styleId="apple-converted-space">
    <w:name w:val="apple-converted-space"/>
    <w:basedOn w:val="DefaultParagraphFont"/>
    <w:rsid w:val="00DC336A"/>
  </w:style>
  <w:style w:type="character" w:styleId="Emphasis">
    <w:name w:val="Emphasis"/>
    <w:basedOn w:val="DefaultParagraphFont"/>
    <w:uiPriority w:val="20"/>
    <w:qFormat/>
    <w:rsid w:val="00DC336A"/>
    <w:rPr>
      <w:i/>
      <w:iCs/>
    </w:rPr>
  </w:style>
  <w:style w:type="paragraph" w:styleId="Revision">
    <w:name w:val="Revision"/>
    <w:hidden/>
    <w:uiPriority w:val="99"/>
    <w:semiHidden/>
    <w:rsid w:val="00DC336A"/>
    <w:rPr>
      <w:rFonts w:eastAsiaTheme="minorHAnsi"/>
    </w:rPr>
  </w:style>
  <w:style w:type="character" w:styleId="FollowedHyperlink">
    <w:name w:val="FollowedHyperlink"/>
    <w:basedOn w:val="DefaultParagraphFont"/>
    <w:uiPriority w:val="99"/>
    <w:semiHidden/>
    <w:unhideWhenUsed/>
    <w:rsid w:val="00DC336A"/>
    <w:rPr>
      <w:color w:val="800080" w:themeColor="followedHyperlink"/>
      <w:u w:val="single"/>
    </w:rPr>
  </w:style>
  <w:style w:type="table" w:styleId="TableGrid">
    <w:name w:val="Table Grid"/>
    <w:basedOn w:val="TableNormal"/>
    <w:uiPriority w:val="39"/>
    <w:rsid w:val="00DC336A"/>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C336A"/>
    <w:pPr>
      <w:spacing w:before="100" w:beforeAutospacing="1" w:after="100" w:afterAutospacing="1"/>
    </w:pPr>
    <w:rPr>
      <w:rFonts w:ascii="Times New Roman" w:eastAsia="Times New Roman" w:hAnsi="Times New Roman" w:cs="Times New Roman"/>
      <w:lang w:val="en-GB" w:eastAsia="en-GB"/>
    </w:rPr>
  </w:style>
  <w:style w:type="character" w:customStyle="1" w:styleId="UnresolvedMention">
    <w:name w:val="Unresolved Mention"/>
    <w:basedOn w:val="DefaultParagraphFont"/>
    <w:uiPriority w:val="99"/>
    <w:semiHidden/>
    <w:unhideWhenUsed/>
    <w:rsid w:val="00A630E0"/>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6A"/>
    <w:rPr>
      <w:rFonts w:eastAsiaTheme="minorHAnsi"/>
    </w:rPr>
  </w:style>
  <w:style w:type="paragraph" w:styleId="Heading1">
    <w:name w:val="heading 1"/>
    <w:basedOn w:val="Normal"/>
    <w:next w:val="Normal"/>
    <w:link w:val="Heading1Char"/>
    <w:uiPriority w:val="9"/>
    <w:qFormat/>
    <w:rsid w:val="00DC336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36A"/>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DC336A"/>
    <w:pPr>
      <w:tabs>
        <w:tab w:val="center" w:pos="4680"/>
        <w:tab w:val="right" w:pos="9360"/>
      </w:tabs>
    </w:pPr>
  </w:style>
  <w:style w:type="character" w:customStyle="1" w:styleId="FooterChar">
    <w:name w:val="Footer Char"/>
    <w:basedOn w:val="DefaultParagraphFont"/>
    <w:link w:val="Footer"/>
    <w:uiPriority w:val="99"/>
    <w:rsid w:val="00DC336A"/>
    <w:rPr>
      <w:rFonts w:eastAsiaTheme="minorHAnsi"/>
    </w:rPr>
  </w:style>
  <w:style w:type="character" w:styleId="PageNumber">
    <w:name w:val="page number"/>
    <w:basedOn w:val="DefaultParagraphFont"/>
    <w:uiPriority w:val="99"/>
    <w:semiHidden/>
    <w:unhideWhenUsed/>
    <w:rsid w:val="00DC336A"/>
  </w:style>
  <w:style w:type="paragraph" w:styleId="BalloonText">
    <w:name w:val="Balloon Text"/>
    <w:basedOn w:val="Normal"/>
    <w:link w:val="BalloonTextChar"/>
    <w:uiPriority w:val="99"/>
    <w:semiHidden/>
    <w:unhideWhenUsed/>
    <w:rsid w:val="00DC336A"/>
    <w:rPr>
      <w:rFonts w:ascii="Lucida Grande" w:hAnsi="Lucida Grande"/>
      <w:sz w:val="18"/>
      <w:szCs w:val="18"/>
    </w:rPr>
  </w:style>
  <w:style w:type="character" w:customStyle="1" w:styleId="BalloonTextChar">
    <w:name w:val="Balloon Text Char"/>
    <w:basedOn w:val="DefaultParagraphFont"/>
    <w:link w:val="BalloonText"/>
    <w:uiPriority w:val="99"/>
    <w:semiHidden/>
    <w:rsid w:val="00DC336A"/>
    <w:rPr>
      <w:rFonts w:ascii="Lucida Grande" w:eastAsiaTheme="minorHAnsi" w:hAnsi="Lucida Grande"/>
      <w:sz w:val="18"/>
      <w:szCs w:val="18"/>
    </w:rPr>
  </w:style>
  <w:style w:type="paragraph" w:styleId="Header">
    <w:name w:val="header"/>
    <w:basedOn w:val="Normal"/>
    <w:link w:val="HeaderChar"/>
    <w:uiPriority w:val="99"/>
    <w:unhideWhenUsed/>
    <w:rsid w:val="00DC336A"/>
    <w:pPr>
      <w:tabs>
        <w:tab w:val="center" w:pos="4320"/>
        <w:tab w:val="right" w:pos="8640"/>
      </w:tabs>
    </w:pPr>
  </w:style>
  <w:style w:type="character" w:customStyle="1" w:styleId="HeaderChar">
    <w:name w:val="Header Char"/>
    <w:basedOn w:val="DefaultParagraphFont"/>
    <w:link w:val="Header"/>
    <w:uiPriority w:val="99"/>
    <w:rsid w:val="00DC336A"/>
    <w:rPr>
      <w:rFonts w:eastAsiaTheme="minorHAnsi"/>
    </w:rPr>
  </w:style>
  <w:style w:type="character" w:styleId="CommentReference">
    <w:name w:val="annotation reference"/>
    <w:basedOn w:val="DefaultParagraphFont"/>
    <w:uiPriority w:val="99"/>
    <w:semiHidden/>
    <w:unhideWhenUsed/>
    <w:rsid w:val="00DC336A"/>
    <w:rPr>
      <w:sz w:val="18"/>
      <w:szCs w:val="18"/>
    </w:rPr>
  </w:style>
  <w:style w:type="paragraph" w:styleId="CommentText">
    <w:name w:val="annotation text"/>
    <w:basedOn w:val="Normal"/>
    <w:link w:val="CommentTextChar"/>
    <w:uiPriority w:val="99"/>
    <w:semiHidden/>
    <w:unhideWhenUsed/>
    <w:rsid w:val="00DC336A"/>
  </w:style>
  <w:style w:type="character" w:customStyle="1" w:styleId="CommentTextChar">
    <w:name w:val="Comment Text Char"/>
    <w:basedOn w:val="DefaultParagraphFont"/>
    <w:link w:val="CommentText"/>
    <w:uiPriority w:val="99"/>
    <w:semiHidden/>
    <w:rsid w:val="00DC336A"/>
    <w:rPr>
      <w:rFonts w:eastAsiaTheme="minorHAnsi"/>
    </w:rPr>
  </w:style>
  <w:style w:type="paragraph" w:styleId="CommentSubject">
    <w:name w:val="annotation subject"/>
    <w:basedOn w:val="CommentText"/>
    <w:next w:val="CommentText"/>
    <w:link w:val="CommentSubjectChar"/>
    <w:uiPriority w:val="99"/>
    <w:semiHidden/>
    <w:unhideWhenUsed/>
    <w:rsid w:val="00DC336A"/>
    <w:rPr>
      <w:b/>
      <w:bCs/>
      <w:sz w:val="20"/>
      <w:szCs w:val="20"/>
    </w:rPr>
  </w:style>
  <w:style w:type="character" w:customStyle="1" w:styleId="CommentSubjectChar">
    <w:name w:val="Comment Subject Char"/>
    <w:basedOn w:val="CommentTextChar"/>
    <w:link w:val="CommentSubject"/>
    <w:uiPriority w:val="99"/>
    <w:semiHidden/>
    <w:rsid w:val="00DC336A"/>
    <w:rPr>
      <w:rFonts w:eastAsiaTheme="minorHAnsi"/>
      <w:b/>
      <w:bCs/>
      <w:sz w:val="20"/>
      <w:szCs w:val="20"/>
    </w:rPr>
  </w:style>
  <w:style w:type="paragraph" w:styleId="ListParagraph">
    <w:name w:val="List Paragraph"/>
    <w:basedOn w:val="Normal"/>
    <w:uiPriority w:val="34"/>
    <w:qFormat/>
    <w:rsid w:val="00DC336A"/>
    <w:pPr>
      <w:ind w:left="720"/>
      <w:contextualSpacing/>
    </w:pPr>
  </w:style>
  <w:style w:type="paragraph" w:styleId="EndnoteText">
    <w:name w:val="endnote text"/>
    <w:basedOn w:val="Normal"/>
    <w:link w:val="EndnoteTextChar"/>
    <w:uiPriority w:val="99"/>
    <w:unhideWhenUsed/>
    <w:rsid w:val="00DC336A"/>
  </w:style>
  <w:style w:type="character" w:customStyle="1" w:styleId="EndnoteTextChar">
    <w:name w:val="Endnote Text Char"/>
    <w:basedOn w:val="DefaultParagraphFont"/>
    <w:link w:val="EndnoteText"/>
    <w:uiPriority w:val="99"/>
    <w:rsid w:val="00DC336A"/>
    <w:rPr>
      <w:rFonts w:eastAsiaTheme="minorHAnsi"/>
    </w:rPr>
  </w:style>
  <w:style w:type="character" w:styleId="EndnoteReference">
    <w:name w:val="endnote reference"/>
    <w:basedOn w:val="DefaultParagraphFont"/>
    <w:uiPriority w:val="99"/>
    <w:unhideWhenUsed/>
    <w:rsid w:val="00DC336A"/>
    <w:rPr>
      <w:vertAlign w:val="superscript"/>
    </w:rPr>
  </w:style>
  <w:style w:type="paragraph" w:customStyle="1" w:styleId="Default">
    <w:name w:val="Default"/>
    <w:rsid w:val="00DC336A"/>
    <w:pPr>
      <w:widowControl w:val="0"/>
      <w:autoSpaceDE w:val="0"/>
      <w:autoSpaceDN w:val="0"/>
      <w:adjustRightInd w:val="0"/>
    </w:pPr>
    <w:rPr>
      <w:rFonts w:ascii="Myriad Pro" w:eastAsiaTheme="minorHAnsi" w:hAnsi="Myriad Pro" w:cs="Myriad Pro"/>
      <w:color w:val="000000"/>
    </w:rPr>
  </w:style>
  <w:style w:type="character" w:styleId="Hyperlink">
    <w:name w:val="Hyperlink"/>
    <w:basedOn w:val="DefaultParagraphFont"/>
    <w:uiPriority w:val="99"/>
    <w:unhideWhenUsed/>
    <w:rsid w:val="00DC336A"/>
    <w:rPr>
      <w:color w:val="0000FF" w:themeColor="hyperlink"/>
      <w:u w:val="single"/>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FR,F"/>
    <w:uiPriority w:val="99"/>
    <w:qFormat/>
    <w:rsid w:val="00DC336A"/>
    <w:rPr>
      <w:vertAlign w:val="superscript"/>
    </w:rPr>
  </w:style>
  <w:style w:type="paragraph" w:styleId="FootnoteText">
    <w:name w:val="footnote text"/>
    <w:aliases w:val="M Footnotes"/>
    <w:basedOn w:val="Normal"/>
    <w:link w:val="FootnoteTextChar"/>
    <w:uiPriority w:val="99"/>
    <w:qFormat/>
    <w:rsid w:val="00DC336A"/>
    <w:pPr>
      <w:jc w:val="both"/>
    </w:pPr>
    <w:rPr>
      <w:rFonts w:ascii="Times New Roman" w:eastAsia="Times New Roman" w:hAnsi="Times New Roman" w:cs="Times New Roman"/>
      <w:sz w:val="18"/>
      <w:szCs w:val="22"/>
      <w:lang w:val="en-GB" w:eastAsia="fr-FR"/>
    </w:rPr>
  </w:style>
  <w:style w:type="character" w:customStyle="1" w:styleId="FootnoteTextChar">
    <w:name w:val="Footnote Text Char"/>
    <w:aliases w:val="M Footnotes Char"/>
    <w:basedOn w:val="DefaultParagraphFont"/>
    <w:link w:val="FootnoteText"/>
    <w:uiPriority w:val="99"/>
    <w:rsid w:val="00DC336A"/>
    <w:rPr>
      <w:rFonts w:ascii="Times New Roman" w:eastAsia="Times New Roman" w:hAnsi="Times New Roman" w:cs="Times New Roman"/>
      <w:sz w:val="18"/>
      <w:szCs w:val="22"/>
      <w:lang w:val="en-GB" w:eastAsia="fr-FR"/>
    </w:rPr>
  </w:style>
  <w:style w:type="paragraph" w:customStyle="1" w:styleId="MMultilevel">
    <w:name w:val="M Multilevel"/>
    <w:basedOn w:val="Normal"/>
    <w:link w:val="MMultilevelChar"/>
    <w:qFormat/>
    <w:rsid w:val="00DC336A"/>
    <w:pPr>
      <w:widowControl w:val="0"/>
      <w:numPr>
        <w:numId w:val="3"/>
      </w:numPr>
      <w:jc w:val="both"/>
    </w:pPr>
    <w:rPr>
      <w:rFonts w:ascii="Times New Roman" w:eastAsia="Times New Roman" w:hAnsi="Times New Roman" w:cs="Times New Roman"/>
      <w:bCs/>
      <w:sz w:val="22"/>
      <w:szCs w:val="22"/>
      <w:lang w:eastAsia="fr-FR"/>
    </w:rPr>
  </w:style>
  <w:style w:type="character" w:customStyle="1" w:styleId="MMultilevelChar">
    <w:name w:val="M Multilevel Char"/>
    <w:link w:val="MMultilevel"/>
    <w:rsid w:val="00DC336A"/>
    <w:rPr>
      <w:rFonts w:ascii="Times New Roman" w:eastAsia="Times New Roman" w:hAnsi="Times New Roman" w:cs="Times New Roman"/>
      <w:bCs/>
      <w:sz w:val="22"/>
      <w:szCs w:val="22"/>
      <w:lang w:eastAsia="fr-FR"/>
    </w:rPr>
  </w:style>
  <w:style w:type="character" w:customStyle="1" w:styleId="apple-converted-space">
    <w:name w:val="apple-converted-space"/>
    <w:basedOn w:val="DefaultParagraphFont"/>
    <w:rsid w:val="00DC336A"/>
  </w:style>
  <w:style w:type="character" w:styleId="Emphasis">
    <w:name w:val="Emphasis"/>
    <w:basedOn w:val="DefaultParagraphFont"/>
    <w:uiPriority w:val="20"/>
    <w:qFormat/>
    <w:rsid w:val="00DC336A"/>
    <w:rPr>
      <w:i/>
      <w:iCs/>
    </w:rPr>
  </w:style>
  <w:style w:type="paragraph" w:styleId="Revision">
    <w:name w:val="Revision"/>
    <w:hidden/>
    <w:uiPriority w:val="99"/>
    <w:semiHidden/>
    <w:rsid w:val="00DC336A"/>
    <w:rPr>
      <w:rFonts w:eastAsiaTheme="minorHAnsi"/>
    </w:rPr>
  </w:style>
  <w:style w:type="character" w:styleId="FollowedHyperlink">
    <w:name w:val="FollowedHyperlink"/>
    <w:basedOn w:val="DefaultParagraphFont"/>
    <w:uiPriority w:val="99"/>
    <w:semiHidden/>
    <w:unhideWhenUsed/>
    <w:rsid w:val="00DC336A"/>
    <w:rPr>
      <w:color w:val="800080" w:themeColor="followedHyperlink"/>
      <w:u w:val="single"/>
    </w:rPr>
  </w:style>
  <w:style w:type="table" w:styleId="TableGrid">
    <w:name w:val="Table Grid"/>
    <w:basedOn w:val="TableNormal"/>
    <w:uiPriority w:val="39"/>
    <w:rsid w:val="00DC336A"/>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C336A"/>
    <w:pPr>
      <w:spacing w:before="100" w:beforeAutospacing="1" w:after="100" w:afterAutospacing="1"/>
    </w:pPr>
    <w:rPr>
      <w:rFonts w:ascii="Times New Roman" w:eastAsia="Times New Roman" w:hAnsi="Times New Roman" w:cs="Times New Roman"/>
      <w:lang w:val="en-GB" w:eastAsia="en-GB"/>
    </w:rPr>
  </w:style>
  <w:style w:type="character" w:customStyle="1" w:styleId="UnresolvedMention">
    <w:name w:val="Unresolved Mention"/>
    <w:basedOn w:val="DefaultParagraphFont"/>
    <w:uiPriority w:val="99"/>
    <w:semiHidden/>
    <w:unhideWhenUsed/>
    <w:rsid w:val="00A63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8588">
      <w:bodyDiv w:val="1"/>
      <w:marLeft w:val="0"/>
      <w:marRight w:val="0"/>
      <w:marTop w:val="0"/>
      <w:marBottom w:val="0"/>
      <w:divBdr>
        <w:top w:val="none" w:sz="0" w:space="0" w:color="auto"/>
        <w:left w:val="none" w:sz="0" w:space="0" w:color="auto"/>
        <w:bottom w:val="none" w:sz="0" w:space="0" w:color="auto"/>
        <w:right w:val="none" w:sz="0" w:space="0" w:color="auto"/>
      </w:divBdr>
    </w:div>
    <w:div w:id="1085347504">
      <w:bodyDiv w:val="1"/>
      <w:marLeft w:val="0"/>
      <w:marRight w:val="0"/>
      <w:marTop w:val="0"/>
      <w:marBottom w:val="0"/>
      <w:divBdr>
        <w:top w:val="none" w:sz="0" w:space="0" w:color="auto"/>
        <w:left w:val="none" w:sz="0" w:space="0" w:color="auto"/>
        <w:bottom w:val="none" w:sz="0" w:space="0" w:color="auto"/>
        <w:right w:val="none" w:sz="0" w:space="0" w:color="auto"/>
      </w:divBdr>
    </w:div>
    <w:div w:id="1979454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25" Type="http://schemas.microsoft.com/office/2016/09/relationships/commentsIds" Target="commentsIds.xml"/><Relationship Id="rId26"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Consterdine@lancaster.ac.uk" TargetMode="External"/><Relationship Id="rId23" Type="http://schemas.microsoft.com/office/2011/relationships/people" Target="people.xml"/><Relationship Id="rId24" Type="http://schemas.microsoft.com/office/2011/relationships/commentsExtended" Target="commentsExtended.xml"/><Relationship Id="rId10" Type="http://schemas.openxmlformats.org/officeDocument/2006/relationships/hyperlink" Target="mailto:J.A.Hampshire@sussex.ac.u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lafrenchtech.com/en-action/pass-french-tech" TargetMode="External"/><Relationship Id="rId4" Type="http://schemas.openxmlformats.org/officeDocument/2006/relationships/hyperlink" Target="https://www.boe.es/buscar/act.php?id=BOE-A-2013-10074" TargetMode="External"/><Relationship Id="rId5" Type="http://schemas.openxmlformats.org/officeDocument/2006/relationships/hyperlink" Target="https://www.bbc.co.uk/news/uk-politics-60410844" TargetMode="External"/><Relationship Id="rId6" Type="http://schemas.openxmlformats.org/officeDocument/2006/relationships/hyperlink" Target="https://www.temperproject.eu/wp-content/uploads/2016/08/Working-Paper-8.pdf" TargetMode="External"/><Relationship Id="rId7" Type="http://schemas.openxmlformats.org/officeDocument/2006/relationships/hyperlink" Target="https://ec.europa.eu/info/policies/justice-and-fundamental-rights/eu-citizenship/eu-citizenship/investor-citizenship-schemes_en" TargetMode="External"/><Relationship Id="rId8" Type="http://schemas.openxmlformats.org/officeDocument/2006/relationships/hyperlink" Target="https://ec.europa.eu/info/policies/justice-and-fundamental-rights/eu-citizenship/eu-citizenship/investor-citizenship-schemes_en" TargetMode="External"/><Relationship Id="rId9" Type="http://schemas.openxmlformats.org/officeDocument/2006/relationships/hyperlink" Target="https://ec.europa.eu/commission/presscorner/detail/en/speech_23_2063" TargetMode="External"/><Relationship Id="rId10" Type="http://schemas.openxmlformats.org/officeDocument/2006/relationships/hyperlink" Target="https://isc.independent.gov.uk/wp-content/uploads/2021/01/20200721_HC632_CCS001_CCS1019402408-001_ISC_Russia_Report_Web_Accessible.pdf" TargetMode="External"/><Relationship Id="rId11" Type="http://schemas.openxmlformats.org/officeDocument/2006/relationships/hyperlink" Target="https://www.lamoncloa.gob.es/lang/en/gobierno/news/Paginas/2011/041111Comercio.aspx" TargetMode="External"/><Relationship Id="rId1" Type="http://schemas.openxmlformats.org/officeDocument/2006/relationships/hyperlink" Target="https://www.ilo.org/public/english/bureau/stat/isco/isco08/" TargetMode="External"/><Relationship Id="rId2" Type="http://schemas.openxmlformats.org/officeDocument/2006/relationships/hyperlink" Target="https://getgoldenvisa.com/uk-tier-1-investor-visa-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3464B-B2DF-3F45-BD29-EEBB4E8B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40</Pages>
  <Words>8663</Words>
  <Characters>47994</Characters>
  <Application>Microsoft Macintosh Word</Application>
  <DocSecurity>0</DocSecurity>
  <Lines>738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Consterdine</dc:creator>
  <cp:keywords/>
  <dc:description/>
  <cp:lastModifiedBy>Erica Consterdine</cp:lastModifiedBy>
  <cp:revision>4</cp:revision>
  <dcterms:created xsi:type="dcterms:W3CDTF">2023-05-26T08:37:00Z</dcterms:created>
  <dcterms:modified xsi:type="dcterms:W3CDTF">2023-07-06T15:41:00Z</dcterms:modified>
</cp:coreProperties>
</file>