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8E0D" w14:textId="77777777" w:rsidR="00635080" w:rsidRPr="00635080" w:rsidRDefault="00635080" w:rsidP="00635080">
      <w:pPr>
        <w:spacing w:line="360" w:lineRule="auto"/>
        <w:rPr>
          <w:rFonts w:ascii="Times" w:eastAsia="Times New Roman" w:hAnsi="Times" w:cs="Times New Roman"/>
        </w:rPr>
      </w:pPr>
    </w:p>
    <w:p w14:paraId="76D95286" w14:textId="3B227551" w:rsidR="00635080" w:rsidRPr="00635080" w:rsidRDefault="00635080" w:rsidP="00635080">
      <w:pPr>
        <w:spacing w:line="360" w:lineRule="auto"/>
        <w:rPr>
          <w:rFonts w:ascii="Times" w:eastAsia="Times New Roman" w:hAnsi="Times" w:cs="Times New Roman"/>
        </w:rPr>
      </w:pPr>
      <w:r w:rsidRPr="00635080">
        <w:rPr>
          <w:rFonts w:ascii="Times" w:eastAsia="Times New Roman" w:hAnsi="Times" w:cs="Arial"/>
          <w:b/>
          <w:bCs/>
          <w:color w:val="000000"/>
        </w:rPr>
        <w:t>Introduction: Talking about Religion in Eighteenth and Nineteenth Century Studies</w:t>
      </w:r>
    </w:p>
    <w:p w14:paraId="0A3FDBAA" w14:textId="77777777" w:rsidR="00635080" w:rsidRPr="00635080" w:rsidRDefault="00635080" w:rsidP="00635080">
      <w:pPr>
        <w:spacing w:line="360" w:lineRule="auto"/>
        <w:rPr>
          <w:rFonts w:ascii="Times" w:eastAsia="Times New Roman" w:hAnsi="Times" w:cs="Times New Roman"/>
        </w:rPr>
      </w:pPr>
      <w:r w:rsidRPr="00635080">
        <w:rPr>
          <w:rFonts w:ascii="Times" w:eastAsia="Times New Roman" w:hAnsi="Times" w:cs="Arial"/>
          <w:b/>
          <w:bCs/>
          <w:color w:val="000000"/>
        </w:rPr>
        <w:t>Mark Knight and Charles LaPorte</w:t>
      </w:r>
    </w:p>
    <w:p w14:paraId="4EDABB55" w14:textId="77777777" w:rsidR="00635080" w:rsidRPr="00635080" w:rsidRDefault="00635080" w:rsidP="00635080">
      <w:pPr>
        <w:spacing w:line="360" w:lineRule="auto"/>
        <w:rPr>
          <w:rFonts w:ascii="Times" w:eastAsia="Times New Roman" w:hAnsi="Times" w:cs="Times New Roman"/>
        </w:rPr>
      </w:pPr>
    </w:p>
    <w:p w14:paraId="38519D05" w14:textId="2A116575" w:rsidR="00635080" w:rsidRPr="00635080" w:rsidRDefault="00DC7B82" w:rsidP="00635080">
      <w:pPr>
        <w:spacing w:line="360" w:lineRule="auto"/>
        <w:rPr>
          <w:rFonts w:ascii="Times" w:eastAsia="Times New Roman" w:hAnsi="Times" w:cs="Times New Roman"/>
        </w:rPr>
      </w:pPr>
      <w:r>
        <w:rPr>
          <w:rFonts w:ascii="Times" w:eastAsia="Times New Roman" w:hAnsi="Times" w:cs="Arial"/>
          <w:color w:val="000000"/>
        </w:rPr>
        <w:t>P</w:t>
      </w:r>
      <w:r w:rsidRPr="00635080">
        <w:rPr>
          <w:rFonts w:ascii="Times" w:eastAsia="Times New Roman" w:hAnsi="Times" w:cs="Arial"/>
          <w:color w:val="000000"/>
        </w:rPr>
        <w:t xml:space="preserve">ractically speaking, </w:t>
      </w:r>
      <w:r>
        <w:rPr>
          <w:rFonts w:ascii="Times" w:eastAsia="Times New Roman" w:hAnsi="Times" w:cs="Arial"/>
          <w:color w:val="000000"/>
        </w:rPr>
        <w:t>t</w:t>
      </w:r>
      <w:r w:rsidR="00635080" w:rsidRPr="00635080">
        <w:rPr>
          <w:rFonts w:ascii="Times" w:eastAsia="Times New Roman" w:hAnsi="Times" w:cs="Arial"/>
          <w:color w:val="000000"/>
        </w:rPr>
        <w:t xml:space="preserve">he following special issue of </w:t>
      </w:r>
      <w:r w:rsidR="00635080" w:rsidRPr="00635080">
        <w:rPr>
          <w:rFonts w:ascii="Times" w:eastAsia="Times New Roman" w:hAnsi="Times" w:cs="Arial"/>
          <w:i/>
          <w:iCs/>
          <w:color w:val="000000"/>
        </w:rPr>
        <w:t>MLQ</w:t>
      </w:r>
      <w:r w:rsidR="00635080" w:rsidRPr="00635080">
        <w:rPr>
          <w:rFonts w:ascii="Times" w:eastAsia="Times New Roman" w:hAnsi="Times" w:cs="Arial"/>
          <w:color w:val="000000"/>
        </w:rPr>
        <w:t xml:space="preserve"> derives from the material conditions of the COVID-19 lockdown era. It is a happy byproduct of the fact that literary scholars (like other folks) were forced to rethink </w:t>
      </w:r>
      <w:r w:rsidR="001F6095">
        <w:rPr>
          <w:rFonts w:ascii="Times" w:eastAsia="Times New Roman" w:hAnsi="Times" w:cs="Arial"/>
          <w:color w:val="000000"/>
        </w:rPr>
        <w:t>their</w:t>
      </w:r>
      <w:r w:rsidR="001F6095" w:rsidRPr="00635080">
        <w:rPr>
          <w:rFonts w:ascii="Times" w:eastAsia="Times New Roman" w:hAnsi="Times" w:cs="Arial"/>
          <w:color w:val="000000"/>
        </w:rPr>
        <w:t xml:space="preserve"> </w:t>
      </w:r>
      <w:r w:rsidR="00635080" w:rsidRPr="00635080">
        <w:rPr>
          <w:rFonts w:ascii="Times" w:eastAsia="Times New Roman" w:hAnsi="Times" w:cs="Arial"/>
          <w:color w:val="000000"/>
        </w:rPr>
        <w:t>professional lives during that difficult time. During lockdown, the “Religion and Spiritualities Caucus” of the North American Victorian Studies Association (NAVSA) convened a series of online meetings to discuss work and scholarship, and to f</w:t>
      </w:r>
      <w:r w:rsidR="00F73D31">
        <w:rPr>
          <w:rFonts w:ascii="Times" w:eastAsia="Times New Roman" w:hAnsi="Times" w:cs="Arial"/>
          <w:color w:val="000000"/>
        </w:rPr>
        <w:t>orge</w:t>
      </w:r>
      <w:r w:rsidR="00635080" w:rsidRPr="00635080">
        <w:rPr>
          <w:rFonts w:ascii="Times" w:eastAsia="Times New Roman" w:hAnsi="Times" w:cs="Arial"/>
          <w:color w:val="000000"/>
        </w:rPr>
        <w:t xml:space="preserve"> new expressions of community in </w:t>
      </w:r>
      <w:r w:rsidR="00F73D31">
        <w:rPr>
          <w:rFonts w:ascii="Times" w:eastAsia="Times New Roman" w:hAnsi="Times" w:cs="Arial"/>
          <w:color w:val="000000"/>
        </w:rPr>
        <w:t>the face</w:t>
      </w:r>
      <w:r w:rsidR="00635080" w:rsidRPr="00635080">
        <w:rPr>
          <w:rFonts w:ascii="Times" w:eastAsia="Times New Roman" w:hAnsi="Times" w:cs="Arial"/>
          <w:color w:val="000000"/>
        </w:rPr>
        <w:t xml:space="preserve"> of the cancellation of our annual scholarly conference. The fact that these </w:t>
      </w:r>
      <w:r w:rsidR="001F6095">
        <w:rPr>
          <w:rFonts w:ascii="Times" w:eastAsia="Times New Roman" w:hAnsi="Times" w:cs="Arial"/>
          <w:color w:val="000000"/>
        </w:rPr>
        <w:t>meetings</w:t>
      </w:r>
      <w:r w:rsidR="001F6095"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took place remotely, over Zoom, meant that we could expand our conversation to scholars who might not attend NAVSA conferences. At one of our online gatherings, the caucus planning committee (composed of Amy </w:t>
      </w:r>
      <w:proofErr w:type="spellStart"/>
      <w:r w:rsidR="00635080" w:rsidRPr="00635080">
        <w:rPr>
          <w:rFonts w:ascii="Times" w:eastAsia="Times New Roman" w:hAnsi="Times" w:cs="Arial"/>
          <w:color w:val="000000"/>
        </w:rPr>
        <w:t>Coté</w:t>
      </w:r>
      <w:proofErr w:type="spellEnd"/>
      <w:r w:rsidR="00635080" w:rsidRPr="00635080">
        <w:rPr>
          <w:rFonts w:ascii="Times" w:eastAsia="Times New Roman" w:hAnsi="Times" w:cs="Arial"/>
          <w:color w:val="000000"/>
        </w:rPr>
        <w:t>, Denae Dyck, Joshua King and Mark Knight) asked scholars with related interests but who specialized in other historical literature</w:t>
      </w:r>
      <w:r w:rsidR="001F6095">
        <w:rPr>
          <w:rFonts w:ascii="Times" w:eastAsia="Times New Roman" w:hAnsi="Times" w:cs="Arial"/>
          <w:color w:val="000000"/>
        </w:rPr>
        <w:t>s</w:t>
      </w:r>
      <w:r w:rsidR="00635080" w:rsidRPr="00635080">
        <w:rPr>
          <w:rFonts w:ascii="Times" w:eastAsia="Times New Roman" w:hAnsi="Times" w:cs="Arial"/>
          <w:color w:val="000000"/>
        </w:rPr>
        <w:t xml:space="preserve"> to join us for a discussion of how we talk about religion in eighteenth and nineteenth century studies. Struck by the way in which the various experiences of scholars in different subfields resembled one another, we were keen to extend that conversation and we set about inviting those initial participants and </w:t>
      </w:r>
      <w:r w:rsidR="00026647">
        <w:rPr>
          <w:rFonts w:ascii="Times" w:eastAsia="Times New Roman" w:hAnsi="Times" w:cs="Arial"/>
          <w:color w:val="000000"/>
        </w:rPr>
        <w:t xml:space="preserve">several </w:t>
      </w:r>
      <w:r w:rsidR="00635080" w:rsidRPr="00635080">
        <w:rPr>
          <w:rFonts w:ascii="Times" w:eastAsia="Times New Roman" w:hAnsi="Times" w:cs="Arial"/>
          <w:color w:val="000000"/>
        </w:rPr>
        <w:t xml:space="preserve">others to contribute </w:t>
      </w:r>
      <w:r w:rsidR="00026647">
        <w:rPr>
          <w:rFonts w:ascii="Times" w:eastAsia="Times New Roman" w:hAnsi="Times" w:cs="Arial"/>
          <w:color w:val="000000"/>
        </w:rPr>
        <w:t xml:space="preserve">full-length </w:t>
      </w:r>
      <w:r w:rsidR="001F6095">
        <w:rPr>
          <w:rFonts w:ascii="Times" w:eastAsia="Times New Roman" w:hAnsi="Times" w:cs="Arial"/>
          <w:color w:val="000000"/>
        </w:rPr>
        <w:t xml:space="preserve">essays </w:t>
      </w:r>
      <w:r w:rsidR="00635080" w:rsidRPr="00635080">
        <w:rPr>
          <w:rFonts w:ascii="Times" w:eastAsia="Times New Roman" w:hAnsi="Times" w:cs="Arial"/>
          <w:color w:val="000000"/>
        </w:rPr>
        <w:t xml:space="preserve">to </w:t>
      </w:r>
      <w:r w:rsidR="001F6095">
        <w:rPr>
          <w:rFonts w:ascii="Times" w:eastAsia="Times New Roman" w:hAnsi="Times" w:cs="Arial"/>
          <w:color w:val="000000"/>
        </w:rPr>
        <w:t>a</w:t>
      </w:r>
      <w:r w:rsidR="001F6095" w:rsidRPr="00635080">
        <w:rPr>
          <w:rFonts w:ascii="Times" w:eastAsia="Times New Roman" w:hAnsi="Times" w:cs="Arial"/>
          <w:color w:val="000000"/>
        </w:rPr>
        <w:t xml:space="preserve"> </w:t>
      </w:r>
      <w:r w:rsidR="00635080" w:rsidRPr="00635080">
        <w:rPr>
          <w:rFonts w:ascii="Times" w:eastAsia="Times New Roman" w:hAnsi="Times" w:cs="Arial"/>
          <w:color w:val="000000"/>
        </w:rPr>
        <w:t>special issue</w:t>
      </w:r>
      <w:r w:rsidR="001F6095">
        <w:rPr>
          <w:rFonts w:ascii="Times" w:eastAsia="Times New Roman" w:hAnsi="Times" w:cs="Arial"/>
          <w:color w:val="000000"/>
        </w:rPr>
        <w:t xml:space="preserve"> on the subject</w:t>
      </w:r>
      <w:r w:rsidR="00635080" w:rsidRPr="00635080">
        <w:rPr>
          <w:rFonts w:ascii="Times" w:eastAsia="Times New Roman" w:hAnsi="Times" w:cs="Arial"/>
          <w:color w:val="000000"/>
        </w:rPr>
        <w:t>.</w:t>
      </w:r>
    </w:p>
    <w:p w14:paraId="2E01AD4C" w14:textId="77777777" w:rsidR="00635080" w:rsidRPr="00635080" w:rsidRDefault="00635080" w:rsidP="00635080">
      <w:pPr>
        <w:spacing w:line="360" w:lineRule="auto"/>
        <w:rPr>
          <w:rFonts w:ascii="Times" w:eastAsia="Times New Roman" w:hAnsi="Times" w:cs="Times New Roman"/>
        </w:rPr>
      </w:pPr>
    </w:p>
    <w:p w14:paraId="11620658" w14:textId="2599BBCA" w:rsidR="00635080" w:rsidRPr="00635080" w:rsidRDefault="00386167" w:rsidP="005A50BE">
      <w:pPr>
        <w:spacing w:line="360" w:lineRule="auto"/>
        <w:rPr>
          <w:rFonts w:ascii="Times" w:eastAsia="Times New Roman" w:hAnsi="Times" w:cs="Times New Roman"/>
        </w:rPr>
      </w:pPr>
      <w:r>
        <w:rPr>
          <w:rFonts w:ascii="Times" w:eastAsia="Times New Roman" w:hAnsi="Times" w:cs="Arial"/>
          <w:color w:val="000000"/>
        </w:rPr>
        <w:t xml:space="preserve">More </w:t>
      </w:r>
      <w:r w:rsidR="00C32633">
        <w:rPr>
          <w:rFonts w:ascii="Times" w:eastAsia="Times New Roman" w:hAnsi="Times" w:cs="Arial"/>
          <w:color w:val="000000"/>
        </w:rPr>
        <w:t xml:space="preserve">broadly </w:t>
      </w:r>
      <w:r w:rsidR="00DC7B82">
        <w:rPr>
          <w:rFonts w:ascii="Times" w:eastAsia="Times New Roman" w:hAnsi="Times" w:cs="Arial"/>
          <w:color w:val="000000"/>
        </w:rPr>
        <w:t>speaking</w:t>
      </w:r>
      <w:r w:rsidR="00635080" w:rsidRPr="00635080">
        <w:rPr>
          <w:rFonts w:ascii="Times" w:eastAsia="Times New Roman" w:hAnsi="Times" w:cs="Arial"/>
          <w:color w:val="000000"/>
        </w:rPr>
        <w:t>, th</w:t>
      </w:r>
      <w:r w:rsidR="00DC7B82">
        <w:rPr>
          <w:rFonts w:ascii="Times" w:eastAsia="Times New Roman" w:hAnsi="Times" w:cs="Arial"/>
          <w:color w:val="000000"/>
        </w:rPr>
        <w:t>e</w:t>
      </w:r>
      <w:r w:rsidR="00635080" w:rsidRPr="00635080">
        <w:rPr>
          <w:rFonts w:ascii="Times" w:eastAsia="Times New Roman" w:hAnsi="Times" w:cs="Arial"/>
          <w:color w:val="000000"/>
        </w:rPr>
        <w:t xml:space="preserve"> special issue grows out of the long-standing difficulties that literary scholars have</w:t>
      </w:r>
      <w:r w:rsidR="00DC7B82">
        <w:rPr>
          <w:rFonts w:ascii="Times" w:eastAsia="Times New Roman" w:hAnsi="Times" w:cs="Arial"/>
          <w:color w:val="000000"/>
        </w:rPr>
        <w:t xml:space="preserve"> had</w:t>
      </w:r>
      <w:r w:rsidR="00635080" w:rsidRPr="00635080">
        <w:rPr>
          <w:rFonts w:ascii="Times" w:eastAsia="Times New Roman" w:hAnsi="Times" w:cs="Arial"/>
          <w:color w:val="000000"/>
        </w:rPr>
        <w:t xml:space="preserve"> in discussing religion. The relationship between religion and </w:t>
      </w:r>
      <w:r w:rsidR="00026647">
        <w:rPr>
          <w:rFonts w:ascii="Times" w:eastAsia="Times New Roman" w:hAnsi="Times" w:cs="Arial"/>
          <w:color w:val="000000"/>
        </w:rPr>
        <w:t>literary</w:t>
      </w:r>
      <w:r w:rsidR="00026647" w:rsidRPr="00635080">
        <w:rPr>
          <w:rFonts w:ascii="Times" w:eastAsia="Times New Roman" w:hAnsi="Times" w:cs="Arial"/>
          <w:color w:val="000000"/>
        </w:rPr>
        <w:t xml:space="preserve"> </w:t>
      </w:r>
      <w:r w:rsidR="00026647">
        <w:rPr>
          <w:rFonts w:ascii="Times" w:eastAsia="Times New Roman" w:hAnsi="Times" w:cs="Arial"/>
          <w:color w:val="000000"/>
        </w:rPr>
        <w:t>history</w:t>
      </w:r>
      <w:r w:rsidR="00026647"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is famously vexed. Many of us are daunted at the scale of </w:t>
      </w:r>
      <w:r w:rsidR="00007064">
        <w:rPr>
          <w:rFonts w:ascii="Times" w:eastAsia="Times New Roman" w:hAnsi="Times" w:cs="Arial"/>
          <w:color w:val="000000"/>
        </w:rPr>
        <w:t>religious culture</w:t>
      </w:r>
      <w:r w:rsidR="00635080" w:rsidRPr="00635080">
        <w:rPr>
          <w:rFonts w:ascii="Times" w:eastAsia="Times New Roman" w:hAnsi="Times" w:cs="Arial"/>
          <w:color w:val="000000"/>
        </w:rPr>
        <w:t>, frustrated by the limits of our own understanding</w:t>
      </w:r>
      <w:r w:rsidR="00F246C8">
        <w:rPr>
          <w:rFonts w:ascii="Times" w:eastAsia="Times New Roman" w:hAnsi="Times" w:cs="Arial"/>
          <w:color w:val="000000"/>
        </w:rPr>
        <w:t>,</w:t>
      </w:r>
      <w:r w:rsidR="00635080" w:rsidRPr="00635080">
        <w:rPr>
          <w:rFonts w:ascii="Times" w:eastAsia="Times New Roman" w:hAnsi="Times" w:cs="Arial"/>
          <w:color w:val="000000"/>
        </w:rPr>
        <w:t xml:space="preserve"> and </w:t>
      </w:r>
      <w:r w:rsidR="00F06563">
        <w:rPr>
          <w:rFonts w:ascii="Times" w:eastAsia="Times New Roman" w:hAnsi="Times" w:cs="Arial"/>
          <w:color w:val="000000"/>
        </w:rPr>
        <w:t xml:space="preserve">baffled </w:t>
      </w:r>
      <w:r w:rsidR="00DC7B82">
        <w:rPr>
          <w:rFonts w:ascii="Times" w:eastAsia="Times New Roman" w:hAnsi="Times" w:cs="Arial"/>
          <w:color w:val="000000"/>
        </w:rPr>
        <w:t>when we find</w:t>
      </w:r>
      <w:r w:rsidR="00635080" w:rsidRPr="00635080">
        <w:rPr>
          <w:rFonts w:ascii="Times" w:eastAsia="Times New Roman" w:hAnsi="Times" w:cs="Arial"/>
          <w:color w:val="000000"/>
        </w:rPr>
        <w:t xml:space="preserve"> fellow scholars</w:t>
      </w:r>
      <w:r w:rsidR="00DC7B82">
        <w:rPr>
          <w:rFonts w:ascii="Times" w:eastAsia="Times New Roman" w:hAnsi="Times" w:cs="Arial"/>
          <w:color w:val="000000"/>
        </w:rPr>
        <w:t xml:space="preserve"> indifferent</w:t>
      </w:r>
      <w:r w:rsidR="00635080" w:rsidRPr="00635080">
        <w:rPr>
          <w:rFonts w:ascii="Times" w:eastAsia="Times New Roman" w:hAnsi="Times" w:cs="Arial"/>
          <w:color w:val="000000"/>
        </w:rPr>
        <w:t xml:space="preserve"> to </w:t>
      </w:r>
      <w:r w:rsidR="00341BE7">
        <w:rPr>
          <w:rFonts w:ascii="Times" w:eastAsia="Times New Roman" w:hAnsi="Times" w:cs="Arial"/>
          <w:color w:val="000000"/>
        </w:rPr>
        <w:t>its importance</w:t>
      </w:r>
      <w:r w:rsidR="00635080" w:rsidRPr="00635080">
        <w:rPr>
          <w:rFonts w:ascii="Times" w:eastAsia="Times New Roman" w:hAnsi="Times" w:cs="Arial"/>
          <w:color w:val="000000"/>
        </w:rPr>
        <w:t xml:space="preserve">. </w:t>
      </w:r>
      <w:r w:rsidR="00DC7B82">
        <w:rPr>
          <w:rFonts w:ascii="Times" w:eastAsia="Times New Roman" w:hAnsi="Times" w:cs="Arial"/>
          <w:color w:val="000000"/>
        </w:rPr>
        <w:t>S</w:t>
      </w:r>
      <w:r w:rsidR="00635080" w:rsidRPr="00635080">
        <w:rPr>
          <w:rFonts w:ascii="Times" w:eastAsia="Times New Roman" w:hAnsi="Times" w:cs="Arial"/>
          <w:color w:val="000000"/>
        </w:rPr>
        <w:t xml:space="preserve">ince the two of us </w:t>
      </w:r>
      <w:r w:rsidR="00DC7B82">
        <w:rPr>
          <w:rFonts w:ascii="Times" w:eastAsia="Times New Roman" w:hAnsi="Times" w:cs="Arial"/>
          <w:color w:val="000000"/>
        </w:rPr>
        <w:t>began our careers</w:t>
      </w:r>
      <w:r w:rsidR="005A50BE">
        <w:rPr>
          <w:rFonts w:ascii="Times" w:eastAsia="Times New Roman" w:hAnsi="Times" w:cs="Arial"/>
          <w:color w:val="000000"/>
        </w:rPr>
        <w:t>,</w:t>
      </w:r>
      <w:r w:rsidR="00DC7B82">
        <w:rPr>
          <w:rFonts w:ascii="Times" w:eastAsia="Times New Roman" w:hAnsi="Times" w:cs="Arial"/>
          <w:color w:val="000000"/>
        </w:rPr>
        <w:t xml:space="preserve"> it is true,</w:t>
      </w:r>
      <w:r w:rsidR="005A50BE">
        <w:rPr>
          <w:rFonts w:ascii="Times" w:eastAsia="Times New Roman" w:hAnsi="Times" w:cs="Arial"/>
          <w:color w:val="000000"/>
        </w:rPr>
        <w:t xml:space="preserve"> </w:t>
      </w:r>
      <w:r w:rsidR="00635080" w:rsidRPr="00635080">
        <w:rPr>
          <w:rFonts w:ascii="Times" w:eastAsia="Times New Roman" w:hAnsi="Times" w:cs="Arial"/>
          <w:color w:val="000000"/>
        </w:rPr>
        <w:t xml:space="preserve">views about religion have </w:t>
      </w:r>
      <w:r w:rsidR="00CA2CA1">
        <w:rPr>
          <w:rFonts w:ascii="Times" w:eastAsia="Times New Roman" w:hAnsi="Times" w:cs="Arial"/>
          <w:color w:val="000000"/>
        </w:rPr>
        <w:t>evolved</w:t>
      </w:r>
      <w:r w:rsidR="00EB23D6">
        <w:rPr>
          <w:rFonts w:ascii="Times" w:eastAsia="Times New Roman" w:hAnsi="Times" w:cs="Arial"/>
          <w:color w:val="000000"/>
        </w:rPr>
        <w:t xml:space="preserve"> dramatically</w:t>
      </w:r>
      <w:r w:rsidR="00635080" w:rsidRPr="00635080">
        <w:rPr>
          <w:rFonts w:ascii="Times" w:eastAsia="Times New Roman" w:hAnsi="Times" w:cs="Arial"/>
          <w:color w:val="000000"/>
        </w:rPr>
        <w:t>.</w:t>
      </w:r>
      <w:r w:rsidR="00DC7B82">
        <w:rPr>
          <w:rFonts w:ascii="Times" w:eastAsia="Times New Roman" w:hAnsi="Times" w:cs="Arial"/>
          <w:color w:val="000000"/>
        </w:rPr>
        <w:t xml:space="preserve"> During</w:t>
      </w:r>
      <w:r w:rsidR="005A50BE">
        <w:rPr>
          <w:rFonts w:ascii="Times" w:eastAsia="Times New Roman" w:hAnsi="Times" w:cs="Arial"/>
          <w:color w:val="000000"/>
        </w:rPr>
        <w:t xml:space="preserve"> the nineteen-nineties</w:t>
      </w:r>
      <w:r w:rsidR="00CA2CA1" w:rsidRPr="00635080">
        <w:rPr>
          <w:rFonts w:ascii="Times" w:eastAsia="Times New Roman" w:hAnsi="Times" w:cs="Arial"/>
          <w:color w:val="000000"/>
        </w:rPr>
        <w:t xml:space="preserve">, </w:t>
      </w:r>
      <w:r w:rsidR="005A50BE">
        <w:rPr>
          <w:rFonts w:ascii="Times" w:eastAsia="Times New Roman" w:hAnsi="Times" w:cs="Arial"/>
          <w:color w:val="000000"/>
        </w:rPr>
        <w:t xml:space="preserve">nobody </w:t>
      </w:r>
      <w:r w:rsidR="003F6A4C">
        <w:rPr>
          <w:rFonts w:ascii="Times" w:eastAsia="Times New Roman" w:hAnsi="Times" w:cs="Arial"/>
          <w:color w:val="000000"/>
        </w:rPr>
        <w:t>would bat</w:t>
      </w:r>
      <w:r w:rsidR="005A50BE">
        <w:rPr>
          <w:rFonts w:ascii="Times" w:eastAsia="Times New Roman" w:hAnsi="Times" w:cs="Arial"/>
          <w:color w:val="000000"/>
        </w:rPr>
        <w:t xml:space="preserve"> an eye</w:t>
      </w:r>
      <w:r w:rsidR="008066F7">
        <w:rPr>
          <w:rFonts w:ascii="Times" w:eastAsia="Times New Roman" w:hAnsi="Times" w:cs="Arial"/>
          <w:color w:val="000000"/>
        </w:rPr>
        <w:t>lid</w:t>
      </w:r>
      <w:r w:rsidR="005A50BE">
        <w:rPr>
          <w:rFonts w:ascii="Times" w:eastAsia="Times New Roman" w:hAnsi="Times" w:cs="Arial"/>
          <w:color w:val="000000"/>
        </w:rPr>
        <w:t xml:space="preserve"> </w:t>
      </w:r>
      <w:r w:rsidR="00C649A5">
        <w:rPr>
          <w:rFonts w:ascii="Times" w:eastAsia="Times New Roman" w:hAnsi="Times" w:cs="Arial"/>
          <w:color w:val="000000"/>
        </w:rPr>
        <w:t>at hearing a scholar</w:t>
      </w:r>
      <w:r w:rsidR="005A50BE">
        <w:rPr>
          <w:rFonts w:ascii="Times" w:eastAsia="Times New Roman" w:hAnsi="Times" w:cs="Arial"/>
          <w:color w:val="000000"/>
        </w:rPr>
        <w:t xml:space="preserve"> </w:t>
      </w:r>
      <w:r w:rsidR="00635080" w:rsidRPr="00635080">
        <w:rPr>
          <w:rFonts w:ascii="Times" w:eastAsia="Times New Roman" w:hAnsi="Times" w:cs="Arial"/>
          <w:color w:val="000000"/>
        </w:rPr>
        <w:t>dismiss religion as uninteresting or</w:t>
      </w:r>
      <w:r w:rsidR="003F6A4C">
        <w:rPr>
          <w:rFonts w:ascii="Times" w:eastAsia="Times New Roman" w:hAnsi="Times" w:cs="Arial"/>
          <w:color w:val="000000"/>
        </w:rPr>
        <w:t xml:space="preserve"> </w:t>
      </w:r>
      <w:r w:rsidR="00635080" w:rsidRPr="00635080">
        <w:rPr>
          <w:rFonts w:ascii="Times" w:eastAsia="Times New Roman" w:hAnsi="Times" w:cs="Arial"/>
          <w:color w:val="000000"/>
        </w:rPr>
        <w:t xml:space="preserve">irrelevant to </w:t>
      </w:r>
      <w:r w:rsidR="005A50BE">
        <w:rPr>
          <w:rFonts w:ascii="Times" w:eastAsia="Times New Roman" w:hAnsi="Times" w:cs="Arial"/>
          <w:color w:val="000000"/>
        </w:rPr>
        <w:t xml:space="preserve">the course of </w:t>
      </w:r>
      <w:r w:rsidR="00635080" w:rsidRPr="00635080">
        <w:rPr>
          <w:rFonts w:ascii="Times" w:eastAsia="Times New Roman" w:hAnsi="Times" w:cs="Arial"/>
          <w:color w:val="000000"/>
        </w:rPr>
        <w:t>modern literature</w:t>
      </w:r>
      <w:r w:rsidR="00CA2CA1">
        <w:rPr>
          <w:rFonts w:ascii="Times" w:eastAsia="Times New Roman" w:hAnsi="Times" w:cs="Arial"/>
          <w:color w:val="000000"/>
        </w:rPr>
        <w:t xml:space="preserve">. </w:t>
      </w:r>
      <w:r w:rsidR="00C649A5">
        <w:rPr>
          <w:rFonts w:ascii="Times" w:eastAsia="Times New Roman" w:hAnsi="Times" w:cs="Arial"/>
          <w:color w:val="000000"/>
        </w:rPr>
        <w:t>T</w:t>
      </w:r>
      <w:r w:rsidR="00635080" w:rsidRPr="00635080">
        <w:rPr>
          <w:rFonts w:ascii="Times" w:eastAsia="Times New Roman" w:hAnsi="Times" w:cs="Arial"/>
          <w:color w:val="000000"/>
        </w:rPr>
        <w:t xml:space="preserve">he “religious turn” </w:t>
      </w:r>
      <w:r w:rsidR="00EB23D6">
        <w:rPr>
          <w:rFonts w:ascii="Times" w:eastAsia="Times New Roman" w:hAnsi="Times" w:cs="Arial"/>
          <w:color w:val="000000"/>
        </w:rPr>
        <w:t>of</w:t>
      </w:r>
      <w:r w:rsidR="005A50BE">
        <w:rPr>
          <w:rFonts w:ascii="Times" w:eastAsia="Times New Roman" w:hAnsi="Times" w:cs="Arial"/>
          <w:color w:val="000000"/>
        </w:rPr>
        <w:t xml:space="preserve"> the</w:t>
      </w:r>
      <w:r w:rsidR="00DC7B82">
        <w:rPr>
          <w:rFonts w:ascii="Times" w:eastAsia="Times New Roman" w:hAnsi="Times" w:cs="Arial"/>
          <w:color w:val="000000"/>
        </w:rPr>
        <w:t xml:space="preserve"> late nineties and</w:t>
      </w:r>
      <w:r w:rsidR="005A50BE">
        <w:rPr>
          <w:rFonts w:ascii="Times" w:eastAsia="Times New Roman" w:hAnsi="Times" w:cs="Arial"/>
          <w:color w:val="000000"/>
        </w:rPr>
        <w:t xml:space="preserve"> early aughts</w:t>
      </w:r>
      <w:r w:rsidR="00FE4239">
        <w:rPr>
          <w:rFonts w:ascii="Times" w:eastAsia="Times New Roman" w:hAnsi="Times" w:cs="Arial"/>
          <w:color w:val="000000"/>
        </w:rPr>
        <w:t xml:space="preserve"> thus</w:t>
      </w:r>
      <w:r w:rsidR="005A50BE">
        <w:rPr>
          <w:rFonts w:ascii="Times" w:eastAsia="Times New Roman" w:hAnsi="Times" w:cs="Arial"/>
          <w:color w:val="000000"/>
        </w:rPr>
        <w:t xml:space="preserve"> </w:t>
      </w:r>
      <w:r w:rsidR="00A05035">
        <w:rPr>
          <w:rFonts w:ascii="Times" w:eastAsia="Times New Roman" w:hAnsi="Times" w:cs="Arial"/>
          <w:color w:val="000000"/>
        </w:rPr>
        <w:t>changed the game</w:t>
      </w:r>
      <w:r w:rsidR="00B344F5">
        <w:rPr>
          <w:rFonts w:ascii="Times" w:eastAsia="Times New Roman" w:hAnsi="Times" w:cs="Arial"/>
          <w:color w:val="000000"/>
        </w:rPr>
        <w:t xml:space="preserve"> in helpful ways</w:t>
      </w:r>
      <w:r w:rsidR="00A05035">
        <w:rPr>
          <w:rFonts w:ascii="Times" w:eastAsia="Times New Roman" w:hAnsi="Times" w:cs="Arial"/>
          <w:color w:val="000000"/>
        </w:rPr>
        <w:t xml:space="preserve">. </w:t>
      </w:r>
      <w:r w:rsidR="00173655">
        <w:rPr>
          <w:rFonts w:ascii="Times" w:eastAsia="Times New Roman" w:hAnsi="Times" w:cs="Arial"/>
          <w:color w:val="000000"/>
        </w:rPr>
        <w:t xml:space="preserve">This </w:t>
      </w:r>
      <w:r w:rsidR="00D63BFD">
        <w:rPr>
          <w:rFonts w:ascii="Times" w:eastAsia="Times New Roman" w:hAnsi="Times" w:cs="Arial"/>
          <w:color w:val="000000"/>
        </w:rPr>
        <w:t xml:space="preserve">involved new attention to religion from prominent figures </w:t>
      </w:r>
      <w:r w:rsidR="00F06563">
        <w:rPr>
          <w:rFonts w:ascii="Times" w:eastAsia="Times New Roman" w:hAnsi="Times" w:cs="Arial"/>
          <w:color w:val="000000"/>
        </w:rPr>
        <w:t>right</w:t>
      </w:r>
      <w:r w:rsidR="00D63BFD">
        <w:rPr>
          <w:rFonts w:ascii="Times" w:eastAsia="Times New Roman" w:hAnsi="Times" w:cs="Arial"/>
          <w:color w:val="000000"/>
        </w:rPr>
        <w:t xml:space="preserve"> down the “theory” rolodex </w:t>
      </w:r>
      <w:r w:rsidR="00D63BFD" w:rsidRPr="00635080">
        <w:rPr>
          <w:rFonts w:ascii="Times" w:eastAsia="Times New Roman" w:hAnsi="Times" w:cs="Arial"/>
          <w:color w:val="000000"/>
        </w:rPr>
        <w:t>from Giorgio Agamben</w:t>
      </w:r>
      <w:r w:rsidR="00D63BFD">
        <w:rPr>
          <w:rFonts w:ascii="Times" w:eastAsia="Times New Roman" w:hAnsi="Times" w:cs="Arial"/>
          <w:color w:val="000000"/>
        </w:rPr>
        <w:t xml:space="preserve"> </w:t>
      </w:r>
      <w:r w:rsidR="00A05035">
        <w:rPr>
          <w:rFonts w:ascii="Times" w:eastAsia="Times New Roman" w:hAnsi="Times" w:cs="Arial"/>
          <w:color w:val="000000"/>
        </w:rPr>
        <w:t xml:space="preserve">and Judith Butler </w:t>
      </w:r>
      <w:r w:rsidR="00D63BFD">
        <w:rPr>
          <w:rFonts w:ascii="Times" w:eastAsia="Times New Roman" w:hAnsi="Times" w:cs="Arial"/>
          <w:color w:val="000000"/>
        </w:rPr>
        <w:t xml:space="preserve">to </w:t>
      </w:r>
      <w:proofErr w:type="spellStart"/>
      <w:r w:rsidR="00D63BFD" w:rsidRPr="005A50BE">
        <w:rPr>
          <w:rFonts w:ascii="Times" w:eastAsia="Times New Roman" w:hAnsi="Times" w:cs="Arial"/>
          <w:color w:val="000000"/>
        </w:rPr>
        <w:t>Slavoj</w:t>
      </w:r>
      <w:proofErr w:type="spellEnd"/>
      <w:r w:rsidR="00D63BFD" w:rsidRPr="005A50BE">
        <w:rPr>
          <w:rFonts w:ascii="Times" w:eastAsia="Times New Roman" w:hAnsi="Times" w:cs="Arial"/>
          <w:color w:val="000000"/>
        </w:rPr>
        <w:t xml:space="preserve"> </w:t>
      </w:r>
      <w:proofErr w:type="spellStart"/>
      <w:r w:rsidR="00D63BFD" w:rsidRPr="005A50BE">
        <w:rPr>
          <w:rFonts w:ascii="Times" w:eastAsia="Times New Roman" w:hAnsi="Times" w:cs="Arial"/>
          <w:color w:val="000000"/>
        </w:rPr>
        <w:t>Žižek</w:t>
      </w:r>
      <w:proofErr w:type="spellEnd"/>
      <w:r w:rsidR="00D63BFD">
        <w:rPr>
          <w:rFonts w:ascii="Times" w:eastAsia="Times New Roman" w:hAnsi="Times" w:cs="Arial"/>
          <w:color w:val="000000"/>
        </w:rPr>
        <w:t>.</w:t>
      </w:r>
      <w:r w:rsidR="00D63BFD">
        <w:rPr>
          <w:rStyle w:val="EndnoteReference"/>
          <w:rFonts w:ascii="Times" w:eastAsia="Times New Roman" w:hAnsi="Times" w:cs="Arial"/>
          <w:color w:val="000000"/>
        </w:rPr>
        <w:endnoteReference w:id="1"/>
      </w:r>
      <w:r w:rsidR="00D63BFD">
        <w:rPr>
          <w:rFonts w:ascii="Times" w:eastAsia="Times New Roman" w:hAnsi="Times" w:cs="Arial"/>
          <w:color w:val="000000"/>
        </w:rPr>
        <w:t xml:space="preserve"> </w:t>
      </w:r>
      <w:r w:rsidR="00173655">
        <w:rPr>
          <w:rFonts w:ascii="Times" w:eastAsia="Times New Roman" w:hAnsi="Times" w:cs="Arial"/>
          <w:color w:val="000000"/>
        </w:rPr>
        <w:t>But it also</w:t>
      </w:r>
      <w:r w:rsidR="00A05035">
        <w:rPr>
          <w:rFonts w:ascii="Times" w:eastAsia="Times New Roman" w:hAnsi="Times" w:cs="Arial"/>
          <w:color w:val="000000"/>
        </w:rPr>
        <w:t xml:space="preserve"> involved </w:t>
      </w:r>
      <w:r w:rsidR="00D63BFD">
        <w:rPr>
          <w:rFonts w:ascii="Times" w:eastAsia="Times New Roman" w:hAnsi="Times" w:cs="Arial"/>
          <w:color w:val="000000"/>
        </w:rPr>
        <w:t xml:space="preserve">thinkers who had not previously appeared on “theory” syllabuses, </w:t>
      </w:r>
      <w:r w:rsidR="00A05035">
        <w:rPr>
          <w:rFonts w:ascii="Times" w:eastAsia="Times New Roman" w:hAnsi="Times" w:cs="Arial"/>
          <w:color w:val="000000"/>
        </w:rPr>
        <w:t>such as</w:t>
      </w:r>
      <w:r w:rsidR="00D63BFD">
        <w:rPr>
          <w:rFonts w:ascii="Times" w:eastAsia="Times New Roman" w:hAnsi="Times" w:cs="Arial"/>
          <w:color w:val="000000"/>
        </w:rPr>
        <w:t xml:space="preserve"> the philosopher </w:t>
      </w:r>
      <w:r w:rsidR="00D63BFD" w:rsidRPr="00635080">
        <w:rPr>
          <w:rFonts w:ascii="Times" w:eastAsia="Times New Roman" w:hAnsi="Times" w:cs="Arial"/>
          <w:color w:val="000000"/>
        </w:rPr>
        <w:t>Charles Taylor</w:t>
      </w:r>
      <w:r w:rsidR="00D63BFD">
        <w:rPr>
          <w:rFonts w:ascii="Times" w:eastAsia="Times New Roman" w:hAnsi="Times" w:cs="Arial"/>
          <w:color w:val="000000"/>
        </w:rPr>
        <w:t xml:space="preserve">, the </w:t>
      </w:r>
      <w:r w:rsidR="00D63BFD">
        <w:rPr>
          <w:rFonts w:ascii="Times" w:eastAsia="Times New Roman" w:hAnsi="Times" w:cs="Arial"/>
          <w:color w:val="000000"/>
        </w:rPr>
        <w:lastRenderedPageBreak/>
        <w:t>anthropologist</w:t>
      </w:r>
      <w:r w:rsidR="00D63BFD" w:rsidRPr="00635080">
        <w:rPr>
          <w:rFonts w:ascii="Times" w:eastAsia="Times New Roman" w:hAnsi="Times" w:cs="Arial"/>
          <w:color w:val="000000"/>
        </w:rPr>
        <w:t xml:space="preserve"> Talal </w:t>
      </w:r>
      <w:proofErr w:type="spellStart"/>
      <w:r w:rsidR="00D63BFD" w:rsidRPr="00635080">
        <w:rPr>
          <w:rFonts w:ascii="Times" w:eastAsia="Times New Roman" w:hAnsi="Times" w:cs="Arial"/>
          <w:color w:val="000000"/>
        </w:rPr>
        <w:t>Asad</w:t>
      </w:r>
      <w:proofErr w:type="spellEnd"/>
      <w:r w:rsidR="00D63BFD">
        <w:rPr>
          <w:rFonts w:ascii="Times" w:eastAsia="Times New Roman" w:hAnsi="Times" w:cs="Arial"/>
          <w:color w:val="000000"/>
        </w:rPr>
        <w:t>, and an array of other historians, sociologists, and religious studies scholars</w:t>
      </w:r>
      <w:r w:rsidR="00D63BFD" w:rsidRPr="00635080">
        <w:rPr>
          <w:rFonts w:ascii="Times" w:eastAsia="Times New Roman" w:hAnsi="Times" w:cs="Arial"/>
          <w:color w:val="000000"/>
        </w:rPr>
        <w:t>.</w:t>
      </w:r>
      <w:r w:rsidR="00D63BFD">
        <w:rPr>
          <w:rStyle w:val="EndnoteReference"/>
          <w:rFonts w:ascii="Times" w:eastAsia="Times New Roman" w:hAnsi="Times" w:cs="Arial"/>
          <w:color w:val="000000"/>
        </w:rPr>
        <w:endnoteReference w:id="2"/>
      </w:r>
      <w:r w:rsidR="00D63BFD" w:rsidRPr="00635080">
        <w:rPr>
          <w:rFonts w:ascii="Times" w:eastAsia="Times New Roman" w:hAnsi="Times" w:cs="Arial"/>
          <w:color w:val="000000"/>
        </w:rPr>
        <w:t xml:space="preserve"> </w:t>
      </w:r>
      <w:r w:rsidR="00F06563">
        <w:rPr>
          <w:rFonts w:ascii="Times" w:eastAsia="Times New Roman" w:hAnsi="Times" w:cs="Arial"/>
          <w:color w:val="000000"/>
        </w:rPr>
        <w:t>Their</w:t>
      </w:r>
      <w:r w:rsidR="00D63BFD">
        <w:rPr>
          <w:rFonts w:ascii="Times" w:eastAsia="Times New Roman" w:hAnsi="Times" w:cs="Arial"/>
          <w:color w:val="000000"/>
        </w:rPr>
        <w:t xml:space="preserve"> work has deeply enriched</w:t>
      </w:r>
      <w:r w:rsidR="00D63BFD" w:rsidRPr="00635080">
        <w:rPr>
          <w:rFonts w:ascii="Times" w:eastAsia="Times New Roman" w:hAnsi="Times" w:cs="Arial"/>
          <w:color w:val="000000"/>
        </w:rPr>
        <w:t xml:space="preserve"> </w:t>
      </w:r>
      <w:r w:rsidR="00D63BFD">
        <w:rPr>
          <w:rFonts w:ascii="Times" w:eastAsia="Times New Roman" w:hAnsi="Times" w:cs="Arial"/>
          <w:color w:val="000000"/>
        </w:rPr>
        <w:t xml:space="preserve">and diversified </w:t>
      </w:r>
      <w:r w:rsidR="00D63BFD" w:rsidRPr="00635080">
        <w:rPr>
          <w:rFonts w:ascii="Times" w:eastAsia="Times New Roman" w:hAnsi="Times" w:cs="Arial"/>
          <w:color w:val="000000"/>
        </w:rPr>
        <w:t>the scholarship of those who write about</w:t>
      </w:r>
      <w:r w:rsidR="00D63BFD">
        <w:rPr>
          <w:rFonts w:ascii="Times" w:eastAsia="Times New Roman" w:hAnsi="Times" w:cs="Arial"/>
          <w:color w:val="000000"/>
        </w:rPr>
        <w:t xml:space="preserve"> literature of</w:t>
      </w:r>
      <w:r w:rsidR="00D63BFD" w:rsidRPr="00635080">
        <w:rPr>
          <w:rFonts w:ascii="Times" w:eastAsia="Times New Roman" w:hAnsi="Times" w:cs="Arial"/>
          <w:color w:val="000000"/>
        </w:rPr>
        <w:t xml:space="preserve"> the eighteenth and nineteenth centuries</w:t>
      </w:r>
      <w:r w:rsidR="00D63BFD">
        <w:rPr>
          <w:rFonts w:ascii="Times" w:eastAsia="Times New Roman" w:hAnsi="Times" w:cs="Arial"/>
          <w:color w:val="000000"/>
        </w:rPr>
        <w:t>; its presence can be felt in the essays that follow</w:t>
      </w:r>
      <w:r w:rsidR="00D63BFD" w:rsidRPr="00635080">
        <w:rPr>
          <w:rFonts w:ascii="Times" w:eastAsia="Times New Roman" w:hAnsi="Times" w:cs="Arial"/>
          <w:color w:val="000000"/>
        </w:rPr>
        <w:t>.</w:t>
      </w:r>
      <w:r w:rsidR="00253CAA">
        <w:rPr>
          <w:rFonts w:ascii="Times" w:eastAsia="Times New Roman" w:hAnsi="Times" w:cs="Arial"/>
          <w:color w:val="000000"/>
        </w:rPr>
        <w:t xml:space="preserve"> </w:t>
      </w:r>
      <w:r w:rsidR="008D0744">
        <w:rPr>
          <w:rFonts w:ascii="Times" w:eastAsia="Times New Roman" w:hAnsi="Times" w:cs="Arial"/>
          <w:color w:val="000000"/>
        </w:rPr>
        <w:t>L</w:t>
      </w:r>
      <w:r w:rsidR="00D63BFD">
        <w:rPr>
          <w:rFonts w:ascii="Times" w:eastAsia="Times New Roman" w:hAnsi="Times" w:cs="Arial"/>
          <w:color w:val="000000"/>
        </w:rPr>
        <w:t xml:space="preserve">iterary studies now </w:t>
      </w:r>
      <w:r w:rsidR="00C32633">
        <w:rPr>
          <w:rFonts w:ascii="Times" w:eastAsia="Times New Roman" w:hAnsi="Times" w:cs="Arial"/>
          <w:color w:val="000000"/>
        </w:rPr>
        <w:t xml:space="preserve">generally </w:t>
      </w:r>
      <w:proofErr w:type="gramStart"/>
      <w:r w:rsidR="00F06563">
        <w:rPr>
          <w:rFonts w:ascii="Times" w:eastAsia="Times New Roman" w:hAnsi="Times" w:cs="Arial"/>
          <w:color w:val="000000"/>
        </w:rPr>
        <w:t>grants</w:t>
      </w:r>
      <w:proofErr w:type="gramEnd"/>
      <w:r w:rsidR="00F06563">
        <w:rPr>
          <w:rFonts w:ascii="Times" w:eastAsia="Times New Roman" w:hAnsi="Times" w:cs="Arial"/>
          <w:color w:val="000000"/>
        </w:rPr>
        <w:t xml:space="preserve"> </w:t>
      </w:r>
      <w:r w:rsidR="00D63BFD">
        <w:rPr>
          <w:rFonts w:ascii="Times" w:eastAsia="Times New Roman" w:hAnsi="Times" w:cs="Arial"/>
          <w:color w:val="000000"/>
        </w:rPr>
        <w:t xml:space="preserve">religion </w:t>
      </w:r>
      <w:r w:rsidR="00F06563">
        <w:rPr>
          <w:rFonts w:ascii="Times" w:eastAsia="Times New Roman" w:hAnsi="Times" w:cs="Arial"/>
          <w:color w:val="000000"/>
        </w:rPr>
        <w:t xml:space="preserve">to be </w:t>
      </w:r>
      <w:r w:rsidR="00D63BFD">
        <w:rPr>
          <w:rFonts w:ascii="Times" w:eastAsia="Times New Roman" w:hAnsi="Times" w:cs="Arial"/>
          <w:color w:val="000000"/>
        </w:rPr>
        <w:t xml:space="preserve">a far more capacious and pervasive category than it </w:t>
      </w:r>
      <w:r w:rsidR="003B5947">
        <w:rPr>
          <w:rFonts w:ascii="Times" w:eastAsia="Times New Roman" w:hAnsi="Times" w:cs="Arial"/>
          <w:color w:val="000000"/>
        </w:rPr>
        <w:t>had don</w:t>
      </w:r>
      <w:r w:rsidR="00FE4239">
        <w:rPr>
          <w:rFonts w:ascii="Times" w:eastAsia="Times New Roman" w:hAnsi="Times" w:cs="Arial"/>
          <w:color w:val="000000"/>
        </w:rPr>
        <w:t>e</w:t>
      </w:r>
      <w:r w:rsidR="008D0744">
        <w:rPr>
          <w:rFonts w:ascii="Times" w:eastAsia="Times New Roman" w:hAnsi="Times" w:cs="Arial"/>
          <w:color w:val="000000"/>
        </w:rPr>
        <w:t>,</w:t>
      </w:r>
      <w:r w:rsidR="00FE4239">
        <w:rPr>
          <w:rFonts w:ascii="Times" w:eastAsia="Times New Roman" w:hAnsi="Times" w:cs="Arial"/>
          <w:color w:val="000000"/>
        </w:rPr>
        <w:t xml:space="preserve"> and </w:t>
      </w:r>
      <w:r w:rsidR="008D0744">
        <w:rPr>
          <w:rFonts w:ascii="Times" w:eastAsia="Times New Roman" w:hAnsi="Times" w:cs="Arial"/>
          <w:color w:val="000000"/>
        </w:rPr>
        <w:t>it now</w:t>
      </w:r>
      <w:r w:rsidR="00D63BFD">
        <w:rPr>
          <w:rFonts w:ascii="Times" w:eastAsia="Times New Roman" w:hAnsi="Times" w:cs="Arial"/>
          <w:color w:val="000000"/>
        </w:rPr>
        <w:t xml:space="preserve"> recognizes the secular to be a more ideological category, as opposed to some neutral, objective position from which one might assess faith traditions.</w:t>
      </w:r>
      <w:r w:rsidR="00D63BFD" w:rsidRPr="00635080">
        <w:rPr>
          <w:rFonts w:ascii="Times" w:eastAsia="Times New Roman" w:hAnsi="Times" w:cs="Arial"/>
          <w:color w:val="000000"/>
        </w:rPr>
        <w:t xml:space="preserve"> </w:t>
      </w:r>
    </w:p>
    <w:p w14:paraId="789A0740" w14:textId="5675C7DA" w:rsidR="00635080" w:rsidRDefault="00635080" w:rsidP="00635080">
      <w:pPr>
        <w:spacing w:line="360" w:lineRule="auto"/>
        <w:rPr>
          <w:rFonts w:ascii="Times" w:eastAsia="Times New Roman" w:hAnsi="Times" w:cs="Times New Roman"/>
        </w:rPr>
      </w:pPr>
    </w:p>
    <w:p w14:paraId="08EE35F2" w14:textId="6A997C5C" w:rsidR="003F6A4C" w:rsidRDefault="003F6A4C" w:rsidP="00635080">
      <w:pPr>
        <w:spacing w:line="360" w:lineRule="auto"/>
        <w:rPr>
          <w:rFonts w:ascii="Times" w:eastAsia="Times New Roman" w:hAnsi="Times" w:cs="Times New Roman"/>
        </w:rPr>
      </w:pPr>
      <w:r>
        <w:rPr>
          <w:rFonts w:ascii="Times" w:eastAsia="Times New Roman" w:hAnsi="Times" w:cs="Times New Roman"/>
        </w:rPr>
        <w:t xml:space="preserve">We </w:t>
      </w:r>
      <w:r w:rsidR="00C649A5">
        <w:rPr>
          <w:rFonts w:ascii="Times" w:eastAsia="Times New Roman" w:hAnsi="Times" w:cs="Times New Roman"/>
        </w:rPr>
        <w:t>should</w:t>
      </w:r>
      <w:r>
        <w:rPr>
          <w:rFonts w:ascii="Times" w:eastAsia="Times New Roman" w:hAnsi="Times" w:cs="Times New Roman"/>
        </w:rPr>
        <w:t xml:space="preserve"> acknowledge from the start that our solicited essays all turn</w:t>
      </w:r>
      <w:r w:rsidR="00957413">
        <w:rPr>
          <w:rFonts w:ascii="Times" w:eastAsia="Times New Roman" w:hAnsi="Times" w:cs="Times New Roman"/>
        </w:rPr>
        <w:t>ed</w:t>
      </w:r>
      <w:r>
        <w:rPr>
          <w:rFonts w:ascii="Times" w:eastAsia="Times New Roman" w:hAnsi="Times" w:cs="Times New Roman"/>
        </w:rPr>
        <w:t xml:space="preserve"> out to </w:t>
      </w:r>
      <w:r w:rsidR="00E13F17">
        <w:rPr>
          <w:rFonts w:ascii="Times" w:eastAsia="Times New Roman" w:hAnsi="Times" w:cs="Times New Roman"/>
        </w:rPr>
        <w:t xml:space="preserve">be </w:t>
      </w:r>
      <w:r w:rsidR="00341BE7">
        <w:rPr>
          <w:rFonts w:ascii="Times" w:eastAsia="Times New Roman" w:hAnsi="Times" w:cs="Times New Roman"/>
        </w:rPr>
        <w:t>pointed</w:t>
      </w:r>
      <w:r w:rsidR="00957413">
        <w:rPr>
          <w:rFonts w:ascii="Times" w:eastAsia="Times New Roman" w:hAnsi="Times" w:cs="Times New Roman"/>
        </w:rPr>
        <w:t xml:space="preserve"> and</w:t>
      </w:r>
      <w:r w:rsidR="00C649A5">
        <w:rPr>
          <w:rFonts w:ascii="Times" w:eastAsia="Times New Roman" w:hAnsi="Times" w:cs="Times New Roman"/>
        </w:rPr>
        <w:t xml:space="preserve"> </w:t>
      </w:r>
      <w:r w:rsidR="00E13F17">
        <w:rPr>
          <w:rFonts w:ascii="Times" w:eastAsia="Times New Roman" w:hAnsi="Times" w:cs="Times New Roman"/>
        </w:rPr>
        <w:t>even polemical</w:t>
      </w:r>
      <w:r>
        <w:rPr>
          <w:rFonts w:ascii="Times" w:eastAsia="Times New Roman" w:hAnsi="Times" w:cs="Times New Roman"/>
        </w:rPr>
        <w:t>, though the</w:t>
      </w:r>
      <w:r w:rsidR="00C649A5">
        <w:rPr>
          <w:rFonts w:ascii="Times" w:eastAsia="Times New Roman" w:hAnsi="Times" w:cs="Times New Roman"/>
        </w:rPr>
        <w:t>ir</w:t>
      </w:r>
      <w:r>
        <w:rPr>
          <w:rFonts w:ascii="Times" w:eastAsia="Times New Roman" w:hAnsi="Times" w:cs="Times New Roman"/>
        </w:rPr>
        <w:t xml:space="preserve"> terms and targets range widely. </w:t>
      </w:r>
      <w:r w:rsidR="00E92379">
        <w:rPr>
          <w:rFonts w:ascii="Times" w:eastAsia="Times New Roman" w:hAnsi="Times" w:cs="Times New Roman"/>
        </w:rPr>
        <w:t>However, t</w:t>
      </w:r>
      <w:r w:rsidR="00E13F17">
        <w:rPr>
          <w:rFonts w:ascii="Times" w:eastAsia="Times New Roman" w:hAnsi="Times" w:cs="Times New Roman"/>
        </w:rPr>
        <w:t>here remains</w:t>
      </w:r>
      <w:r w:rsidR="00EB0586">
        <w:rPr>
          <w:rFonts w:ascii="Times" w:eastAsia="Times New Roman" w:hAnsi="Times" w:cs="Times New Roman"/>
        </w:rPr>
        <w:t xml:space="preserve"> </w:t>
      </w:r>
      <w:r w:rsidR="00E13F17">
        <w:rPr>
          <w:rFonts w:ascii="Times" w:eastAsia="Times New Roman" w:hAnsi="Times" w:cs="Times New Roman"/>
        </w:rPr>
        <w:t xml:space="preserve">a </w:t>
      </w:r>
      <w:r w:rsidR="00EB0586">
        <w:rPr>
          <w:rFonts w:ascii="Times" w:eastAsia="Times New Roman" w:hAnsi="Times" w:cs="Times New Roman"/>
        </w:rPr>
        <w:t xml:space="preserve">constructive </w:t>
      </w:r>
      <w:r w:rsidR="00C6008B">
        <w:rPr>
          <w:rFonts w:ascii="Times" w:eastAsia="Times New Roman" w:hAnsi="Times" w:cs="Times New Roman"/>
        </w:rPr>
        <w:t xml:space="preserve">and dynamic </w:t>
      </w:r>
      <w:r w:rsidR="00E13F17">
        <w:rPr>
          <w:rFonts w:ascii="Times" w:eastAsia="Times New Roman" w:hAnsi="Times" w:cs="Times New Roman"/>
        </w:rPr>
        <w:t xml:space="preserve">cohesion to the </w:t>
      </w:r>
      <w:r w:rsidR="00EB0586">
        <w:rPr>
          <w:rFonts w:ascii="Times" w:eastAsia="Times New Roman" w:hAnsi="Times" w:cs="Times New Roman"/>
        </w:rPr>
        <w:t>conversation</w:t>
      </w:r>
      <w:r w:rsidR="00957413">
        <w:rPr>
          <w:rFonts w:ascii="Times" w:eastAsia="Times New Roman" w:hAnsi="Times" w:cs="Times New Roman"/>
        </w:rPr>
        <w:t xml:space="preserve">. </w:t>
      </w:r>
      <w:r w:rsidR="00EB0586">
        <w:rPr>
          <w:rFonts w:ascii="Times" w:eastAsia="Times New Roman" w:hAnsi="Times" w:cs="Times New Roman"/>
        </w:rPr>
        <w:t>A</w:t>
      </w:r>
      <w:r w:rsidR="00E13F17">
        <w:rPr>
          <w:rFonts w:ascii="Times" w:eastAsia="Times New Roman" w:hAnsi="Times" w:cs="Times New Roman"/>
        </w:rPr>
        <w:t>ll our contributors agree with Colin Jager</w:t>
      </w:r>
      <w:r w:rsidR="0082299B">
        <w:rPr>
          <w:rFonts w:ascii="Times" w:eastAsia="Times New Roman" w:hAnsi="Times" w:cs="Times New Roman"/>
        </w:rPr>
        <w:t xml:space="preserve"> here </w:t>
      </w:r>
      <w:r w:rsidR="00E13F17">
        <w:rPr>
          <w:rFonts w:ascii="Times" w:eastAsia="Times New Roman" w:hAnsi="Times" w:cs="Times New Roman"/>
        </w:rPr>
        <w:t>that “one cannot talk about religion as if it were a single thing in the world” and that “one cannot talk about empire, or race, or the market without also talking about religion, and vice versa, even</w:t>
      </w:r>
      <w:r w:rsidR="000767BF">
        <w:rPr>
          <w:rFonts w:ascii="Times" w:eastAsia="Times New Roman" w:hAnsi="Times" w:cs="Times New Roman"/>
        </w:rPr>
        <w:t>—</w:t>
      </w:r>
      <w:r w:rsidR="00E13F17">
        <w:rPr>
          <w:rFonts w:ascii="Times" w:eastAsia="Times New Roman" w:hAnsi="Times" w:cs="Times New Roman"/>
        </w:rPr>
        <w:t>perhaps especially</w:t>
      </w:r>
      <w:r w:rsidR="000767BF">
        <w:rPr>
          <w:rFonts w:ascii="Times" w:eastAsia="Times New Roman" w:hAnsi="Times" w:cs="Times New Roman"/>
        </w:rPr>
        <w:t>—</w:t>
      </w:r>
      <w:r w:rsidR="00E13F17">
        <w:rPr>
          <w:rFonts w:ascii="Times" w:eastAsia="Times New Roman" w:hAnsi="Times" w:cs="Times New Roman"/>
        </w:rPr>
        <w:t xml:space="preserve">when religion </w:t>
      </w:r>
      <w:r w:rsidR="00E13F17" w:rsidRPr="00861B3F">
        <w:rPr>
          <w:rFonts w:ascii="Times" w:eastAsia="Times New Roman" w:hAnsi="Times" w:cs="Times New Roman"/>
          <w:i/>
          <w:iCs/>
        </w:rPr>
        <w:t>is not specifically on the table</w:t>
      </w:r>
      <w:r w:rsidR="00E13F17">
        <w:rPr>
          <w:rFonts w:ascii="Times" w:eastAsia="Times New Roman" w:hAnsi="Times" w:cs="Times New Roman"/>
        </w:rPr>
        <w:t>.” Jager’s</w:t>
      </w:r>
      <w:r w:rsidR="00EB0586">
        <w:rPr>
          <w:rFonts w:ascii="Times" w:eastAsia="Times New Roman" w:hAnsi="Times" w:cs="Times New Roman"/>
        </w:rPr>
        <w:t xml:space="preserve"> insistence on </w:t>
      </w:r>
      <w:r w:rsidR="00143027">
        <w:rPr>
          <w:rFonts w:ascii="Times" w:eastAsia="Times New Roman" w:hAnsi="Times" w:cs="Times New Roman"/>
        </w:rPr>
        <w:t>foregrounding</w:t>
      </w:r>
      <w:r w:rsidR="00EB0586">
        <w:rPr>
          <w:rFonts w:ascii="Times" w:eastAsia="Times New Roman" w:hAnsi="Times" w:cs="Times New Roman"/>
        </w:rPr>
        <w:t xml:space="preserve"> the particularities of our talk of religion holds</w:t>
      </w:r>
      <w:r w:rsidR="00E13F17">
        <w:rPr>
          <w:rFonts w:ascii="Times" w:eastAsia="Times New Roman" w:hAnsi="Times" w:cs="Times New Roman"/>
        </w:rPr>
        <w:t xml:space="preserve"> </w:t>
      </w:r>
      <w:r w:rsidR="00911716">
        <w:rPr>
          <w:rFonts w:ascii="Times" w:eastAsia="Times New Roman" w:hAnsi="Times" w:cs="Times New Roman"/>
        </w:rPr>
        <w:t xml:space="preserve">true for </w:t>
      </w:r>
      <w:r w:rsidR="00143027">
        <w:rPr>
          <w:rFonts w:ascii="Times" w:eastAsia="Times New Roman" w:hAnsi="Times" w:cs="Times New Roman"/>
        </w:rPr>
        <w:t>accounts of</w:t>
      </w:r>
      <w:r w:rsidR="00C649A5">
        <w:rPr>
          <w:rFonts w:ascii="Times" w:eastAsia="Times New Roman" w:hAnsi="Times" w:cs="Times New Roman"/>
        </w:rPr>
        <w:t xml:space="preserve"> denominations </w:t>
      </w:r>
      <w:r w:rsidR="00911716">
        <w:rPr>
          <w:rFonts w:ascii="Times" w:eastAsia="Times New Roman" w:hAnsi="Times" w:cs="Times New Roman"/>
        </w:rPr>
        <w:t xml:space="preserve">and movements </w:t>
      </w:r>
      <w:r w:rsidR="00C649A5">
        <w:rPr>
          <w:rFonts w:ascii="Times" w:eastAsia="Times New Roman" w:hAnsi="Times" w:cs="Times New Roman"/>
        </w:rPr>
        <w:t xml:space="preserve">as well as for </w:t>
      </w:r>
      <w:r w:rsidR="00E13F17">
        <w:rPr>
          <w:rFonts w:ascii="Times" w:eastAsia="Times New Roman" w:hAnsi="Times" w:cs="Times New Roman"/>
        </w:rPr>
        <w:t xml:space="preserve">individual </w:t>
      </w:r>
      <w:r w:rsidR="00911716">
        <w:rPr>
          <w:rFonts w:ascii="Times" w:eastAsia="Times New Roman" w:hAnsi="Times" w:cs="Times New Roman"/>
        </w:rPr>
        <w:t>expressions of belief and practice</w:t>
      </w:r>
      <w:r w:rsidR="00E13F17">
        <w:rPr>
          <w:rFonts w:ascii="Times" w:eastAsia="Times New Roman" w:hAnsi="Times" w:cs="Times New Roman"/>
        </w:rPr>
        <w:t xml:space="preserve">. </w:t>
      </w:r>
      <w:r w:rsidR="00EC1E80">
        <w:rPr>
          <w:rFonts w:ascii="Times" w:eastAsia="Times New Roman" w:hAnsi="Times" w:cs="Times New Roman"/>
        </w:rPr>
        <w:t>T</w:t>
      </w:r>
      <w:r w:rsidR="00E13F17">
        <w:rPr>
          <w:rFonts w:ascii="Times" w:eastAsia="Times New Roman" w:hAnsi="Times" w:cs="Times New Roman"/>
        </w:rPr>
        <w:t xml:space="preserve">he Roman Catholicism of Alexander Pope and the Roman Catholicism of </w:t>
      </w:r>
      <w:r w:rsidR="00911716">
        <w:rPr>
          <w:rFonts w:ascii="Times" w:eastAsia="Times New Roman" w:hAnsi="Times" w:cs="Times New Roman"/>
        </w:rPr>
        <w:t>Michael Field</w:t>
      </w:r>
      <w:r w:rsidR="00E13F17">
        <w:rPr>
          <w:rFonts w:ascii="Times" w:eastAsia="Times New Roman" w:hAnsi="Times" w:cs="Times New Roman"/>
        </w:rPr>
        <w:t xml:space="preserve"> are not, </w:t>
      </w:r>
      <w:r w:rsidR="00C649A5">
        <w:rPr>
          <w:rFonts w:ascii="Times" w:eastAsia="Times New Roman" w:hAnsi="Times" w:cs="Times New Roman"/>
        </w:rPr>
        <w:t>to</w:t>
      </w:r>
      <w:r w:rsidR="00E13F17">
        <w:rPr>
          <w:rFonts w:ascii="Times" w:eastAsia="Times New Roman" w:hAnsi="Times" w:cs="Times New Roman"/>
        </w:rPr>
        <w:t xml:space="preserve"> the cultural historian, the same </w:t>
      </w:r>
      <w:r w:rsidR="00911716">
        <w:rPr>
          <w:rFonts w:ascii="Times" w:eastAsia="Times New Roman" w:hAnsi="Times" w:cs="Times New Roman"/>
        </w:rPr>
        <w:t>thing</w:t>
      </w:r>
      <w:r w:rsidR="00E13F17">
        <w:rPr>
          <w:rFonts w:ascii="Times" w:eastAsia="Times New Roman" w:hAnsi="Times" w:cs="Times New Roman"/>
        </w:rPr>
        <w:t>. Religion is both pervasive and endlessly differentiated</w:t>
      </w:r>
      <w:r w:rsidR="00C649A5">
        <w:rPr>
          <w:rFonts w:ascii="Times" w:eastAsia="Times New Roman" w:hAnsi="Times" w:cs="Times New Roman"/>
        </w:rPr>
        <w:t xml:space="preserve">, and </w:t>
      </w:r>
      <w:r w:rsidR="00957413">
        <w:rPr>
          <w:rFonts w:ascii="Times" w:eastAsia="Times New Roman" w:hAnsi="Times" w:cs="Times New Roman"/>
        </w:rPr>
        <w:t>closely tied to historical questions</w:t>
      </w:r>
      <w:r w:rsidR="00C649A5">
        <w:rPr>
          <w:rFonts w:ascii="Times" w:eastAsia="Times New Roman" w:hAnsi="Times" w:cs="Times New Roman"/>
        </w:rPr>
        <w:t xml:space="preserve"> of empire, </w:t>
      </w:r>
      <w:r w:rsidR="00341BE7">
        <w:rPr>
          <w:rFonts w:ascii="Times" w:eastAsia="Times New Roman" w:hAnsi="Times" w:cs="Times New Roman"/>
        </w:rPr>
        <w:t xml:space="preserve">nation, </w:t>
      </w:r>
      <w:r w:rsidR="00C649A5">
        <w:rPr>
          <w:rFonts w:ascii="Times" w:eastAsia="Times New Roman" w:hAnsi="Times" w:cs="Times New Roman"/>
        </w:rPr>
        <w:t xml:space="preserve">race, </w:t>
      </w:r>
      <w:r w:rsidR="00341BE7">
        <w:rPr>
          <w:rFonts w:ascii="Times" w:eastAsia="Times New Roman" w:hAnsi="Times" w:cs="Times New Roman"/>
        </w:rPr>
        <w:t>economics</w:t>
      </w:r>
      <w:r w:rsidR="00C649A5">
        <w:rPr>
          <w:rFonts w:ascii="Times" w:eastAsia="Times New Roman" w:hAnsi="Times" w:cs="Times New Roman"/>
        </w:rPr>
        <w:t>, and so forth</w:t>
      </w:r>
      <w:r w:rsidR="00E13F17">
        <w:rPr>
          <w:rFonts w:ascii="Times" w:eastAsia="Times New Roman" w:hAnsi="Times" w:cs="Times New Roman"/>
        </w:rPr>
        <w:t xml:space="preserve">. </w:t>
      </w:r>
      <w:r w:rsidR="00143027">
        <w:rPr>
          <w:rFonts w:ascii="Times" w:eastAsia="Times New Roman" w:hAnsi="Times" w:cs="Times New Roman"/>
        </w:rPr>
        <w:t>In addition, because</w:t>
      </w:r>
      <w:r w:rsidR="00E13F17">
        <w:rPr>
          <w:rFonts w:ascii="Times" w:eastAsia="Times New Roman" w:hAnsi="Times" w:cs="Times New Roman"/>
        </w:rPr>
        <w:t xml:space="preserve"> our conception of religion </w:t>
      </w:r>
      <w:r w:rsidR="00E13F17" w:rsidRPr="00861B3F">
        <w:rPr>
          <w:rFonts w:ascii="Times" w:eastAsia="Times New Roman" w:hAnsi="Times" w:cs="Times New Roman"/>
          <w:i/>
          <w:iCs/>
        </w:rPr>
        <w:t>per se</w:t>
      </w:r>
      <w:r w:rsidR="00E13F17">
        <w:rPr>
          <w:rFonts w:ascii="Times" w:eastAsia="Times New Roman" w:hAnsi="Times" w:cs="Times New Roman"/>
        </w:rPr>
        <w:t xml:space="preserve"> derives from </w:t>
      </w:r>
      <w:r w:rsidR="00D24D34">
        <w:rPr>
          <w:rFonts w:ascii="Times" w:eastAsia="Times New Roman" w:hAnsi="Times" w:cs="Times New Roman"/>
        </w:rPr>
        <w:t>the</w:t>
      </w:r>
      <w:r w:rsidR="00E13F17">
        <w:rPr>
          <w:rFonts w:ascii="Times" w:eastAsia="Times New Roman" w:hAnsi="Times" w:cs="Times New Roman"/>
        </w:rPr>
        <w:t xml:space="preserve"> secular, </w:t>
      </w:r>
      <w:r w:rsidR="00C649A5">
        <w:rPr>
          <w:rFonts w:ascii="Times" w:eastAsia="Times New Roman" w:hAnsi="Times" w:cs="Times New Roman"/>
        </w:rPr>
        <w:t>we must work hard</w:t>
      </w:r>
      <w:r w:rsidR="00E13F17">
        <w:rPr>
          <w:rFonts w:ascii="Times" w:eastAsia="Times New Roman" w:hAnsi="Times" w:cs="Times New Roman"/>
        </w:rPr>
        <w:t xml:space="preserve"> </w:t>
      </w:r>
      <w:r w:rsidR="001E5205">
        <w:rPr>
          <w:rFonts w:ascii="Times" w:eastAsia="Times New Roman" w:hAnsi="Times" w:cs="Times New Roman"/>
        </w:rPr>
        <w:t xml:space="preserve">not only to </w:t>
      </w:r>
      <w:r w:rsidR="00C649A5">
        <w:rPr>
          <w:rFonts w:ascii="Times" w:eastAsia="Times New Roman" w:hAnsi="Times" w:cs="Times New Roman"/>
        </w:rPr>
        <w:t xml:space="preserve">understand </w:t>
      </w:r>
      <w:r w:rsidR="00957413">
        <w:rPr>
          <w:rFonts w:ascii="Times" w:eastAsia="Times New Roman" w:hAnsi="Times" w:cs="Times New Roman"/>
        </w:rPr>
        <w:t>individual</w:t>
      </w:r>
      <w:r w:rsidR="00E13F17">
        <w:rPr>
          <w:rFonts w:ascii="Times" w:eastAsia="Times New Roman" w:hAnsi="Times" w:cs="Times New Roman"/>
        </w:rPr>
        <w:t xml:space="preserve"> traditions</w:t>
      </w:r>
      <w:r w:rsidR="00C874E2">
        <w:rPr>
          <w:rFonts w:ascii="Times" w:eastAsia="Times New Roman" w:hAnsi="Times" w:cs="Times New Roman"/>
        </w:rPr>
        <w:t xml:space="preserve"> </w:t>
      </w:r>
      <w:r w:rsidR="001E5205">
        <w:rPr>
          <w:rFonts w:ascii="Times" w:eastAsia="Times New Roman" w:hAnsi="Times" w:cs="Times New Roman"/>
        </w:rPr>
        <w:t>on their own terms but also to read them</w:t>
      </w:r>
      <w:r w:rsidR="00A9323F">
        <w:rPr>
          <w:rFonts w:ascii="Times" w:eastAsia="Times New Roman" w:hAnsi="Times" w:cs="Times New Roman"/>
        </w:rPr>
        <w:t xml:space="preserve"> with reference to the</w:t>
      </w:r>
      <w:r w:rsidR="00C874E2">
        <w:rPr>
          <w:rFonts w:ascii="Times" w:eastAsia="Times New Roman" w:hAnsi="Times" w:cs="Times New Roman"/>
        </w:rPr>
        <w:t xml:space="preserve"> </w:t>
      </w:r>
      <w:r w:rsidR="00143027">
        <w:rPr>
          <w:rFonts w:ascii="Times" w:eastAsia="Times New Roman" w:hAnsi="Times" w:cs="Times New Roman"/>
        </w:rPr>
        <w:t>larger</w:t>
      </w:r>
      <w:r w:rsidR="00C874E2">
        <w:rPr>
          <w:rFonts w:ascii="Times" w:eastAsia="Times New Roman" w:hAnsi="Times" w:cs="Times New Roman"/>
        </w:rPr>
        <w:t xml:space="preserve"> </w:t>
      </w:r>
      <w:r w:rsidR="00A9323F">
        <w:rPr>
          <w:rFonts w:ascii="Times" w:eastAsia="Times New Roman" w:hAnsi="Times" w:cs="Times New Roman"/>
        </w:rPr>
        <w:t xml:space="preserve">religious and secular </w:t>
      </w:r>
      <w:r w:rsidR="00C874E2">
        <w:rPr>
          <w:rFonts w:ascii="Times" w:eastAsia="Times New Roman" w:hAnsi="Times" w:cs="Times New Roman"/>
        </w:rPr>
        <w:t xml:space="preserve">histories in which they have </w:t>
      </w:r>
      <w:r w:rsidR="00143027">
        <w:rPr>
          <w:rFonts w:ascii="Times" w:eastAsia="Times New Roman" w:hAnsi="Times" w:cs="Times New Roman"/>
        </w:rPr>
        <w:t xml:space="preserve">emerged and </w:t>
      </w:r>
      <w:r w:rsidR="00C874E2">
        <w:rPr>
          <w:rFonts w:ascii="Times" w:eastAsia="Times New Roman" w:hAnsi="Times" w:cs="Times New Roman"/>
        </w:rPr>
        <w:t>been understood</w:t>
      </w:r>
      <w:r w:rsidR="00C649A5">
        <w:rPr>
          <w:rFonts w:ascii="Times" w:eastAsia="Times New Roman" w:hAnsi="Times" w:cs="Times New Roman"/>
        </w:rPr>
        <w:t xml:space="preserve">. </w:t>
      </w:r>
      <w:r w:rsidR="00A9323F">
        <w:rPr>
          <w:rFonts w:ascii="Times" w:eastAsia="Times New Roman" w:hAnsi="Times" w:cs="Times New Roman"/>
        </w:rPr>
        <w:t xml:space="preserve">Although it can be tempting to </w:t>
      </w:r>
      <w:r w:rsidR="000D04A4">
        <w:rPr>
          <w:rFonts w:ascii="Times" w:eastAsia="Times New Roman" w:hAnsi="Times" w:cs="Times New Roman"/>
        </w:rPr>
        <w:t xml:space="preserve">resort to </w:t>
      </w:r>
      <w:r w:rsidR="00D24D34">
        <w:rPr>
          <w:rFonts w:ascii="Times" w:eastAsia="Times New Roman" w:hAnsi="Times" w:cs="Times New Roman"/>
        </w:rPr>
        <w:t xml:space="preserve">ready-made </w:t>
      </w:r>
      <w:r w:rsidR="00C649A5">
        <w:rPr>
          <w:rFonts w:ascii="Times" w:eastAsia="Times New Roman" w:hAnsi="Times" w:cs="Times New Roman"/>
        </w:rPr>
        <w:t>categories</w:t>
      </w:r>
      <w:r w:rsidR="000D04A4">
        <w:rPr>
          <w:rFonts w:ascii="Times" w:eastAsia="Times New Roman" w:hAnsi="Times" w:cs="Times New Roman"/>
        </w:rPr>
        <w:t xml:space="preserve">, </w:t>
      </w:r>
      <w:r w:rsidR="00957413">
        <w:rPr>
          <w:rFonts w:ascii="Times" w:eastAsia="Times New Roman" w:hAnsi="Times" w:cs="Times New Roman"/>
        </w:rPr>
        <w:t xml:space="preserve">to do so </w:t>
      </w:r>
      <w:r w:rsidR="00341BE7">
        <w:rPr>
          <w:rFonts w:ascii="Times" w:eastAsia="Times New Roman" w:hAnsi="Times" w:cs="Times New Roman"/>
        </w:rPr>
        <w:t xml:space="preserve">is </w:t>
      </w:r>
      <w:r w:rsidR="000D04A4">
        <w:rPr>
          <w:rFonts w:ascii="Times" w:eastAsia="Times New Roman" w:hAnsi="Times" w:cs="Times New Roman"/>
        </w:rPr>
        <w:t xml:space="preserve">usually </w:t>
      </w:r>
      <w:r w:rsidR="00957413">
        <w:rPr>
          <w:rFonts w:ascii="Times" w:eastAsia="Times New Roman" w:hAnsi="Times" w:cs="Times New Roman"/>
        </w:rPr>
        <w:t xml:space="preserve">to give up on </w:t>
      </w:r>
      <w:r w:rsidR="00341BE7">
        <w:rPr>
          <w:rFonts w:ascii="Times" w:eastAsia="Times New Roman" w:hAnsi="Times" w:cs="Times New Roman"/>
        </w:rPr>
        <w:t xml:space="preserve">understanding </w:t>
      </w:r>
      <w:r w:rsidR="000D04A4">
        <w:rPr>
          <w:rFonts w:ascii="Times" w:eastAsia="Times New Roman" w:hAnsi="Times" w:cs="Times New Roman"/>
        </w:rPr>
        <w:t>the plurality and imbrication of the religious and secular</w:t>
      </w:r>
      <w:r w:rsidR="00957413">
        <w:rPr>
          <w:rFonts w:ascii="Times" w:eastAsia="Times New Roman" w:hAnsi="Times" w:cs="Times New Roman"/>
        </w:rPr>
        <w:t>.</w:t>
      </w:r>
    </w:p>
    <w:p w14:paraId="30BCF6A2" w14:textId="77777777" w:rsidR="00E13F17" w:rsidRPr="00635080" w:rsidRDefault="00E13F17" w:rsidP="00635080">
      <w:pPr>
        <w:spacing w:line="360" w:lineRule="auto"/>
        <w:rPr>
          <w:rFonts w:ascii="Times" w:eastAsia="Times New Roman" w:hAnsi="Times" w:cs="Times New Roman"/>
        </w:rPr>
      </w:pPr>
    </w:p>
    <w:p w14:paraId="481525AD" w14:textId="7DA80B72" w:rsidR="00635080" w:rsidRPr="00635080" w:rsidRDefault="00957413" w:rsidP="00635080">
      <w:pPr>
        <w:spacing w:line="360" w:lineRule="auto"/>
        <w:rPr>
          <w:rFonts w:ascii="Times" w:eastAsia="Times New Roman" w:hAnsi="Times" w:cs="Times New Roman"/>
        </w:rPr>
      </w:pPr>
      <w:r>
        <w:rPr>
          <w:rFonts w:ascii="Times" w:eastAsia="Times New Roman" w:hAnsi="Times" w:cs="Times New Roman"/>
        </w:rPr>
        <w:t xml:space="preserve">The </w:t>
      </w:r>
      <w:r w:rsidR="00341BE7">
        <w:rPr>
          <w:rFonts w:ascii="Times" w:eastAsia="Times New Roman" w:hAnsi="Times" w:cs="Times New Roman"/>
        </w:rPr>
        <w:t>pointedness</w:t>
      </w:r>
      <w:r>
        <w:rPr>
          <w:rFonts w:ascii="Times" w:eastAsia="Times New Roman" w:hAnsi="Times" w:cs="Times New Roman"/>
        </w:rPr>
        <w:t xml:space="preserve"> of our issue also derives in part from the fact that we asked everyone </w:t>
      </w:r>
      <w:r w:rsidR="00341BE7">
        <w:rPr>
          <w:rFonts w:ascii="Times" w:eastAsia="Times New Roman" w:hAnsi="Times" w:cs="Times New Roman"/>
        </w:rPr>
        <w:t>to articulate</w:t>
      </w:r>
      <w:r>
        <w:rPr>
          <w:rFonts w:ascii="Times" w:eastAsia="Times New Roman" w:hAnsi="Times" w:cs="Times New Roman"/>
        </w:rPr>
        <w:t xml:space="preserve"> ongoing promises and challenges. </w:t>
      </w:r>
      <w:r w:rsidR="00635080" w:rsidRPr="00635080">
        <w:rPr>
          <w:rFonts w:ascii="Times" w:eastAsia="Times New Roman" w:hAnsi="Times" w:cs="Arial"/>
          <w:color w:val="000000"/>
        </w:rPr>
        <w:t>We</w:t>
      </w:r>
      <w:r w:rsidR="00341BE7">
        <w:rPr>
          <w:rFonts w:ascii="Times" w:eastAsia="Times New Roman" w:hAnsi="Times" w:cs="Arial"/>
          <w:color w:val="000000"/>
        </w:rPr>
        <w:t xml:space="preserve"> thus</w:t>
      </w:r>
      <w:r w:rsidR="00635080" w:rsidRPr="00635080">
        <w:rPr>
          <w:rFonts w:ascii="Times" w:eastAsia="Times New Roman" w:hAnsi="Times" w:cs="Arial"/>
          <w:color w:val="000000"/>
        </w:rPr>
        <w:t xml:space="preserve"> start this special issue with an essay from Lori Branch</w:t>
      </w:r>
      <w:r w:rsidR="00D24D34">
        <w:rPr>
          <w:rFonts w:ascii="Times" w:eastAsia="Times New Roman" w:hAnsi="Times" w:cs="Arial"/>
          <w:color w:val="000000"/>
        </w:rPr>
        <w:t xml:space="preserve"> </w:t>
      </w:r>
      <w:r w:rsidR="00386167">
        <w:rPr>
          <w:rFonts w:ascii="Times" w:eastAsia="Times New Roman" w:hAnsi="Times" w:cs="Arial"/>
          <w:color w:val="000000"/>
        </w:rPr>
        <w:t xml:space="preserve">that </w:t>
      </w:r>
      <w:r w:rsidR="00635080" w:rsidRPr="00635080">
        <w:rPr>
          <w:rFonts w:ascii="Times" w:eastAsia="Times New Roman" w:hAnsi="Times" w:cs="Arial"/>
          <w:color w:val="000000"/>
        </w:rPr>
        <w:t xml:space="preserve">narrates </w:t>
      </w:r>
      <w:r w:rsidR="00A9323F">
        <w:rPr>
          <w:rFonts w:ascii="Times" w:eastAsia="Times New Roman" w:hAnsi="Times" w:cs="Arial"/>
          <w:color w:val="000000"/>
        </w:rPr>
        <w:t>question</w:t>
      </w:r>
      <w:r w:rsidR="00386167">
        <w:rPr>
          <w:rFonts w:ascii="Times" w:eastAsia="Times New Roman" w:hAnsi="Times" w:cs="Arial"/>
          <w:color w:val="000000"/>
        </w:rPr>
        <w:t>s</w:t>
      </w:r>
      <w:r w:rsidR="00A9323F">
        <w:rPr>
          <w:rFonts w:ascii="Times" w:eastAsia="Times New Roman" w:hAnsi="Times" w:cs="Arial"/>
          <w:color w:val="000000"/>
        </w:rPr>
        <w:t xml:space="preserve"> about</w:t>
      </w:r>
      <w:r w:rsidR="00C649A5">
        <w:rPr>
          <w:rFonts w:ascii="Times" w:eastAsia="Times New Roman" w:hAnsi="Times" w:cs="Arial"/>
          <w:color w:val="000000"/>
        </w:rPr>
        <w:t xml:space="preserve"> </w:t>
      </w:r>
      <w:r w:rsidR="00D24D34">
        <w:rPr>
          <w:rFonts w:ascii="Times" w:eastAsia="Times New Roman" w:hAnsi="Times" w:cs="Arial"/>
          <w:color w:val="000000"/>
        </w:rPr>
        <w:t xml:space="preserve">how </w:t>
      </w:r>
      <w:r w:rsidR="00C649A5">
        <w:rPr>
          <w:rFonts w:ascii="Times" w:eastAsia="Times New Roman" w:hAnsi="Times" w:cs="Arial"/>
          <w:color w:val="000000"/>
        </w:rPr>
        <w:t>the intellectual gains of the religious turn have</w:t>
      </w:r>
      <w:r w:rsidR="00D24D34">
        <w:rPr>
          <w:rFonts w:ascii="Times" w:eastAsia="Times New Roman" w:hAnsi="Times" w:cs="Arial"/>
          <w:color w:val="000000"/>
        </w:rPr>
        <w:t xml:space="preserve"> </w:t>
      </w:r>
      <w:r w:rsidR="00DF4A87">
        <w:rPr>
          <w:rFonts w:ascii="Times" w:eastAsia="Times New Roman" w:hAnsi="Times" w:cs="Arial"/>
          <w:color w:val="000000"/>
        </w:rPr>
        <w:t>not yet</w:t>
      </w:r>
      <w:r w:rsidR="00C649A5">
        <w:rPr>
          <w:rFonts w:ascii="Times" w:eastAsia="Times New Roman" w:hAnsi="Times" w:cs="Arial"/>
          <w:color w:val="000000"/>
        </w:rPr>
        <w:t xml:space="preserve"> transform</w:t>
      </w:r>
      <w:r w:rsidR="00DF4A87">
        <w:rPr>
          <w:rFonts w:ascii="Times" w:eastAsia="Times New Roman" w:hAnsi="Times" w:cs="Arial"/>
          <w:color w:val="000000"/>
        </w:rPr>
        <w:t>ed</w:t>
      </w:r>
      <w:r w:rsidR="00C649A5">
        <w:rPr>
          <w:rFonts w:ascii="Times" w:eastAsia="Times New Roman" w:hAnsi="Times" w:cs="Arial"/>
          <w:color w:val="000000"/>
        </w:rPr>
        <w:t xml:space="preserve"> </w:t>
      </w:r>
      <w:r w:rsidR="00341BE7">
        <w:rPr>
          <w:rFonts w:ascii="Times" w:eastAsia="Times New Roman" w:hAnsi="Times" w:cs="Arial"/>
          <w:color w:val="000000"/>
        </w:rPr>
        <w:t>“</w:t>
      </w:r>
      <w:r w:rsidR="00DF4A87">
        <w:rPr>
          <w:rFonts w:ascii="Times" w:eastAsia="Times New Roman" w:hAnsi="Times" w:cs="Arial"/>
          <w:color w:val="000000"/>
        </w:rPr>
        <w:t>business as usual</w:t>
      </w:r>
      <w:r w:rsidR="00341BE7">
        <w:rPr>
          <w:rFonts w:ascii="Times" w:eastAsia="Times New Roman" w:hAnsi="Times" w:cs="Arial"/>
          <w:color w:val="000000"/>
        </w:rPr>
        <w:t>”</w:t>
      </w:r>
      <w:r w:rsidR="000B1F20">
        <w:rPr>
          <w:rFonts w:ascii="Times" w:eastAsia="Times New Roman" w:hAnsi="Times" w:cs="Arial"/>
          <w:color w:val="000000"/>
        </w:rPr>
        <w:t xml:space="preserve"> in literary studies</w:t>
      </w:r>
      <w:r w:rsidR="00635080" w:rsidRPr="00635080">
        <w:rPr>
          <w:rFonts w:ascii="Times" w:eastAsia="Times New Roman" w:hAnsi="Times" w:cs="Arial"/>
          <w:color w:val="000000"/>
        </w:rPr>
        <w:t xml:space="preserve">. Branch </w:t>
      </w:r>
      <w:r w:rsidR="00C649A5">
        <w:rPr>
          <w:rFonts w:ascii="Times" w:eastAsia="Times New Roman" w:hAnsi="Times" w:cs="Arial"/>
          <w:color w:val="000000"/>
        </w:rPr>
        <w:t>asks</w:t>
      </w:r>
      <w:r w:rsidR="00C649A5"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why some </w:t>
      </w:r>
      <w:r w:rsidR="00C649A5" w:rsidRPr="00635080">
        <w:rPr>
          <w:rFonts w:ascii="Times" w:eastAsia="Times New Roman" w:hAnsi="Times" w:cs="Arial"/>
          <w:color w:val="000000"/>
        </w:rPr>
        <w:t>colleagues</w:t>
      </w:r>
      <w:r w:rsidR="00C649A5">
        <w:rPr>
          <w:rFonts w:ascii="Times" w:eastAsia="Times New Roman" w:hAnsi="Times" w:cs="Arial"/>
          <w:color w:val="000000"/>
        </w:rPr>
        <w:t xml:space="preserve"> still </w:t>
      </w:r>
      <w:r w:rsidR="00635080" w:rsidRPr="00635080">
        <w:rPr>
          <w:rFonts w:ascii="Times" w:eastAsia="Times New Roman" w:hAnsi="Times" w:cs="Arial"/>
          <w:color w:val="000000"/>
        </w:rPr>
        <w:t xml:space="preserve">think it acceptable to be uninterested in religion </w:t>
      </w:r>
      <w:r w:rsidR="00C649A5">
        <w:rPr>
          <w:rFonts w:ascii="Times" w:eastAsia="Times New Roman" w:hAnsi="Times" w:cs="Arial"/>
          <w:color w:val="000000"/>
        </w:rPr>
        <w:t xml:space="preserve">in a way impossible to imagine </w:t>
      </w:r>
      <w:r>
        <w:rPr>
          <w:rFonts w:ascii="Times" w:eastAsia="Times New Roman" w:hAnsi="Times" w:cs="Arial"/>
          <w:color w:val="000000"/>
        </w:rPr>
        <w:t>for</w:t>
      </w:r>
      <w:r w:rsidR="00C649A5">
        <w:rPr>
          <w:rFonts w:ascii="Times" w:eastAsia="Times New Roman" w:hAnsi="Times" w:cs="Arial"/>
          <w:color w:val="000000"/>
        </w:rPr>
        <w:t xml:space="preserve"> </w:t>
      </w:r>
      <w:r w:rsidR="00341BE7">
        <w:rPr>
          <w:rFonts w:ascii="Times" w:eastAsia="Times New Roman" w:hAnsi="Times" w:cs="Arial"/>
          <w:color w:val="000000"/>
        </w:rPr>
        <w:t>similar</w:t>
      </w:r>
      <w:r w:rsidR="000B1F20">
        <w:rPr>
          <w:rFonts w:ascii="Times" w:eastAsia="Times New Roman" w:hAnsi="Times" w:cs="Arial"/>
          <w:color w:val="000000"/>
        </w:rPr>
        <w:t xml:space="preserve"> issues </w:t>
      </w:r>
      <w:r w:rsidR="00C70373">
        <w:rPr>
          <w:rFonts w:ascii="Times" w:eastAsia="Times New Roman" w:hAnsi="Times" w:cs="Arial"/>
          <w:color w:val="000000"/>
        </w:rPr>
        <w:t xml:space="preserve">such as </w:t>
      </w:r>
      <w:r w:rsidR="00635080" w:rsidRPr="00635080">
        <w:rPr>
          <w:rFonts w:ascii="Times" w:eastAsia="Times New Roman" w:hAnsi="Times" w:cs="Arial"/>
          <w:color w:val="000000"/>
        </w:rPr>
        <w:t>“sex, gender, race, class, or even narrative or poetic form</w:t>
      </w:r>
      <w:r w:rsidR="00C649A5">
        <w:rPr>
          <w:rFonts w:ascii="Times" w:eastAsia="Times New Roman" w:hAnsi="Times" w:cs="Arial"/>
          <w:color w:val="000000"/>
        </w:rPr>
        <w:t>.</w:t>
      </w:r>
      <w:r w:rsidR="00635080" w:rsidRPr="00635080">
        <w:rPr>
          <w:rFonts w:ascii="Times" w:eastAsia="Times New Roman" w:hAnsi="Times" w:cs="Arial"/>
          <w:color w:val="000000"/>
        </w:rPr>
        <w:t xml:space="preserve">” </w:t>
      </w:r>
      <w:r w:rsidR="00C649A5">
        <w:rPr>
          <w:rFonts w:ascii="Times" w:eastAsia="Times New Roman" w:hAnsi="Times" w:cs="Arial"/>
          <w:color w:val="000000"/>
        </w:rPr>
        <w:t>She</w:t>
      </w:r>
      <w:r w:rsidR="00C649A5"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proposes that we </w:t>
      </w:r>
      <w:r w:rsidR="00DF4A87">
        <w:rPr>
          <w:rFonts w:ascii="Times" w:eastAsia="Times New Roman" w:hAnsi="Times" w:cs="Arial"/>
          <w:color w:val="000000"/>
        </w:rPr>
        <w:t>rethink</w:t>
      </w:r>
      <w:r w:rsidR="00D24D34">
        <w:rPr>
          <w:rFonts w:ascii="Times" w:eastAsia="Times New Roman" w:hAnsi="Times" w:cs="Arial"/>
          <w:color w:val="000000"/>
        </w:rPr>
        <w:t xml:space="preserve"> </w:t>
      </w:r>
      <w:r w:rsidR="00D24D34">
        <w:rPr>
          <w:rFonts w:ascii="Times" w:eastAsia="Times New Roman" w:hAnsi="Times" w:cs="Arial"/>
          <w:color w:val="000000"/>
        </w:rPr>
        <w:lastRenderedPageBreak/>
        <w:t>our role as pedagogues to</w:t>
      </w:r>
      <w:r w:rsidR="00635080" w:rsidRPr="00635080">
        <w:rPr>
          <w:rFonts w:ascii="Times" w:eastAsia="Times New Roman" w:hAnsi="Times" w:cs="Arial"/>
          <w:color w:val="000000"/>
        </w:rPr>
        <w:t xml:space="preserve"> “take up religion in our literature classrooms in ways that dovetail with our operative methodologies.” </w:t>
      </w:r>
      <w:r w:rsidR="00C649A5">
        <w:rPr>
          <w:rFonts w:ascii="Times" w:eastAsia="Times New Roman" w:hAnsi="Times" w:cs="Arial"/>
          <w:color w:val="000000"/>
        </w:rPr>
        <w:t>Whereas</w:t>
      </w:r>
      <w:r w:rsidR="00C649A5"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Branch </w:t>
      </w:r>
      <w:r w:rsidR="00C649A5">
        <w:rPr>
          <w:rFonts w:ascii="Times" w:eastAsia="Times New Roman" w:hAnsi="Times" w:cs="Arial"/>
          <w:color w:val="000000"/>
        </w:rPr>
        <w:t xml:space="preserve">exhorts us </w:t>
      </w:r>
      <w:r w:rsidR="000B1F20">
        <w:rPr>
          <w:rFonts w:ascii="Times" w:eastAsia="Times New Roman" w:hAnsi="Times" w:cs="Arial"/>
          <w:color w:val="000000"/>
        </w:rPr>
        <w:t xml:space="preserve">to </w:t>
      </w:r>
      <w:r w:rsidR="00D24D34">
        <w:rPr>
          <w:rFonts w:ascii="Times" w:eastAsia="Times New Roman" w:hAnsi="Times" w:cs="Arial"/>
          <w:color w:val="000000"/>
        </w:rPr>
        <w:t>unpack</w:t>
      </w:r>
      <w:r w:rsidR="00C649A5">
        <w:rPr>
          <w:rFonts w:ascii="Times" w:eastAsia="Times New Roman" w:hAnsi="Times" w:cs="Arial"/>
          <w:color w:val="000000"/>
        </w:rPr>
        <w:t xml:space="preserve"> the </w:t>
      </w:r>
      <w:r w:rsidR="00A9323F">
        <w:rPr>
          <w:rFonts w:ascii="Times" w:eastAsia="Times New Roman" w:hAnsi="Times" w:cs="Arial"/>
          <w:color w:val="000000"/>
        </w:rPr>
        <w:t xml:space="preserve">theoretical </w:t>
      </w:r>
      <w:r w:rsidR="00143027">
        <w:rPr>
          <w:rFonts w:ascii="Times" w:eastAsia="Times New Roman" w:hAnsi="Times" w:cs="Arial"/>
          <w:color w:val="000000"/>
        </w:rPr>
        <w:t xml:space="preserve">and disciplinary </w:t>
      </w:r>
      <w:r w:rsidR="00A9323F">
        <w:rPr>
          <w:rFonts w:ascii="Times" w:eastAsia="Times New Roman" w:hAnsi="Times" w:cs="Arial"/>
          <w:color w:val="000000"/>
        </w:rPr>
        <w:t xml:space="preserve">implications of the </w:t>
      </w:r>
      <w:r w:rsidR="00C649A5">
        <w:rPr>
          <w:rFonts w:ascii="Times" w:eastAsia="Times New Roman" w:hAnsi="Times" w:cs="Arial"/>
          <w:color w:val="000000"/>
        </w:rPr>
        <w:t xml:space="preserve">secular/religious binary, </w:t>
      </w:r>
      <w:r w:rsidR="00635080" w:rsidRPr="00635080">
        <w:rPr>
          <w:rFonts w:ascii="Times" w:eastAsia="Times New Roman" w:hAnsi="Times" w:cs="Arial"/>
          <w:color w:val="000000"/>
        </w:rPr>
        <w:t xml:space="preserve">our second contributor, Timothy Larsen, </w:t>
      </w:r>
      <w:r w:rsidR="00D24D34">
        <w:rPr>
          <w:rFonts w:ascii="Times" w:eastAsia="Times New Roman" w:hAnsi="Times" w:cs="Arial"/>
          <w:color w:val="000000"/>
        </w:rPr>
        <w:t>addresses</w:t>
      </w:r>
      <w:r w:rsidR="00C649A5">
        <w:rPr>
          <w:rFonts w:ascii="Times" w:eastAsia="Times New Roman" w:hAnsi="Times" w:cs="Arial"/>
          <w:color w:val="000000"/>
        </w:rPr>
        <w:t xml:space="preserve"> </w:t>
      </w:r>
      <w:r w:rsidR="000B1F20">
        <w:rPr>
          <w:rFonts w:ascii="Times" w:eastAsia="Times New Roman" w:hAnsi="Times" w:cs="Arial"/>
          <w:color w:val="000000"/>
        </w:rPr>
        <w:t xml:space="preserve">some of the </w:t>
      </w:r>
      <w:r w:rsidR="00C649A5">
        <w:rPr>
          <w:rFonts w:ascii="Times" w:eastAsia="Times New Roman" w:hAnsi="Times" w:cs="Arial"/>
          <w:color w:val="000000"/>
        </w:rPr>
        <w:t xml:space="preserve">immediate challenges that we </w:t>
      </w:r>
      <w:r>
        <w:rPr>
          <w:rFonts w:ascii="Times" w:eastAsia="Times New Roman" w:hAnsi="Times" w:cs="Arial"/>
          <w:color w:val="000000"/>
        </w:rPr>
        <w:t>encounter</w:t>
      </w:r>
      <w:r w:rsidR="00C649A5">
        <w:rPr>
          <w:rFonts w:ascii="Times" w:eastAsia="Times New Roman" w:hAnsi="Times" w:cs="Arial"/>
          <w:color w:val="000000"/>
        </w:rPr>
        <w:t xml:space="preserve"> when </w:t>
      </w:r>
      <w:r w:rsidR="000B1F20">
        <w:rPr>
          <w:rFonts w:ascii="Times" w:eastAsia="Times New Roman" w:hAnsi="Times" w:cs="Arial"/>
          <w:color w:val="000000"/>
        </w:rPr>
        <w:t>trying to do</w:t>
      </w:r>
      <w:r w:rsidR="00C649A5">
        <w:rPr>
          <w:rFonts w:ascii="Times" w:eastAsia="Times New Roman" w:hAnsi="Times" w:cs="Arial"/>
          <w:color w:val="000000"/>
        </w:rPr>
        <w:t xml:space="preserve"> so</w:t>
      </w:r>
      <w:r w:rsidR="00635080" w:rsidRPr="00635080">
        <w:rPr>
          <w:rFonts w:ascii="Times" w:eastAsia="Times New Roman" w:hAnsi="Times" w:cs="Arial"/>
          <w:color w:val="000000"/>
        </w:rPr>
        <w:t>.</w:t>
      </w:r>
      <w:r w:rsidR="00C649A5">
        <w:rPr>
          <w:rFonts w:ascii="Times" w:eastAsia="Times New Roman" w:hAnsi="Times" w:cs="Arial"/>
          <w:color w:val="000000"/>
        </w:rPr>
        <w:t xml:space="preserve"> </w:t>
      </w:r>
      <w:r w:rsidR="00635080" w:rsidRPr="00635080">
        <w:rPr>
          <w:rFonts w:ascii="Times" w:eastAsia="Times New Roman" w:hAnsi="Times" w:cs="Arial"/>
          <w:color w:val="000000"/>
        </w:rPr>
        <w:t xml:space="preserve">Larsen </w:t>
      </w:r>
      <w:r w:rsidR="00C649A5">
        <w:rPr>
          <w:rFonts w:ascii="Times" w:eastAsia="Times New Roman" w:hAnsi="Times" w:cs="Arial"/>
          <w:color w:val="000000"/>
        </w:rPr>
        <w:t>points to</w:t>
      </w:r>
      <w:r w:rsidR="00C649A5"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the </w:t>
      </w:r>
      <w:r w:rsidR="00D24D34">
        <w:rPr>
          <w:rFonts w:ascii="Times" w:eastAsia="Times New Roman" w:hAnsi="Times" w:cs="Arial"/>
          <w:color w:val="000000"/>
        </w:rPr>
        <w:t>complexity of</w:t>
      </w:r>
      <w:r w:rsidR="00792A93">
        <w:rPr>
          <w:rFonts w:ascii="Times" w:eastAsia="Times New Roman" w:hAnsi="Times" w:cs="Arial"/>
          <w:color w:val="000000"/>
        </w:rPr>
        <w:t xml:space="preserve"> religious history </w:t>
      </w:r>
      <w:r w:rsidR="00D24D34">
        <w:rPr>
          <w:rFonts w:ascii="Times" w:eastAsia="Times New Roman" w:hAnsi="Times" w:cs="Arial"/>
          <w:color w:val="000000"/>
        </w:rPr>
        <w:t xml:space="preserve">and to </w:t>
      </w:r>
      <w:r w:rsidR="00C649A5">
        <w:rPr>
          <w:rFonts w:ascii="Times" w:eastAsia="Times New Roman" w:hAnsi="Times" w:cs="Arial"/>
          <w:color w:val="000000"/>
        </w:rPr>
        <w:t>our</w:t>
      </w:r>
      <w:r>
        <w:rPr>
          <w:rFonts w:ascii="Times" w:eastAsia="Times New Roman" w:hAnsi="Times" w:cs="Arial"/>
          <w:color w:val="000000"/>
        </w:rPr>
        <w:t xml:space="preserve"> collective</w:t>
      </w:r>
      <w:r w:rsidR="00C649A5">
        <w:rPr>
          <w:rFonts w:ascii="Times" w:eastAsia="Times New Roman" w:hAnsi="Times" w:cs="Arial"/>
          <w:color w:val="000000"/>
        </w:rPr>
        <w:t xml:space="preserve"> </w:t>
      </w:r>
      <w:r w:rsidR="00635080" w:rsidRPr="00635080">
        <w:rPr>
          <w:rFonts w:ascii="Times" w:eastAsia="Times New Roman" w:hAnsi="Times" w:cs="Arial"/>
          <w:color w:val="000000"/>
        </w:rPr>
        <w:t xml:space="preserve">theological and biblical illiteracy </w:t>
      </w:r>
      <w:r w:rsidR="00C649A5">
        <w:rPr>
          <w:rFonts w:ascii="Times" w:eastAsia="Times New Roman" w:hAnsi="Times" w:cs="Arial"/>
          <w:color w:val="000000"/>
        </w:rPr>
        <w:t>as impediment</w:t>
      </w:r>
      <w:r w:rsidR="00D24D34">
        <w:rPr>
          <w:rFonts w:ascii="Times" w:eastAsia="Times New Roman" w:hAnsi="Times" w:cs="Arial"/>
          <w:color w:val="000000"/>
        </w:rPr>
        <w:t>s</w:t>
      </w:r>
      <w:r w:rsidR="00C649A5">
        <w:rPr>
          <w:rFonts w:ascii="Times" w:eastAsia="Times New Roman" w:hAnsi="Times" w:cs="Arial"/>
          <w:color w:val="000000"/>
        </w:rPr>
        <w:t xml:space="preserve"> to understanding </w:t>
      </w:r>
      <w:r w:rsidR="00D24D34">
        <w:rPr>
          <w:rFonts w:ascii="Times" w:eastAsia="Times New Roman" w:hAnsi="Times" w:cs="Arial"/>
          <w:color w:val="000000"/>
        </w:rPr>
        <w:t xml:space="preserve">literature written </w:t>
      </w:r>
      <w:r w:rsidR="00B57F79">
        <w:rPr>
          <w:rFonts w:ascii="Times" w:eastAsia="Times New Roman" w:hAnsi="Times" w:cs="Arial"/>
          <w:color w:val="000000"/>
        </w:rPr>
        <w:t xml:space="preserve">within </w:t>
      </w:r>
      <w:r>
        <w:rPr>
          <w:rFonts w:ascii="Times" w:eastAsia="Times New Roman" w:hAnsi="Times" w:cs="Arial"/>
          <w:color w:val="000000"/>
        </w:rPr>
        <w:t>a</w:t>
      </w:r>
      <w:r w:rsidR="00C649A5">
        <w:rPr>
          <w:rFonts w:ascii="Times" w:eastAsia="Times New Roman" w:hAnsi="Times" w:cs="Arial"/>
          <w:color w:val="000000"/>
        </w:rPr>
        <w:t xml:space="preserve"> Christian </w:t>
      </w:r>
      <w:r w:rsidR="000B1F20" w:rsidRPr="00861B3F">
        <w:rPr>
          <w:rFonts w:ascii="Times" w:eastAsia="Times New Roman" w:hAnsi="Times" w:cs="Arial"/>
          <w:i/>
          <w:iCs/>
          <w:color w:val="000000"/>
        </w:rPr>
        <w:t>milieu</w:t>
      </w:r>
      <w:r w:rsidR="00635080" w:rsidRPr="00635080">
        <w:rPr>
          <w:rFonts w:ascii="Times" w:eastAsia="Times New Roman" w:hAnsi="Times" w:cs="Arial"/>
          <w:color w:val="000000"/>
        </w:rPr>
        <w:t xml:space="preserve">. </w:t>
      </w:r>
      <w:r w:rsidR="00C649A5">
        <w:rPr>
          <w:rFonts w:ascii="Times" w:eastAsia="Times New Roman" w:hAnsi="Times" w:cs="Arial"/>
          <w:color w:val="000000"/>
        </w:rPr>
        <w:t>Larsen’s</w:t>
      </w:r>
      <w:r w:rsidR="00C649A5" w:rsidRPr="00635080">
        <w:rPr>
          <w:rFonts w:ascii="Times" w:eastAsia="Times New Roman" w:hAnsi="Times" w:cs="Arial"/>
          <w:color w:val="000000"/>
        </w:rPr>
        <w:t xml:space="preserve"> </w:t>
      </w:r>
      <w:r w:rsidR="00635080" w:rsidRPr="00635080">
        <w:rPr>
          <w:rFonts w:ascii="Times" w:eastAsia="Times New Roman" w:hAnsi="Times" w:cs="Arial"/>
          <w:color w:val="000000"/>
        </w:rPr>
        <w:t>point</w:t>
      </w:r>
      <w:r w:rsidR="00C649A5">
        <w:rPr>
          <w:rFonts w:ascii="Times" w:eastAsia="Times New Roman" w:hAnsi="Times" w:cs="Arial"/>
          <w:color w:val="000000"/>
        </w:rPr>
        <w:t>,</w:t>
      </w:r>
      <w:r w:rsidR="000B1F20">
        <w:rPr>
          <w:rFonts w:ascii="Times" w:eastAsia="Times New Roman" w:hAnsi="Times" w:cs="Arial"/>
          <w:color w:val="000000"/>
        </w:rPr>
        <w:t xml:space="preserve"> </w:t>
      </w:r>
      <w:r w:rsidR="00C649A5">
        <w:rPr>
          <w:rFonts w:ascii="Times" w:eastAsia="Times New Roman" w:hAnsi="Times" w:cs="Arial"/>
          <w:color w:val="000000"/>
        </w:rPr>
        <w:t>he emphasizes,</w:t>
      </w:r>
      <w:r w:rsidR="00635080" w:rsidRPr="00635080">
        <w:rPr>
          <w:rFonts w:ascii="Times" w:eastAsia="Times New Roman" w:hAnsi="Times" w:cs="Arial"/>
          <w:color w:val="000000"/>
        </w:rPr>
        <w:t xml:space="preserve"> is “</w:t>
      </w:r>
      <w:r w:rsidR="00635080" w:rsidRPr="00635080">
        <w:rPr>
          <w:rFonts w:ascii="Times" w:eastAsia="Times New Roman" w:hAnsi="Times" w:cs="Arial"/>
          <w:i/>
          <w:iCs/>
          <w:color w:val="000000"/>
        </w:rPr>
        <w:t>not</w:t>
      </w:r>
      <w:r w:rsidR="00635080" w:rsidRPr="00635080">
        <w:rPr>
          <w:rFonts w:ascii="Times" w:eastAsia="Times New Roman" w:hAnsi="Times" w:cs="Arial"/>
          <w:color w:val="000000"/>
        </w:rPr>
        <w:t xml:space="preserve"> that a particular scholar here or there has egregiously allowed biblical and theological illiteracy to mar their work,” but, rather, that </w:t>
      </w:r>
      <w:r w:rsidR="00C649A5">
        <w:rPr>
          <w:rFonts w:ascii="Times" w:eastAsia="Times New Roman" w:hAnsi="Times" w:cs="Arial"/>
          <w:color w:val="000000"/>
        </w:rPr>
        <w:t>we all</w:t>
      </w:r>
      <w:r w:rsidR="00C649A5"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need to be </w:t>
      </w:r>
      <w:r w:rsidR="00C649A5">
        <w:rPr>
          <w:rFonts w:ascii="Times" w:eastAsia="Times New Roman" w:hAnsi="Times" w:cs="Arial"/>
          <w:color w:val="000000"/>
        </w:rPr>
        <w:t xml:space="preserve">better informed and </w:t>
      </w:r>
      <w:r w:rsidR="000B1F20">
        <w:rPr>
          <w:rFonts w:ascii="Times" w:eastAsia="Times New Roman" w:hAnsi="Times" w:cs="Arial"/>
          <w:color w:val="000000"/>
        </w:rPr>
        <w:t xml:space="preserve">also </w:t>
      </w:r>
      <w:r w:rsidR="00C649A5">
        <w:rPr>
          <w:rFonts w:ascii="Times" w:eastAsia="Times New Roman" w:hAnsi="Times" w:cs="Arial"/>
          <w:color w:val="000000"/>
        </w:rPr>
        <w:t>more cautious when approaching</w:t>
      </w:r>
      <w:r w:rsidR="00635080" w:rsidRPr="00635080">
        <w:rPr>
          <w:rFonts w:ascii="Times" w:eastAsia="Times New Roman" w:hAnsi="Times" w:cs="Arial"/>
          <w:color w:val="000000"/>
        </w:rPr>
        <w:t xml:space="preserve"> </w:t>
      </w:r>
      <w:r w:rsidR="00C649A5">
        <w:rPr>
          <w:rFonts w:ascii="Times" w:eastAsia="Times New Roman" w:hAnsi="Times" w:cs="Arial"/>
          <w:color w:val="000000"/>
        </w:rPr>
        <w:t>this difficult topic</w:t>
      </w:r>
      <w:r w:rsidR="00635080" w:rsidRPr="00635080">
        <w:rPr>
          <w:rFonts w:ascii="Times" w:eastAsia="Times New Roman" w:hAnsi="Times" w:cs="Arial"/>
          <w:color w:val="000000"/>
        </w:rPr>
        <w:t xml:space="preserve">. </w:t>
      </w:r>
      <w:r w:rsidR="00C649A5">
        <w:rPr>
          <w:rFonts w:ascii="Times" w:eastAsia="Times New Roman" w:hAnsi="Times" w:cs="Arial"/>
          <w:color w:val="000000"/>
        </w:rPr>
        <w:t xml:space="preserve">We </w:t>
      </w:r>
      <w:r w:rsidR="00D24D34">
        <w:rPr>
          <w:rFonts w:ascii="Times" w:eastAsia="Times New Roman" w:hAnsi="Times" w:cs="Arial"/>
          <w:color w:val="000000"/>
        </w:rPr>
        <w:t>agree with</w:t>
      </w:r>
      <w:r w:rsidR="00C649A5">
        <w:rPr>
          <w:rFonts w:ascii="Times" w:eastAsia="Times New Roman" w:hAnsi="Times" w:cs="Arial"/>
          <w:color w:val="000000"/>
        </w:rPr>
        <w:t xml:space="preserve"> </w:t>
      </w:r>
      <w:r w:rsidR="00635080" w:rsidRPr="00635080">
        <w:rPr>
          <w:rFonts w:ascii="Times" w:eastAsia="Times New Roman" w:hAnsi="Times" w:cs="Arial"/>
          <w:color w:val="000000"/>
        </w:rPr>
        <w:t xml:space="preserve">Larsen that “religion is a particularly deceptive subject which </w:t>
      </w:r>
      <w:r w:rsidR="00341BE7">
        <w:rPr>
          <w:rFonts w:ascii="Times" w:eastAsia="Times New Roman" w:hAnsi="Times" w:cs="Arial"/>
          <w:color w:val="000000"/>
        </w:rPr>
        <w:t>[we]</w:t>
      </w:r>
      <w:r w:rsidR="00341BE7" w:rsidRPr="00635080">
        <w:rPr>
          <w:rFonts w:ascii="Times" w:eastAsia="Times New Roman" w:hAnsi="Times" w:cs="Arial"/>
          <w:color w:val="000000"/>
        </w:rPr>
        <w:t xml:space="preserve"> </w:t>
      </w:r>
      <w:r w:rsidR="00635080" w:rsidRPr="00635080">
        <w:rPr>
          <w:rFonts w:ascii="Times" w:eastAsia="Times New Roman" w:hAnsi="Times" w:cs="Arial"/>
          <w:color w:val="000000"/>
        </w:rPr>
        <w:t xml:space="preserve">think </w:t>
      </w:r>
      <w:r w:rsidR="00341BE7">
        <w:rPr>
          <w:rFonts w:ascii="Times" w:eastAsia="Times New Roman" w:hAnsi="Times" w:cs="Arial"/>
          <w:color w:val="000000"/>
        </w:rPr>
        <w:t>[we]</w:t>
      </w:r>
      <w:r w:rsidR="00341BE7" w:rsidRPr="00635080">
        <w:rPr>
          <w:rFonts w:ascii="Times" w:eastAsia="Times New Roman" w:hAnsi="Times" w:cs="Arial"/>
          <w:color w:val="000000"/>
        </w:rPr>
        <w:t xml:space="preserve"> </w:t>
      </w:r>
      <w:r w:rsidR="00635080" w:rsidRPr="00635080">
        <w:rPr>
          <w:rFonts w:ascii="Times" w:eastAsia="Times New Roman" w:hAnsi="Times" w:cs="Arial"/>
          <w:color w:val="000000"/>
        </w:rPr>
        <w:t>have somehow picked up along the way</w:t>
      </w:r>
      <w:r w:rsidR="00B57F79">
        <w:rPr>
          <w:rFonts w:ascii="Times" w:eastAsia="Times New Roman" w:hAnsi="Times" w:cs="Arial"/>
          <w:color w:val="000000"/>
        </w:rPr>
        <w:t>,</w:t>
      </w:r>
      <w:r w:rsidR="00635080" w:rsidRPr="00635080">
        <w:rPr>
          <w:rFonts w:ascii="Times" w:eastAsia="Times New Roman" w:hAnsi="Times" w:cs="Arial"/>
          <w:color w:val="000000"/>
        </w:rPr>
        <w:t>”</w:t>
      </w:r>
      <w:r w:rsidR="00C649A5">
        <w:rPr>
          <w:rFonts w:ascii="Times" w:eastAsia="Times New Roman" w:hAnsi="Times" w:cs="Arial"/>
          <w:color w:val="000000"/>
        </w:rPr>
        <w:t xml:space="preserve"> and that this </w:t>
      </w:r>
      <w:r w:rsidR="00D24D34">
        <w:rPr>
          <w:rFonts w:ascii="Times" w:eastAsia="Times New Roman" w:hAnsi="Times" w:cs="Arial"/>
          <w:color w:val="000000"/>
        </w:rPr>
        <w:t>presents</w:t>
      </w:r>
      <w:r w:rsidR="00C649A5">
        <w:rPr>
          <w:rFonts w:ascii="Times" w:eastAsia="Times New Roman" w:hAnsi="Times" w:cs="Arial"/>
          <w:color w:val="000000"/>
        </w:rPr>
        <w:t xml:space="preserve"> a</w:t>
      </w:r>
      <w:r>
        <w:rPr>
          <w:rFonts w:ascii="Times" w:eastAsia="Times New Roman" w:hAnsi="Times" w:cs="Arial"/>
          <w:color w:val="000000"/>
        </w:rPr>
        <w:t>n endemic</w:t>
      </w:r>
      <w:r w:rsidR="00C649A5">
        <w:rPr>
          <w:rFonts w:ascii="Times" w:eastAsia="Times New Roman" w:hAnsi="Times" w:cs="Arial"/>
          <w:color w:val="000000"/>
        </w:rPr>
        <w:t xml:space="preserve"> problem </w:t>
      </w:r>
      <w:r w:rsidR="000B1F20">
        <w:rPr>
          <w:rFonts w:ascii="Times" w:eastAsia="Times New Roman" w:hAnsi="Times" w:cs="Arial"/>
          <w:color w:val="000000"/>
        </w:rPr>
        <w:t>for</w:t>
      </w:r>
      <w:r w:rsidR="00C649A5">
        <w:rPr>
          <w:rFonts w:ascii="Times" w:eastAsia="Times New Roman" w:hAnsi="Times" w:cs="Arial"/>
          <w:color w:val="000000"/>
        </w:rPr>
        <w:t xml:space="preserve"> our field</w:t>
      </w:r>
      <w:r w:rsidR="000B1F20">
        <w:rPr>
          <w:rFonts w:ascii="Times" w:eastAsia="Times New Roman" w:hAnsi="Times" w:cs="Arial"/>
          <w:color w:val="000000"/>
        </w:rPr>
        <w:t>.</w:t>
      </w:r>
      <w:r w:rsidR="00C649A5">
        <w:rPr>
          <w:rFonts w:ascii="Times" w:eastAsia="Times New Roman" w:hAnsi="Times" w:cs="Arial"/>
          <w:color w:val="000000"/>
        </w:rPr>
        <w:t xml:space="preserve"> </w:t>
      </w:r>
      <w:r w:rsidR="00635080" w:rsidRPr="00635080">
        <w:rPr>
          <w:rFonts w:ascii="Times" w:eastAsia="Times New Roman" w:hAnsi="Times" w:cs="Arial"/>
          <w:color w:val="000000"/>
        </w:rPr>
        <w:t>Jan-Melissa Schramm’s essay</w:t>
      </w:r>
      <w:r w:rsidR="00C649A5">
        <w:rPr>
          <w:rFonts w:ascii="Times" w:eastAsia="Times New Roman" w:hAnsi="Times" w:cs="Arial"/>
          <w:color w:val="000000"/>
        </w:rPr>
        <w:t xml:space="preserve">, which comes next, </w:t>
      </w:r>
      <w:r w:rsidR="00635080" w:rsidRPr="00635080">
        <w:rPr>
          <w:rFonts w:ascii="Times" w:eastAsia="Times New Roman" w:hAnsi="Times" w:cs="Arial"/>
          <w:color w:val="000000"/>
        </w:rPr>
        <w:t xml:space="preserve">offers a </w:t>
      </w:r>
      <w:r w:rsidR="00ED1CC1">
        <w:rPr>
          <w:rFonts w:ascii="Times" w:eastAsia="Times New Roman" w:hAnsi="Times" w:cs="Arial"/>
          <w:color w:val="000000"/>
        </w:rPr>
        <w:t xml:space="preserve">helpful </w:t>
      </w:r>
      <w:r w:rsidR="00635080" w:rsidRPr="00635080">
        <w:rPr>
          <w:rFonts w:ascii="Times" w:eastAsia="Times New Roman" w:hAnsi="Times" w:cs="Arial"/>
          <w:color w:val="000000"/>
        </w:rPr>
        <w:t xml:space="preserve">instance </w:t>
      </w:r>
      <w:r w:rsidR="00ED1CC1">
        <w:rPr>
          <w:rFonts w:ascii="Times" w:eastAsia="Times New Roman" w:hAnsi="Times" w:cs="Arial"/>
          <w:color w:val="000000"/>
        </w:rPr>
        <w:t>of how we might</w:t>
      </w:r>
      <w:r w:rsidR="00D24D34">
        <w:rPr>
          <w:rFonts w:ascii="Times" w:eastAsia="Times New Roman" w:hAnsi="Times" w:cs="Arial"/>
          <w:color w:val="000000"/>
        </w:rPr>
        <w:t xml:space="preserve"> </w:t>
      </w:r>
      <w:r w:rsidR="00635080" w:rsidRPr="00635080">
        <w:rPr>
          <w:rFonts w:ascii="Times" w:eastAsia="Times New Roman" w:hAnsi="Times" w:cs="Arial"/>
          <w:color w:val="000000"/>
        </w:rPr>
        <w:t xml:space="preserve">address this problem. Schramm works at the intersection of law, literature, and theology, and she reveals their extensive entanglements in “evidence-based knowledge, and the ways in which we ground our ethical deliberations on these evidential foundations.” </w:t>
      </w:r>
      <w:r w:rsidR="00C649A5">
        <w:rPr>
          <w:rFonts w:ascii="Times" w:eastAsia="Times New Roman" w:hAnsi="Times" w:cs="Arial"/>
          <w:color w:val="000000"/>
        </w:rPr>
        <w:t xml:space="preserve">Schramm goes so far as to urge “that law, literature and theology cannot be understood in isolation from one another” because they all contribute to what reality looks and feels like in the modern era. </w:t>
      </w:r>
      <w:r w:rsidR="00635080" w:rsidRPr="00635080">
        <w:rPr>
          <w:rFonts w:ascii="Times" w:eastAsia="Times New Roman" w:hAnsi="Times" w:cs="Arial"/>
          <w:color w:val="000000"/>
        </w:rPr>
        <w:t xml:space="preserve">If religion is </w:t>
      </w:r>
      <w:r w:rsidR="00C649A5">
        <w:rPr>
          <w:rFonts w:ascii="Times" w:eastAsia="Times New Roman" w:hAnsi="Times" w:cs="Arial"/>
          <w:color w:val="000000"/>
        </w:rPr>
        <w:t xml:space="preserve">still too </w:t>
      </w:r>
      <w:r w:rsidR="00635080" w:rsidRPr="00635080">
        <w:rPr>
          <w:rFonts w:ascii="Times" w:eastAsia="Times New Roman" w:hAnsi="Times" w:cs="Arial"/>
          <w:color w:val="000000"/>
        </w:rPr>
        <w:t>frequently left out of critical stories of the period, Schramm shows us how we might start to reintegrate it in our scholarship</w:t>
      </w:r>
      <w:r w:rsidR="00B57F79">
        <w:rPr>
          <w:rFonts w:ascii="Times" w:eastAsia="Times New Roman" w:hAnsi="Times" w:cs="Arial"/>
          <w:color w:val="000000"/>
        </w:rPr>
        <w:t>,</w:t>
      </w:r>
      <w:r w:rsidR="00C649A5">
        <w:rPr>
          <w:rFonts w:ascii="Times" w:eastAsia="Times New Roman" w:hAnsi="Times" w:cs="Arial"/>
          <w:color w:val="000000"/>
        </w:rPr>
        <w:t xml:space="preserve"> and why we must</w:t>
      </w:r>
      <w:r w:rsidR="00D24D34">
        <w:rPr>
          <w:rFonts w:ascii="Times" w:eastAsia="Times New Roman" w:hAnsi="Times" w:cs="Arial"/>
          <w:color w:val="000000"/>
        </w:rPr>
        <w:t xml:space="preserve"> do so</w:t>
      </w:r>
      <w:r w:rsidR="00635080" w:rsidRPr="00635080">
        <w:rPr>
          <w:rFonts w:ascii="Times" w:eastAsia="Times New Roman" w:hAnsi="Times" w:cs="Arial"/>
          <w:color w:val="000000"/>
        </w:rPr>
        <w:t>.</w:t>
      </w:r>
    </w:p>
    <w:p w14:paraId="6E532866" w14:textId="77777777" w:rsidR="00635080" w:rsidRPr="00635080" w:rsidRDefault="00635080" w:rsidP="00635080">
      <w:pPr>
        <w:spacing w:line="360" w:lineRule="auto"/>
        <w:rPr>
          <w:rFonts w:ascii="Times" w:eastAsia="Times New Roman" w:hAnsi="Times" w:cs="Times New Roman"/>
        </w:rPr>
      </w:pPr>
    </w:p>
    <w:p w14:paraId="0741C6FF" w14:textId="0FA40FD8" w:rsidR="00635080" w:rsidRPr="00635080" w:rsidRDefault="00635080" w:rsidP="00635080">
      <w:pPr>
        <w:spacing w:line="360" w:lineRule="auto"/>
        <w:rPr>
          <w:rFonts w:ascii="Times" w:eastAsia="Times New Roman" w:hAnsi="Times" w:cs="Times New Roman"/>
        </w:rPr>
      </w:pPr>
      <w:r w:rsidRPr="00635080">
        <w:rPr>
          <w:rFonts w:ascii="Times" w:eastAsia="Times New Roman" w:hAnsi="Times" w:cs="Arial"/>
          <w:color w:val="000000"/>
        </w:rPr>
        <w:t xml:space="preserve">Although it is important to all our contributors to reintegrate religion with our studies of the eighteenth and nineteenth centuries, doing so does not mean that we </w:t>
      </w:r>
      <w:r w:rsidR="00D24D34">
        <w:rPr>
          <w:rFonts w:ascii="Times" w:eastAsia="Times New Roman" w:hAnsi="Times" w:cs="Arial"/>
          <w:color w:val="000000"/>
        </w:rPr>
        <w:t>can</w:t>
      </w:r>
      <w:r w:rsidR="00D24D34" w:rsidRPr="00635080">
        <w:rPr>
          <w:rFonts w:ascii="Times" w:eastAsia="Times New Roman" w:hAnsi="Times" w:cs="Arial"/>
          <w:color w:val="000000"/>
        </w:rPr>
        <w:t xml:space="preserve"> </w:t>
      </w:r>
      <w:r w:rsidRPr="00635080">
        <w:rPr>
          <w:rFonts w:ascii="Times" w:eastAsia="Times New Roman" w:hAnsi="Times" w:cs="Arial"/>
          <w:color w:val="000000"/>
        </w:rPr>
        <w:t>ignore disciplinary difference</w:t>
      </w:r>
      <w:r w:rsidR="000B1F20">
        <w:rPr>
          <w:rFonts w:ascii="Times" w:eastAsia="Times New Roman" w:hAnsi="Times" w:cs="Arial"/>
          <w:color w:val="000000"/>
        </w:rPr>
        <w:t xml:space="preserve">s; indeed, facing these </w:t>
      </w:r>
      <w:r w:rsidR="00ED1CC1">
        <w:rPr>
          <w:rFonts w:ascii="Times" w:eastAsia="Times New Roman" w:hAnsi="Times" w:cs="Arial"/>
          <w:color w:val="000000"/>
        </w:rPr>
        <w:t xml:space="preserve">differences </w:t>
      </w:r>
      <w:r w:rsidR="000B1F20">
        <w:rPr>
          <w:rFonts w:ascii="Times" w:eastAsia="Times New Roman" w:hAnsi="Times" w:cs="Arial"/>
          <w:color w:val="000000"/>
        </w:rPr>
        <w:t>squarely should augment the interest of what we do</w:t>
      </w:r>
      <w:r w:rsidRPr="00635080">
        <w:rPr>
          <w:rFonts w:ascii="Times" w:eastAsia="Times New Roman" w:hAnsi="Times" w:cs="Arial"/>
          <w:color w:val="000000"/>
        </w:rPr>
        <w:t>. Jager</w:t>
      </w:r>
      <w:r w:rsidR="000B1F20">
        <w:rPr>
          <w:rFonts w:ascii="Times" w:eastAsia="Times New Roman" w:hAnsi="Times" w:cs="Arial"/>
          <w:color w:val="000000"/>
        </w:rPr>
        <w:t xml:space="preserve"> points out that the collapse of older models for secularization raises interesting questions about the very </w:t>
      </w:r>
      <w:r w:rsidR="000B1F20" w:rsidRPr="00861B3F">
        <w:rPr>
          <w:rFonts w:ascii="Times" w:eastAsia="Times New Roman" w:hAnsi="Times" w:cs="Arial"/>
          <w:i/>
          <w:iCs/>
          <w:color w:val="000000"/>
        </w:rPr>
        <w:t>raison d’être</w:t>
      </w:r>
      <w:r w:rsidR="000B1F20">
        <w:rPr>
          <w:rFonts w:ascii="Times" w:eastAsia="Times New Roman" w:hAnsi="Times" w:cs="Arial"/>
          <w:color w:val="000000"/>
        </w:rPr>
        <w:t xml:space="preserve"> </w:t>
      </w:r>
      <w:r w:rsidR="00DF4A87">
        <w:rPr>
          <w:rFonts w:ascii="Times" w:eastAsia="Times New Roman" w:hAnsi="Times" w:cs="Arial"/>
          <w:color w:val="000000"/>
        </w:rPr>
        <w:t>for</w:t>
      </w:r>
      <w:r w:rsidR="000B1F20">
        <w:rPr>
          <w:rFonts w:ascii="Times" w:eastAsia="Times New Roman" w:hAnsi="Times" w:cs="Arial"/>
          <w:color w:val="000000"/>
        </w:rPr>
        <w:t xml:space="preserve"> literary studies: “If we’re not reading for the brave souls who pointed toward our secular modernity,</w:t>
      </w:r>
      <w:r w:rsidR="00957413">
        <w:rPr>
          <w:rFonts w:ascii="Times" w:eastAsia="Times New Roman" w:hAnsi="Times" w:cs="Arial"/>
          <w:color w:val="000000"/>
        </w:rPr>
        <w:t>” he asks,</w:t>
      </w:r>
      <w:r w:rsidR="000B1F20">
        <w:rPr>
          <w:rFonts w:ascii="Times" w:eastAsia="Times New Roman" w:hAnsi="Times" w:cs="Arial"/>
          <w:color w:val="000000"/>
        </w:rPr>
        <w:t xml:space="preserve"> </w:t>
      </w:r>
      <w:r w:rsidR="00957413">
        <w:rPr>
          <w:rFonts w:ascii="Times" w:eastAsia="Times New Roman" w:hAnsi="Times" w:cs="Arial"/>
          <w:color w:val="000000"/>
        </w:rPr>
        <w:t>“</w:t>
      </w:r>
      <w:r w:rsidR="000B1F20">
        <w:rPr>
          <w:rFonts w:ascii="Times" w:eastAsia="Times New Roman" w:hAnsi="Times" w:cs="Arial"/>
          <w:color w:val="000000"/>
        </w:rPr>
        <w:t xml:space="preserve">then what </w:t>
      </w:r>
      <w:r w:rsidR="000B1F20" w:rsidRPr="00861B3F">
        <w:rPr>
          <w:rFonts w:ascii="Times" w:eastAsia="Times New Roman" w:hAnsi="Times" w:cs="Arial"/>
          <w:i/>
          <w:iCs/>
          <w:color w:val="000000"/>
        </w:rPr>
        <w:t>are</w:t>
      </w:r>
      <w:r w:rsidR="000B1F20">
        <w:rPr>
          <w:rFonts w:ascii="Times" w:eastAsia="Times New Roman" w:hAnsi="Times" w:cs="Arial"/>
          <w:color w:val="000000"/>
        </w:rPr>
        <w:t xml:space="preserve"> we reading for?” </w:t>
      </w:r>
      <w:r w:rsidRPr="00635080">
        <w:rPr>
          <w:rFonts w:ascii="Times" w:eastAsia="Times New Roman" w:hAnsi="Times" w:cs="Arial"/>
          <w:color w:val="000000"/>
        </w:rPr>
        <w:t xml:space="preserve">Jager’s essay on phantom beliefs and belief in phantoms invites </w:t>
      </w:r>
      <w:r w:rsidR="00ED1CC1">
        <w:rPr>
          <w:rFonts w:ascii="Times" w:eastAsia="Times New Roman" w:hAnsi="Times" w:cs="Arial"/>
          <w:color w:val="000000"/>
        </w:rPr>
        <w:t xml:space="preserve">us </w:t>
      </w:r>
      <w:r w:rsidRPr="00635080">
        <w:rPr>
          <w:rFonts w:ascii="Times" w:eastAsia="Times New Roman" w:hAnsi="Times" w:cs="Arial"/>
          <w:color w:val="000000"/>
        </w:rPr>
        <w:t>to examine the “dispositional habitus of literary studies rather than the propositional contents of its (implicit) beliefs”</w:t>
      </w:r>
      <w:r w:rsidR="000B1F20">
        <w:rPr>
          <w:rFonts w:ascii="Times" w:eastAsia="Times New Roman" w:hAnsi="Times" w:cs="Arial"/>
          <w:color w:val="000000"/>
        </w:rPr>
        <w:t xml:space="preserve">; he suggests that </w:t>
      </w:r>
      <w:r w:rsidR="00D24D34">
        <w:rPr>
          <w:rFonts w:ascii="Times" w:eastAsia="Times New Roman" w:hAnsi="Times" w:cs="Arial"/>
          <w:color w:val="000000"/>
        </w:rPr>
        <w:t>such an examination should help us</w:t>
      </w:r>
      <w:r w:rsidR="000B1F20">
        <w:rPr>
          <w:rFonts w:ascii="Times" w:eastAsia="Times New Roman" w:hAnsi="Times" w:cs="Arial"/>
          <w:color w:val="000000"/>
        </w:rPr>
        <w:t xml:space="preserve"> to say what distinctive </w:t>
      </w:r>
      <w:r w:rsidR="00DF4A87">
        <w:rPr>
          <w:rFonts w:ascii="Times" w:eastAsia="Times New Roman" w:hAnsi="Times" w:cs="Arial"/>
          <w:color w:val="000000"/>
        </w:rPr>
        <w:t>insights</w:t>
      </w:r>
      <w:r w:rsidR="000B1F20">
        <w:rPr>
          <w:rFonts w:ascii="Times" w:eastAsia="Times New Roman" w:hAnsi="Times" w:cs="Arial"/>
          <w:color w:val="000000"/>
        </w:rPr>
        <w:t xml:space="preserve"> we contribute to the study of culture.</w:t>
      </w:r>
      <w:r w:rsidRPr="00635080">
        <w:rPr>
          <w:rFonts w:ascii="Times" w:eastAsia="Times New Roman" w:hAnsi="Times" w:cs="Arial"/>
          <w:color w:val="000000"/>
        </w:rPr>
        <w:t xml:space="preserve"> Pete</w:t>
      </w:r>
      <w:r w:rsidR="000B1F20">
        <w:rPr>
          <w:rFonts w:ascii="Times" w:eastAsia="Times New Roman" w:hAnsi="Times" w:cs="Arial"/>
          <w:color w:val="000000"/>
        </w:rPr>
        <w:t>r</w:t>
      </w:r>
      <w:r w:rsidRPr="00635080">
        <w:rPr>
          <w:rFonts w:ascii="Times" w:eastAsia="Times New Roman" w:hAnsi="Times" w:cs="Arial"/>
          <w:color w:val="000000"/>
        </w:rPr>
        <w:t xml:space="preserve"> </w:t>
      </w:r>
      <w:proofErr w:type="spellStart"/>
      <w:r w:rsidRPr="00635080">
        <w:rPr>
          <w:rFonts w:ascii="Times" w:eastAsia="Times New Roman" w:hAnsi="Times" w:cs="Arial"/>
          <w:color w:val="000000"/>
        </w:rPr>
        <w:t>Coviell</w:t>
      </w:r>
      <w:r w:rsidR="000B1F20">
        <w:rPr>
          <w:rFonts w:ascii="Times" w:eastAsia="Times New Roman" w:hAnsi="Times" w:cs="Arial"/>
          <w:color w:val="000000"/>
        </w:rPr>
        <w:t>o’</w:t>
      </w:r>
      <w:r w:rsidRPr="00635080">
        <w:rPr>
          <w:rFonts w:ascii="Times" w:eastAsia="Times New Roman" w:hAnsi="Times" w:cs="Arial"/>
          <w:color w:val="000000"/>
        </w:rPr>
        <w:t>s</w:t>
      </w:r>
      <w:proofErr w:type="spellEnd"/>
      <w:r w:rsidRPr="00635080">
        <w:rPr>
          <w:rFonts w:ascii="Times" w:eastAsia="Times New Roman" w:hAnsi="Times" w:cs="Arial"/>
          <w:color w:val="000000"/>
        </w:rPr>
        <w:t xml:space="preserve"> </w:t>
      </w:r>
      <w:r w:rsidR="00957413">
        <w:rPr>
          <w:rFonts w:ascii="Times" w:eastAsia="Times New Roman" w:hAnsi="Times" w:cs="Arial"/>
          <w:color w:val="000000"/>
        </w:rPr>
        <w:t>archly</w:t>
      </w:r>
      <w:r w:rsidR="00957413" w:rsidRPr="00635080">
        <w:rPr>
          <w:rFonts w:ascii="Times" w:eastAsia="Times New Roman" w:hAnsi="Times" w:cs="Arial"/>
          <w:color w:val="000000"/>
        </w:rPr>
        <w:t xml:space="preserve"> </w:t>
      </w:r>
      <w:r w:rsidRPr="00635080">
        <w:rPr>
          <w:rFonts w:ascii="Times" w:eastAsia="Times New Roman" w:hAnsi="Times" w:cs="Arial"/>
          <w:color w:val="000000"/>
        </w:rPr>
        <w:t xml:space="preserve">titled “Did God Write </w:t>
      </w:r>
      <w:r w:rsidRPr="00635080">
        <w:rPr>
          <w:rFonts w:ascii="Times" w:eastAsia="Times New Roman" w:hAnsi="Times" w:cs="Arial"/>
          <w:i/>
          <w:iCs/>
          <w:color w:val="000000"/>
        </w:rPr>
        <w:t>Moby Dick</w:t>
      </w:r>
      <w:r w:rsidRPr="00635080">
        <w:rPr>
          <w:rFonts w:ascii="Times" w:eastAsia="Times New Roman" w:hAnsi="Times" w:cs="Arial"/>
          <w:color w:val="000000"/>
        </w:rPr>
        <w:t xml:space="preserve">?” </w:t>
      </w:r>
      <w:r w:rsidR="000B1F20">
        <w:rPr>
          <w:rFonts w:ascii="Times" w:eastAsia="Times New Roman" w:hAnsi="Times" w:cs="Arial"/>
          <w:color w:val="000000"/>
        </w:rPr>
        <w:t xml:space="preserve">follows </w:t>
      </w:r>
      <w:r w:rsidR="004D2C28">
        <w:rPr>
          <w:rFonts w:ascii="Times" w:eastAsia="Times New Roman" w:hAnsi="Times" w:cs="Arial"/>
          <w:color w:val="000000"/>
        </w:rPr>
        <w:t xml:space="preserve">naturally </w:t>
      </w:r>
      <w:r w:rsidR="000B1F20">
        <w:rPr>
          <w:rFonts w:ascii="Times" w:eastAsia="Times New Roman" w:hAnsi="Times" w:cs="Arial"/>
          <w:color w:val="000000"/>
        </w:rPr>
        <w:t>from Jager</w:t>
      </w:r>
      <w:r w:rsidR="004D2C28">
        <w:rPr>
          <w:rFonts w:ascii="Times" w:eastAsia="Times New Roman" w:hAnsi="Times" w:cs="Arial"/>
          <w:color w:val="000000"/>
        </w:rPr>
        <w:t>’s piece</w:t>
      </w:r>
      <w:r w:rsidR="00D24D34">
        <w:rPr>
          <w:rFonts w:ascii="Times" w:eastAsia="Times New Roman" w:hAnsi="Times" w:cs="Arial"/>
          <w:color w:val="000000"/>
        </w:rPr>
        <w:t>,</w:t>
      </w:r>
      <w:r w:rsidR="000B1F20">
        <w:rPr>
          <w:rFonts w:ascii="Times" w:eastAsia="Times New Roman" w:hAnsi="Times" w:cs="Arial"/>
          <w:color w:val="000000"/>
        </w:rPr>
        <w:t xml:space="preserve"> for </w:t>
      </w:r>
      <w:proofErr w:type="spellStart"/>
      <w:r w:rsidRPr="00635080">
        <w:rPr>
          <w:rFonts w:ascii="Times" w:eastAsia="Times New Roman" w:hAnsi="Times" w:cs="Arial"/>
          <w:color w:val="000000"/>
        </w:rPr>
        <w:t>Coviello</w:t>
      </w:r>
      <w:proofErr w:type="spellEnd"/>
      <w:r w:rsidRPr="00635080">
        <w:rPr>
          <w:rFonts w:ascii="Times" w:eastAsia="Times New Roman" w:hAnsi="Times" w:cs="Arial"/>
          <w:color w:val="000000"/>
        </w:rPr>
        <w:t xml:space="preserve"> </w:t>
      </w:r>
      <w:r w:rsidR="00D24D34">
        <w:rPr>
          <w:rFonts w:ascii="Times" w:eastAsia="Times New Roman" w:hAnsi="Times" w:cs="Arial"/>
          <w:color w:val="000000"/>
        </w:rPr>
        <w:t xml:space="preserve">too </w:t>
      </w:r>
      <w:r w:rsidR="00DF4A87">
        <w:rPr>
          <w:rFonts w:ascii="Times" w:eastAsia="Times New Roman" w:hAnsi="Times" w:cs="Arial"/>
          <w:color w:val="000000"/>
        </w:rPr>
        <w:t>suggests that</w:t>
      </w:r>
      <w:r w:rsidR="000B1F20" w:rsidRPr="00635080">
        <w:rPr>
          <w:rFonts w:ascii="Times" w:eastAsia="Times New Roman" w:hAnsi="Times" w:cs="Arial"/>
          <w:color w:val="000000"/>
        </w:rPr>
        <w:t xml:space="preserve"> the literary offers </w:t>
      </w:r>
      <w:r w:rsidR="000B1F20">
        <w:rPr>
          <w:rFonts w:ascii="Times" w:eastAsia="Times New Roman" w:hAnsi="Times" w:cs="Arial"/>
          <w:color w:val="000000"/>
        </w:rPr>
        <w:t xml:space="preserve">a special vantage on </w:t>
      </w:r>
      <w:r w:rsidRPr="00635080">
        <w:rPr>
          <w:rFonts w:ascii="Times" w:eastAsia="Times New Roman" w:hAnsi="Times" w:cs="Arial"/>
          <w:color w:val="000000"/>
        </w:rPr>
        <w:t>secularism</w:t>
      </w:r>
      <w:r w:rsidR="000B1F20">
        <w:rPr>
          <w:rFonts w:ascii="Times" w:eastAsia="Times New Roman" w:hAnsi="Times" w:cs="Arial"/>
          <w:color w:val="000000"/>
        </w:rPr>
        <w:t>,</w:t>
      </w:r>
      <w:r w:rsidRPr="00635080">
        <w:rPr>
          <w:rFonts w:ascii="Times" w:eastAsia="Times New Roman" w:hAnsi="Times" w:cs="Arial"/>
          <w:color w:val="000000"/>
        </w:rPr>
        <w:t xml:space="preserve"> </w:t>
      </w:r>
      <w:r w:rsidRPr="00635080">
        <w:rPr>
          <w:rFonts w:ascii="Times" w:eastAsia="Times New Roman" w:hAnsi="Times" w:cs="Arial"/>
          <w:color w:val="000000"/>
        </w:rPr>
        <w:lastRenderedPageBreak/>
        <w:t>“the solvent in which ‘religion’ as such would appear</w:t>
      </w:r>
      <w:r w:rsidR="000B1F20">
        <w:rPr>
          <w:rFonts w:ascii="Times" w:eastAsia="Times New Roman" w:hAnsi="Times" w:cs="Arial"/>
          <w:color w:val="000000"/>
        </w:rPr>
        <w:t>.</w:t>
      </w:r>
      <w:r w:rsidRPr="00635080">
        <w:rPr>
          <w:rFonts w:ascii="Times" w:eastAsia="Times New Roman" w:hAnsi="Times" w:cs="Arial"/>
          <w:color w:val="000000"/>
        </w:rPr>
        <w:t xml:space="preserve">” In the case of </w:t>
      </w:r>
      <w:r w:rsidRPr="00635080">
        <w:rPr>
          <w:rFonts w:ascii="Times" w:eastAsia="Times New Roman" w:hAnsi="Times" w:cs="Arial"/>
          <w:i/>
          <w:iCs/>
          <w:color w:val="000000"/>
        </w:rPr>
        <w:t>Moby Dick</w:t>
      </w:r>
      <w:r w:rsidRPr="00635080">
        <w:rPr>
          <w:rFonts w:ascii="Times" w:eastAsia="Times New Roman" w:hAnsi="Times" w:cs="Arial"/>
          <w:color w:val="000000"/>
        </w:rPr>
        <w:t>,</w:t>
      </w:r>
      <w:r w:rsidR="000B1F20">
        <w:rPr>
          <w:rFonts w:ascii="Times" w:eastAsia="Times New Roman" w:hAnsi="Times" w:cs="Arial"/>
          <w:color w:val="000000"/>
        </w:rPr>
        <w:t xml:space="preserve"> for instance,</w:t>
      </w:r>
      <w:r w:rsidRPr="00635080">
        <w:rPr>
          <w:rFonts w:ascii="Times" w:eastAsia="Times New Roman" w:hAnsi="Times" w:cs="Arial"/>
          <w:color w:val="000000"/>
        </w:rPr>
        <w:t xml:space="preserve"> we have “a novel shouting not into the void of a world abandoned by God</w:t>
      </w:r>
      <w:r w:rsidR="00861B3F">
        <w:rPr>
          <w:rFonts w:ascii="Times" w:eastAsia="Times New Roman" w:hAnsi="Times" w:cs="Arial"/>
          <w:color w:val="000000"/>
        </w:rPr>
        <w:t>—</w:t>
      </w:r>
      <w:r w:rsidRPr="00635080">
        <w:rPr>
          <w:rFonts w:ascii="Times" w:eastAsia="Times New Roman" w:hAnsi="Times" w:cs="Arial"/>
          <w:color w:val="000000"/>
        </w:rPr>
        <w:t>or not only</w:t>
      </w:r>
      <w:r w:rsidR="00861B3F">
        <w:rPr>
          <w:rFonts w:ascii="Times" w:eastAsia="Times New Roman" w:hAnsi="Times" w:cs="Arial"/>
          <w:color w:val="000000"/>
        </w:rPr>
        <w:t>—</w:t>
      </w:r>
      <w:r w:rsidRPr="00635080">
        <w:rPr>
          <w:rFonts w:ascii="Times" w:eastAsia="Times New Roman" w:hAnsi="Times" w:cs="Arial"/>
          <w:color w:val="000000"/>
        </w:rPr>
        <w:t xml:space="preserve">but into the empty space where the theocratic authority of the pulpit had once been.” </w:t>
      </w:r>
      <w:r w:rsidR="000B1F20">
        <w:rPr>
          <w:rFonts w:ascii="Times" w:eastAsia="Times New Roman" w:hAnsi="Times" w:cs="Arial"/>
          <w:color w:val="000000"/>
        </w:rPr>
        <w:t>Secularism changes literature, that is, because it creates a crisis of authority: “the ordering force of secularism. . . reshapes not only the meaning of religiosity and belief. . . but, with these, the very domain of the expressive medium called ‘literature.’”</w:t>
      </w:r>
      <w:r w:rsidR="000B1F20" w:rsidRPr="00635080">
        <w:rPr>
          <w:rFonts w:ascii="Times" w:eastAsia="Times New Roman" w:hAnsi="Times" w:cs="Arial"/>
          <w:color w:val="000000"/>
        </w:rPr>
        <w:t xml:space="preserve"> </w:t>
      </w:r>
      <w:proofErr w:type="spellStart"/>
      <w:r w:rsidR="000B1F20">
        <w:rPr>
          <w:rFonts w:ascii="Times" w:eastAsia="Times New Roman" w:hAnsi="Times" w:cs="Arial"/>
          <w:color w:val="000000"/>
        </w:rPr>
        <w:t>Coviello</w:t>
      </w:r>
      <w:proofErr w:type="spellEnd"/>
      <w:r w:rsidR="000B1F20">
        <w:rPr>
          <w:rFonts w:ascii="Times" w:eastAsia="Times New Roman" w:hAnsi="Times" w:cs="Arial"/>
          <w:color w:val="000000"/>
        </w:rPr>
        <w:t xml:space="preserve"> makes clear how </w:t>
      </w:r>
      <w:r w:rsidRPr="00635080">
        <w:rPr>
          <w:rFonts w:ascii="Times" w:eastAsia="Times New Roman" w:hAnsi="Times" w:cs="Arial"/>
          <w:color w:val="000000"/>
        </w:rPr>
        <w:t xml:space="preserve">our understanding of literature, what it is and how it works, </w:t>
      </w:r>
      <w:r w:rsidR="00D24D34">
        <w:rPr>
          <w:rFonts w:ascii="Times" w:eastAsia="Times New Roman" w:hAnsi="Times" w:cs="Arial"/>
          <w:color w:val="000000"/>
        </w:rPr>
        <w:t>must</w:t>
      </w:r>
      <w:r w:rsidR="000B1F20">
        <w:rPr>
          <w:rFonts w:ascii="Times" w:eastAsia="Times New Roman" w:hAnsi="Times" w:cs="Arial"/>
          <w:color w:val="000000"/>
        </w:rPr>
        <w:t xml:space="preserve"> be</w:t>
      </w:r>
      <w:r w:rsidR="000B1F20" w:rsidRPr="00635080">
        <w:rPr>
          <w:rFonts w:ascii="Times" w:eastAsia="Times New Roman" w:hAnsi="Times" w:cs="Arial"/>
          <w:color w:val="000000"/>
        </w:rPr>
        <w:t xml:space="preserve"> </w:t>
      </w:r>
      <w:r w:rsidRPr="00635080">
        <w:rPr>
          <w:rFonts w:ascii="Times" w:eastAsia="Times New Roman" w:hAnsi="Times" w:cs="Arial"/>
          <w:color w:val="000000"/>
        </w:rPr>
        <w:t xml:space="preserve">informed by </w:t>
      </w:r>
      <w:r w:rsidR="000B1F20">
        <w:rPr>
          <w:rFonts w:ascii="Times" w:eastAsia="Times New Roman" w:hAnsi="Times" w:cs="Arial"/>
          <w:color w:val="000000"/>
        </w:rPr>
        <w:t xml:space="preserve">but </w:t>
      </w:r>
      <w:r w:rsidR="00957413">
        <w:rPr>
          <w:rFonts w:ascii="Times" w:eastAsia="Times New Roman" w:hAnsi="Times" w:cs="Arial"/>
          <w:color w:val="000000"/>
        </w:rPr>
        <w:t xml:space="preserve">is </w:t>
      </w:r>
      <w:r w:rsidR="000B1F20">
        <w:rPr>
          <w:rFonts w:ascii="Times" w:eastAsia="Times New Roman" w:hAnsi="Times" w:cs="Arial"/>
          <w:color w:val="000000"/>
        </w:rPr>
        <w:t xml:space="preserve">not reducible to </w:t>
      </w:r>
      <w:r w:rsidRPr="00635080">
        <w:rPr>
          <w:rFonts w:ascii="Times" w:eastAsia="Times New Roman" w:hAnsi="Times" w:cs="Arial"/>
          <w:color w:val="000000"/>
        </w:rPr>
        <w:t>our thinking about the secular.</w:t>
      </w:r>
    </w:p>
    <w:p w14:paraId="017BD485" w14:textId="77777777" w:rsidR="00635080" w:rsidRPr="00635080" w:rsidRDefault="00635080" w:rsidP="00635080">
      <w:pPr>
        <w:spacing w:line="360" w:lineRule="auto"/>
        <w:rPr>
          <w:rFonts w:ascii="Times" w:eastAsia="Times New Roman" w:hAnsi="Times" w:cs="Times New Roman"/>
        </w:rPr>
      </w:pPr>
    </w:p>
    <w:p w14:paraId="0694A86B" w14:textId="42804F05" w:rsidR="00635080" w:rsidRPr="00635080" w:rsidRDefault="00635080" w:rsidP="00635080">
      <w:pPr>
        <w:spacing w:line="360" w:lineRule="auto"/>
        <w:rPr>
          <w:rFonts w:ascii="Times" w:eastAsia="Times New Roman" w:hAnsi="Times" w:cs="Times New Roman"/>
        </w:rPr>
      </w:pPr>
      <w:r w:rsidRPr="00635080">
        <w:rPr>
          <w:rFonts w:ascii="Times" w:eastAsia="Times New Roman" w:hAnsi="Times" w:cs="Arial"/>
          <w:color w:val="000000"/>
        </w:rPr>
        <w:t xml:space="preserve">Starting with devotional readings of Jane Austen, Alex Eric Hernandez’s essay </w:t>
      </w:r>
      <w:r w:rsidR="000B1F20">
        <w:rPr>
          <w:rFonts w:ascii="Times" w:eastAsia="Times New Roman" w:hAnsi="Times" w:cs="Arial"/>
          <w:color w:val="000000"/>
        </w:rPr>
        <w:t>hearkens back to several of the previous discussions by encouraging</w:t>
      </w:r>
      <w:r w:rsidR="000B1F20" w:rsidRPr="00635080">
        <w:rPr>
          <w:rFonts w:ascii="Times" w:eastAsia="Times New Roman" w:hAnsi="Times" w:cs="Arial"/>
          <w:color w:val="000000"/>
        </w:rPr>
        <w:t xml:space="preserve"> </w:t>
      </w:r>
      <w:r w:rsidRPr="00635080">
        <w:rPr>
          <w:rFonts w:ascii="Times" w:eastAsia="Times New Roman" w:hAnsi="Times" w:cs="Arial"/>
          <w:color w:val="000000"/>
        </w:rPr>
        <w:t>scholars of literature to consider</w:t>
      </w:r>
      <w:r w:rsidR="000B1F20">
        <w:rPr>
          <w:rFonts w:ascii="Times" w:eastAsia="Times New Roman" w:hAnsi="Times" w:cs="Arial"/>
          <w:color w:val="000000"/>
        </w:rPr>
        <w:t xml:space="preserve"> popular reading practices, here exemplified by</w:t>
      </w:r>
      <w:r w:rsidRPr="00635080">
        <w:rPr>
          <w:rFonts w:ascii="Times" w:eastAsia="Times New Roman" w:hAnsi="Times" w:cs="Arial"/>
          <w:color w:val="000000"/>
        </w:rPr>
        <w:t xml:space="preserve"> “those readers who claim to speak, with, </w:t>
      </w:r>
      <w:proofErr w:type="spellStart"/>
      <w:r w:rsidRPr="00635080">
        <w:rPr>
          <w:rFonts w:ascii="Times" w:eastAsia="Times New Roman" w:hAnsi="Times" w:cs="Arial"/>
          <w:color w:val="000000"/>
        </w:rPr>
        <w:t>through</w:t>
      </w:r>
      <w:proofErr w:type="spellEnd"/>
      <w:r w:rsidRPr="00635080">
        <w:rPr>
          <w:rFonts w:ascii="Times" w:eastAsia="Times New Roman" w:hAnsi="Times" w:cs="Arial"/>
          <w:color w:val="000000"/>
        </w:rPr>
        <w:t>, and alongside Austen in their devotional practices</w:t>
      </w:r>
      <w:r w:rsidR="000B1F20">
        <w:rPr>
          <w:rFonts w:ascii="Times" w:eastAsia="Times New Roman" w:hAnsi="Times" w:cs="Arial"/>
          <w:color w:val="000000"/>
        </w:rPr>
        <w:t>.</w:t>
      </w:r>
      <w:r w:rsidRPr="00635080">
        <w:rPr>
          <w:rFonts w:ascii="Times" w:eastAsia="Times New Roman" w:hAnsi="Times" w:cs="Arial"/>
          <w:color w:val="000000"/>
        </w:rPr>
        <w:t xml:space="preserve">” </w:t>
      </w:r>
      <w:r w:rsidR="000B1F20">
        <w:rPr>
          <w:rFonts w:ascii="Times" w:eastAsia="Times New Roman" w:hAnsi="Times" w:cs="Arial"/>
          <w:color w:val="000000"/>
        </w:rPr>
        <w:t>Devotional reading of “secular” literature, in</w:t>
      </w:r>
      <w:r w:rsidRPr="00635080">
        <w:rPr>
          <w:rFonts w:ascii="Times" w:eastAsia="Times New Roman" w:hAnsi="Times" w:cs="Arial"/>
          <w:color w:val="000000"/>
        </w:rPr>
        <w:t xml:space="preserve"> Hernandez</w:t>
      </w:r>
      <w:r w:rsidR="000B1F20">
        <w:rPr>
          <w:rFonts w:ascii="Times" w:eastAsia="Times New Roman" w:hAnsi="Times" w:cs="Arial"/>
          <w:color w:val="000000"/>
        </w:rPr>
        <w:t>’s view, helps us</w:t>
      </w:r>
      <w:r w:rsidRPr="00635080">
        <w:rPr>
          <w:rFonts w:ascii="Times" w:eastAsia="Times New Roman" w:hAnsi="Times" w:cs="Arial"/>
          <w:color w:val="000000"/>
        </w:rPr>
        <w:t xml:space="preserve"> to think about how religion should be read. Drawing on Robert </w:t>
      </w:r>
      <w:proofErr w:type="spellStart"/>
      <w:r w:rsidRPr="00635080">
        <w:rPr>
          <w:rFonts w:ascii="Times" w:eastAsia="Times New Roman" w:hAnsi="Times" w:cs="Arial"/>
          <w:color w:val="000000"/>
        </w:rPr>
        <w:t>Orsi’s</w:t>
      </w:r>
      <w:proofErr w:type="spellEnd"/>
      <w:r w:rsidRPr="00635080">
        <w:rPr>
          <w:rFonts w:ascii="Times" w:eastAsia="Times New Roman" w:hAnsi="Times" w:cs="Arial"/>
          <w:color w:val="000000"/>
        </w:rPr>
        <w:t xml:space="preserve"> call for scholars working on religion to examine practi</w:t>
      </w:r>
      <w:r w:rsidR="004D2C28">
        <w:rPr>
          <w:rFonts w:ascii="Times" w:eastAsia="Times New Roman" w:hAnsi="Times" w:cs="Arial"/>
          <w:color w:val="000000"/>
        </w:rPr>
        <w:t>ti</w:t>
      </w:r>
      <w:r w:rsidRPr="00635080">
        <w:rPr>
          <w:rFonts w:ascii="Times" w:eastAsia="Times New Roman" w:hAnsi="Times" w:cs="Arial"/>
          <w:color w:val="000000"/>
        </w:rPr>
        <w:t xml:space="preserve">oners’ lived experience of religion, Hernandez considers the challenge facing literary scholars of registering “in words adequate to the task, the presences evoked in experiences like this without hastening to explanatory schemes that presume </w:t>
      </w:r>
      <w:r w:rsidR="000B1F20">
        <w:rPr>
          <w:rFonts w:ascii="Times" w:eastAsia="Times New Roman" w:hAnsi="Times" w:cs="Arial"/>
          <w:color w:val="000000"/>
        </w:rPr>
        <w:t xml:space="preserve">them </w:t>
      </w:r>
      <w:r w:rsidRPr="00635080">
        <w:rPr>
          <w:rFonts w:ascii="Times" w:eastAsia="Times New Roman" w:hAnsi="Times" w:cs="Arial"/>
          <w:color w:val="000000"/>
        </w:rPr>
        <w:t>to be misguided.” This invitation for literary scholars to learn from the methodological insights of those who work in religious studies is seconded by Dawn Coleman</w:t>
      </w:r>
      <w:r w:rsidR="000B1F20">
        <w:rPr>
          <w:rFonts w:ascii="Times" w:eastAsia="Times New Roman" w:hAnsi="Times" w:cs="Arial"/>
          <w:color w:val="000000"/>
        </w:rPr>
        <w:t>’s “Fathers, Mothers, Saints, Martyrs: Religion a</w:t>
      </w:r>
      <w:r w:rsidR="00D24D34">
        <w:rPr>
          <w:rFonts w:ascii="Times" w:eastAsia="Times New Roman" w:hAnsi="Times" w:cs="Arial"/>
          <w:color w:val="000000"/>
        </w:rPr>
        <w:t>s a</w:t>
      </w:r>
      <w:r w:rsidR="000B1F20">
        <w:rPr>
          <w:rFonts w:ascii="Times" w:eastAsia="Times New Roman" w:hAnsi="Times" w:cs="Arial"/>
          <w:color w:val="000000"/>
        </w:rPr>
        <w:t xml:space="preserve"> Lineage of Belief</w:t>
      </w:r>
      <w:r w:rsidRPr="00635080">
        <w:rPr>
          <w:rFonts w:ascii="Times" w:eastAsia="Times New Roman" w:hAnsi="Times" w:cs="Arial"/>
          <w:color w:val="000000"/>
        </w:rPr>
        <w:t>.</w:t>
      </w:r>
      <w:r w:rsidR="000B1F20">
        <w:rPr>
          <w:rFonts w:ascii="Times" w:eastAsia="Times New Roman" w:hAnsi="Times" w:cs="Arial"/>
          <w:color w:val="000000"/>
        </w:rPr>
        <w:t>”</w:t>
      </w:r>
      <w:r w:rsidRPr="00635080">
        <w:rPr>
          <w:rFonts w:ascii="Times" w:eastAsia="Times New Roman" w:hAnsi="Times" w:cs="Arial"/>
          <w:color w:val="000000"/>
        </w:rPr>
        <w:t xml:space="preserve"> Challenging readers to rethink their </w:t>
      </w:r>
      <w:r w:rsidR="00D24D34">
        <w:rPr>
          <w:rFonts w:ascii="Times" w:eastAsia="Times New Roman" w:hAnsi="Times" w:cs="Arial"/>
          <w:color w:val="000000"/>
        </w:rPr>
        <w:t xml:space="preserve">working </w:t>
      </w:r>
      <w:r w:rsidRPr="00635080">
        <w:rPr>
          <w:rFonts w:ascii="Times" w:eastAsia="Times New Roman" w:hAnsi="Times" w:cs="Arial"/>
          <w:color w:val="000000"/>
        </w:rPr>
        <w:t xml:space="preserve">definitions of religion, Coleman looks to the </w:t>
      </w:r>
      <w:r w:rsidR="001E4B45">
        <w:rPr>
          <w:rFonts w:ascii="Times" w:eastAsia="Times New Roman" w:hAnsi="Times" w:cs="Arial"/>
          <w:color w:val="000000"/>
        </w:rPr>
        <w:t>sociologist</w:t>
      </w:r>
      <w:r w:rsidRPr="00635080">
        <w:rPr>
          <w:rFonts w:ascii="Times" w:eastAsia="Times New Roman" w:hAnsi="Times" w:cs="Arial"/>
          <w:color w:val="000000"/>
        </w:rPr>
        <w:t xml:space="preserve"> </w:t>
      </w:r>
      <w:proofErr w:type="spellStart"/>
      <w:r w:rsidRPr="00635080">
        <w:rPr>
          <w:rFonts w:ascii="Times" w:eastAsia="Times New Roman" w:hAnsi="Times" w:cs="Arial"/>
          <w:color w:val="000000"/>
        </w:rPr>
        <w:t>Danièle</w:t>
      </w:r>
      <w:proofErr w:type="spellEnd"/>
      <w:r w:rsidRPr="00635080">
        <w:rPr>
          <w:rFonts w:ascii="Times" w:eastAsia="Times New Roman" w:hAnsi="Times" w:cs="Arial"/>
          <w:color w:val="000000"/>
        </w:rPr>
        <w:t xml:space="preserve"> </w:t>
      </w:r>
      <w:proofErr w:type="spellStart"/>
      <w:r w:rsidRPr="00635080">
        <w:rPr>
          <w:rFonts w:ascii="Times" w:eastAsia="Times New Roman" w:hAnsi="Times" w:cs="Arial"/>
          <w:color w:val="000000"/>
        </w:rPr>
        <w:t>Hervieu</w:t>
      </w:r>
      <w:proofErr w:type="spellEnd"/>
      <w:r w:rsidRPr="00635080">
        <w:rPr>
          <w:rFonts w:ascii="Times" w:eastAsia="Times New Roman" w:hAnsi="Times" w:cs="Arial"/>
          <w:color w:val="000000"/>
        </w:rPr>
        <w:t>-Léger</w:t>
      </w:r>
      <w:r w:rsidR="001E4B45">
        <w:rPr>
          <w:rFonts w:ascii="Times" w:eastAsia="Times New Roman" w:hAnsi="Times" w:cs="Arial"/>
          <w:color w:val="000000"/>
        </w:rPr>
        <w:t>’s</w:t>
      </w:r>
      <w:r w:rsidRPr="00635080">
        <w:rPr>
          <w:rFonts w:ascii="Times" w:eastAsia="Times New Roman" w:hAnsi="Times" w:cs="Arial"/>
          <w:color w:val="000000"/>
        </w:rPr>
        <w:t xml:space="preserve"> account of religion as a chain of memory. Coleman </w:t>
      </w:r>
      <w:r w:rsidR="00D24D34">
        <w:rPr>
          <w:rFonts w:ascii="Times" w:eastAsia="Times New Roman" w:hAnsi="Times" w:cs="Arial"/>
          <w:color w:val="000000"/>
        </w:rPr>
        <w:t xml:space="preserve">acknowledges and outlines the </w:t>
      </w:r>
      <w:r w:rsidR="00957413">
        <w:rPr>
          <w:rFonts w:ascii="Times" w:eastAsia="Times New Roman" w:hAnsi="Times" w:cs="Arial"/>
          <w:color w:val="000000"/>
        </w:rPr>
        <w:t xml:space="preserve">various </w:t>
      </w:r>
      <w:r w:rsidR="004D2C28">
        <w:rPr>
          <w:rFonts w:ascii="Times" w:eastAsia="Times New Roman" w:hAnsi="Times" w:cs="Arial"/>
          <w:color w:val="000000"/>
        </w:rPr>
        <w:t xml:space="preserve">difficulties </w:t>
      </w:r>
      <w:r w:rsidR="00116DD6">
        <w:rPr>
          <w:rFonts w:ascii="Times" w:eastAsia="Times New Roman" w:hAnsi="Times" w:cs="Arial"/>
          <w:color w:val="000000"/>
        </w:rPr>
        <w:t xml:space="preserve">in </w:t>
      </w:r>
      <w:r w:rsidR="00957413">
        <w:rPr>
          <w:rFonts w:ascii="Times" w:eastAsia="Times New Roman" w:hAnsi="Times" w:cs="Arial"/>
          <w:color w:val="000000"/>
        </w:rPr>
        <w:t>firm</w:t>
      </w:r>
      <w:r w:rsidR="00D24D34">
        <w:rPr>
          <w:rFonts w:ascii="Times" w:eastAsia="Times New Roman" w:hAnsi="Times" w:cs="Arial"/>
          <w:color w:val="000000"/>
        </w:rPr>
        <w:t xml:space="preserve"> definitions but rightly urges </w:t>
      </w:r>
      <w:r w:rsidRPr="00635080">
        <w:rPr>
          <w:rFonts w:ascii="Times" w:eastAsia="Times New Roman" w:hAnsi="Times" w:cs="Arial"/>
          <w:color w:val="000000"/>
        </w:rPr>
        <w:t>that “approaching religion as a lineage of belief can jolt us out of the reflexive, ubiquitous habit of treating Protestantism as centered in personal belief</w:t>
      </w:r>
      <w:r w:rsidR="00D24D34">
        <w:rPr>
          <w:rFonts w:ascii="Times" w:eastAsia="Times New Roman" w:hAnsi="Times" w:cs="Arial"/>
          <w:color w:val="000000"/>
        </w:rPr>
        <w:t>.</w:t>
      </w:r>
      <w:r w:rsidRPr="00635080">
        <w:rPr>
          <w:rFonts w:ascii="Times" w:eastAsia="Times New Roman" w:hAnsi="Times" w:cs="Arial"/>
          <w:color w:val="000000"/>
        </w:rPr>
        <w:t xml:space="preserve">” </w:t>
      </w:r>
      <w:r w:rsidR="00D24D34">
        <w:rPr>
          <w:rFonts w:ascii="Times" w:eastAsia="Times New Roman" w:hAnsi="Times" w:cs="Arial"/>
          <w:color w:val="000000"/>
        </w:rPr>
        <w:t xml:space="preserve">She then </w:t>
      </w:r>
      <w:r w:rsidR="004123E7">
        <w:rPr>
          <w:rFonts w:ascii="Times" w:eastAsia="Times New Roman" w:hAnsi="Times" w:cs="Arial"/>
          <w:color w:val="000000"/>
        </w:rPr>
        <w:t>explores</w:t>
      </w:r>
      <w:r w:rsidR="004123E7" w:rsidRPr="00635080">
        <w:rPr>
          <w:rFonts w:ascii="Times" w:eastAsia="Times New Roman" w:hAnsi="Times" w:cs="Arial"/>
          <w:color w:val="000000"/>
        </w:rPr>
        <w:t xml:space="preserve"> </w:t>
      </w:r>
      <w:r w:rsidRPr="00635080">
        <w:rPr>
          <w:rFonts w:ascii="Times" w:eastAsia="Times New Roman" w:hAnsi="Times" w:cs="Arial"/>
          <w:color w:val="000000"/>
        </w:rPr>
        <w:t xml:space="preserve">Harriet Beecher Stowe’s </w:t>
      </w:r>
      <w:r w:rsidRPr="00635080">
        <w:rPr>
          <w:rFonts w:ascii="Times" w:eastAsia="Times New Roman" w:hAnsi="Times" w:cs="Arial"/>
          <w:i/>
          <w:iCs/>
          <w:color w:val="000000"/>
        </w:rPr>
        <w:t>Oldtown Folks</w:t>
      </w:r>
      <w:r w:rsidRPr="00635080">
        <w:rPr>
          <w:rFonts w:ascii="Times" w:eastAsia="Times New Roman" w:hAnsi="Times" w:cs="Arial"/>
          <w:color w:val="000000"/>
        </w:rPr>
        <w:t xml:space="preserve"> (1869) as </w:t>
      </w:r>
      <w:r w:rsidR="001E4B45">
        <w:rPr>
          <w:rFonts w:ascii="Times" w:eastAsia="Times New Roman" w:hAnsi="Times" w:cs="Arial"/>
          <w:color w:val="000000"/>
        </w:rPr>
        <w:t xml:space="preserve">an illustrative </w:t>
      </w:r>
      <w:r w:rsidRPr="00635080">
        <w:rPr>
          <w:rFonts w:ascii="Times" w:eastAsia="Times New Roman" w:hAnsi="Times" w:cs="Arial"/>
          <w:color w:val="000000"/>
        </w:rPr>
        <w:t>instance of how “religion matters because it creates inter-generational continuity.”</w:t>
      </w:r>
    </w:p>
    <w:p w14:paraId="100DC9E5" w14:textId="77777777" w:rsidR="00635080" w:rsidRPr="00635080" w:rsidRDefault="00635080" w:rsidP="00635080">
      <w:pPr>
        <w:spacing w:line="360" w:lineRule="auto"/>
        <w:rPr>
          <w:rFonts w:ascii="Times" w:eastAsia="Times New Roman" w:hAnsi="Times" w:cs="Times New Roman"/>
        </w:rPr>
      </w:pPr>
    </w:p>
    <w:p w14:paraId="7C071DED" w14:textId="5CD620A9" w:rsidR="00635080" w:rsidRPr="00861B3F" w:rsidRDefault="00635080" w:rsidP="00635080">
      <w:pPr>
        <w:spacing w:line="360" w:lineRule="auto"/>
        <w:rPr>
          <w:rFonts w:ascii="Times" w:eastAsia="Times New Roman" w:hAnsi="Times" w:cs="Times New Roman"/>
          <w:smallCaps/>
        </w:rPr>
      </w:pPr>
      <w:r w:rsidRPr="00635080">
        <w:rPr>
          <w:rFonts w:ascii="Times" w:eastAsia="Times New Roman" w:hAnsi="Times" w:cs="Arial"/>
          <w:color w:val="000000"/>
        </w:rPr>
        <w:t>Questions of method are also at the heart of our next essay, cowritten by Winter Jade Werner and Mimi Winick. Their focal point is global religion</w:t>
      </w:r>
      <w:r w:rsidR="00D24D34">
        <w:rPr>
          <w:rFonts w:ascii="Times" w:eastAsia="Times New Roman" w:hAnsi="Times" w:cs="Arial"/>
          <w:color w:val="000000"/>
        </w:rPr>
        <w:t>, a</w:t>
      </w:r>
      <w:r w:rsidRPr="00635080">
        <w:rPr>
          <w:rFonts w:ascii="Times" w:eastAsia="Times New Roman" w:hAnsi="Times" w:cs="Arial"/>
          <w:color w:val="000000"/>
        </w:rPr>
        <w:t xml:space="preserve"> topic that does not sit easily within </w:t>
      </w:r>
      <w:r w:rsidR="00D24D34">
        <w:rPr>
          <w:rFonts w:ascii="Times" w:eastAsia="Times New Roman" w:hAnsi="Times" w:cs="Arial"/>
          <w:color w:val="000000"/>
        </w:rPr>
        <w:t>the scholarly traditions of nineteenth</w:t>
      </w:r>
      <w:r w:rsidR="00386167">
        <w:rPr>
          <w:rFonts w:ascii="Times" w:eastAsia="Times New Roman" w:hAnsi="Times" w:cs="Arial"/>
          <w:color w:val="000000"/>
        </w:rPr>
        <w:t xml:space="preserve"> </w:t>
      </w:r>
      <w:r w:rsidR="00D24D34">
        <w:rPr>
          <w:rFonts w:ascii="Times" w:eastAsia="Times New Roman" w:hAnsi="Times" w:cs="Arial"/>
          <w:color w:val="000000"/>
        </w:rPr>
        <w:t>century</w:t>
      </w:r>
      <w:r w:rsidR="00D24D34" w:rsidRPr="00635080">
        <w:rPr>
          <w:rFonts w:ascii="Times" w:eastAsia="Times New Roman" w:hAnsi="Times" w:cs="Arial"/>
          <w:color w:val="000000"/>
        </w:rPr>
        <w:t xml:space="preserve"> </w:t>
      </w:r>
      <w:r w:rsidRPr="00635080">
        <w:rPr>
          <w:rFonts w:ascii="Times" w:eastAsia="Times New Roman" w:hAnsi="Times" w:cs="Arial"/>
          <w:color w:val="000000"/>
        </w:rPr>
        <w:t>literary studies</w:t>
      </w:r>
      <w:r w:rsidR="00D24D34">
        <w:rPr>
          <w:rFonts w:ascii="Times" w:eastAsia="Times New Roman" w:hAnsi="Times" w:cs="Arial"/>
          <w:color w:val="000000"/>
        </w:rPr>
        <w:t xml:space="preserve"> but</w:t>
      </w:r>
      <w:r w:rsidR="002836B6">
        <w:rPr>
          <w:rFonts w:ascii="Times" w:eastAsia="Times New Roman" w:hAnsi="Times" w:cs="Arial"/>
          <w:color w:val="000000"/>
        </w:rPr>
        <w:t xml:space="preserve"> </w:t>
      </w:r>
      <w:r w:rsidR="00494B17">
        <w:rPr>
          <w:rFonts w:ascii="Times" w:eastAsia="Times New Roman" w:hAnsi="Times" w:cs="Arial"/>
          <w:color w:val="000000"/>
        </w:rPr>
        <w:t xml:space="preserve">that </w:t>
      </w:r>
      <w:r w:rsidR="002836B6">
        <w:rPr>
          <w:rFonts w:ascii="Times" w:eastAsia="Times New Roman" w:hAnsi="Times" w:cs="Arial"/>
          <w:color w:val="000000"/>
        </w:rPr>
        <w:t>nevertheless</w:t>
      </w:r>
      <w:r w:rsidR="00494B17">
        <w:rPr>
          <w:rFonts w:ascii="Times" w:eastAsia="Times New Roman" w:hAnsi="Times" w:cs="Arial"/>
          <w:color w:val="000000"/>
        </w:rPr>
        <w:t xml:space="preserve"> must be</w:t>
      </w:r>
      <w:r w:rsidR="002836B6">
        <w:rPr>
          <w:rFonts w:ascii="Times" w:eastAsia="Times New Roman" w:hAnsi="Times" w:cs="Arial"/>
          <w:color w:val="000000"/>
        </w:rPr>
        <w:t xml:space="preserve"> </w:t>
      </w:r>
      <w:r w:rsidR="000F78D9">
        <w:rPr>
          <w:rFonts w:ascii="Times" w:eastAsia="Times New Roman" w:hAnsi="Times" w:cs="Arial"/>
          <w:color w:val="000000"/>
        </w:rPr>
        <w:t xml:space="preserve">essential </w:t>
      </w:r>
      <w:r w:rsidR="000F78D9">
        <w:rPr>
          <w:rFonts w:ascii="Times" w:eastAsia="Times New Roman" w:hAnsi="Times" w:cs="Arial"/>
          <w:color w:val="000000"/>
        </w:rPr>
        <w:lastRenderedPageBreak/>
        <w:t xml:space="preserve">to </w:t>
      </w:r>
      <w:r w:rsidR="00494B17">
        <w:rPr>
          <w:rFonts w:ascii="Times" w:eastAsia="Times New Roman" w:hAnsi="Times" w:cs="Arial"/>
          <w:color w:val="000000"/>
        </w:rPr>
        <w:t xml:space="preserve">our </w:t>
      </w:r>
      <w:r w:rsidR="000F78D9">
        <w:rPr>
          <w:rFonts w:ascii="Times" w:eastAsia="Times New Roman" w:hAnsi="Times" w:cs="Arial"/>
          <w:color w:val="000000"/>
        </w:rPr>
        <w:t>understanding</w:t>
      </w:r>
      <w:r w:rsidR="00494B17">
        <w:rPr>
          <w:rFonts w:ascii="Times" w:eastAsia="Times New Roman" w:hAnsi="Times" w:cs="Arial"/>
          <w:color w:val="000000"/>
        </w:rPr>
        <w:t xml:space="preserve"> of </w:t>
      </w:r>
      <w:r w:rsidR="00386167">
        <w:rPr>
          <w:rFonts w:ascii="Times" w:eastAsia="Times New Roman" w:hAnsi="Times" w:cs="Arial"/>
          <w:color w:val="000000"/>
        </w:rPr>
        <w:t>the era</w:t>
      </w:r>
      <w:r w:rsidR="00D24D34">
        <w:rPr>
          <w:rFonts w:ascii="Times" w:eastAsia="Times New Roman" w:hAnsi="Times" w:cs="Arial"/>
          <w:color w:val="000000"/>
        </w:rPr>
        <w:t xml:space="preserve">. “[H]ow is it” Werner and Winick </w:t>
      </w:r>
      <w:r w:rsidR="00957413">
        <w:rPr>
          <w:rFonts w:ascii="Times" w:eastAsia="Times New Roman" w:hAnsi="Times" w:cs="Arial"/>
          <w:color w:val="000000"/>
        </w:rPr>
        <w:t>ask</w:t>
      </w:r>
      <w:r w:rsidR="00D24D34">
        <w:rPr>
          <w:rFonts w:ascii="Times" w:eastAsia="Times New Roman" w:hAnsi="Times" w:cs="Arial"/>
          <w:color w:val="000000"/>
        </w:rPr>
        <w:t xml:space="preserve">, “that the global reach of religion is acknowledged as so central to the Victorian literary imagination, but so rarely emerges as a meaningful object of scholarly interest?” </w:t>
      </w:r>
      <w:r w:rsidR="002836B6">
        <w:rPr>
          <w:rFonts w:ascii="Times" w:eastAsia="Times New Roman" w:hAnsi="Times" w:cs="Arial"/>
          <w:color w:val="000000"/>
        </w:rPr>
        <w:t>Showing</w:t>
      </w:r>
      <w:r w:rsidR="00D24D34">
        <w:rPr>
          <w:rFonts w:ascii="Times" w:eastAsia="Times New Roman" w:hAnsi="Times" w:cs="Arial"/>
          <w:color w:val="000000"/>
        </w:rPr>
        <w:t xml:space="preserve"> how</w:t>
      </w:r>
      <w:r w:rsidRPr="00635080">
        <w:rPr>
          <w:rFonts w:ascii="Times" w:eastAsia="Times New Roman" w:hAnsi="Times" w:cs="Arial"/>
          <w:color w:val="000000"/>
        </w:rPr>
        <w:t xml:space="preserve"> comparative approach</w:t>
      </w:r>
      <w:r w:rsidR="00D24D34">
        <w:rPr>
          <w:rFonts w:ascii="Times" w:eastAsia="Times New Roman" w:hAnsi="Times" w:cs="Arial"/>
          <w:color w:val="000000"/>
        </w:rPr>
        <w:t xml:space="preserve">es tend to fall into </w:t>
      </w:r>
      <w:r w:rsidRPr="00635080">
        <w:rPr>
          <w:rFonts w:ascii="Times" w:eastAsia="Times New Roman" w:hAnsi="Times" w:cs="Arial"/>
          <w:color w:val="000000"/>
        </w:rPr>
        <w:t>false universals and an essentializing view of religion</w:t>
      </w:r>
      <w:r w:rsidR="002836B6">
        <w:rPr>
          <w:rFonts w:ascii="Times" w:eastAsia="Times New Roman" w:hAnsi="Times" w:cs="Arial"/>
          <w:color w:val="000000"/>
        </w:rPr>
        <w:t>, t</w:t>
      </w:r>
      <w:r w:rsidRPr="00635080">
        <w:rPr>
          <w:rFonts w:ascii="Times" w:eastAsia="Times New Roman" w:hAnsi="Times" w:cs="Arial"/>
          <w:color w:val="000000"/>
        </w:rPr>
        <w:t>heir alternative is a mode of investigation that emphasizes “</w:t>
      </w:r>
      <w:r w:rsidRPr="00635080">
        <w:rPr>
          <w:rFonts w:ascii="Times" w:eastAsia="Times New Roman" w:hAnsi="Times" w:cs="Arial"/>
          <w:i/>
          <w:iCs/>
          <w:color w:val="000000"/>
        </w:rPr>
        <w:t>assemblage, affinity,</w:t>
      </w:r>
      <w:r w:rsidRPr="00635080">
        <w:rPr>
          <w:rFonts w:ascii="Times" w:eastAsia="Times New Roman" w:hAnsi="Times" w:cs="Arial"/>
          <w:color w:val="000000"/>
        </w:rPr>
        <w:t xml:space="preserve"> and </w:t>
      </w:r>
      <w:r w:rsidRPr="00635080">
        <w:rPr>
          <w:rFonts w:ascii="Times" w:eastAsia="Times New Roman" w:hAnsi="Times" w:cs="Arial"/>
          <w:i/>
          <w:iCs/>
          <w:color w:val="000000"/>
        </w:rPr>
        <w:t>connectivity</w:t>
      </w:r>
      <w:r w:rsidRPr="00635080">
        <w:rPr>
          <w:rFonts w:ascii="Times" w:eastAsia="Times New Roman" w:hAnsi="Times" w:cs="Arial"/>
          <w:color w:val="000000"/>
        </w:rPr>
        <w:t xml:space="preserve">.” </w:t>
      </w:r>
      <w:r w:rsidR="009271A8">
        <w:rPr>
          <w:rFonts w:ascii="Times" w:eastAsia="Times New Roman" w:hAnsi="Times" w:cs="Arial"/>
          <w:color w:val="000000"/>
        </w:rPr>
        <w:t>T</w:t>
      </w:r>
      <w:r w:rsidR="00D24D34">
        <w:rPr>
          <w:rFonts w:ascii="Times" w:eastAsia="Times New Roman" w:hAnsi="Times" w:cs="Arial"/>
          <w:color w:val="000000"/>
        </w:rPr>
        <w:t>his</w:t>
      </w:r>
      <w:r w:rsidR="00D24D34" w:rsidRPr="00635080">
        <w:rPr>
          <w:rFonts w:ascii="Times" w:eastAsia="Times New Roman" w:hAnsi="Times" w:cs="Arial"/>
          <w:color w:val="000000"/>
        </w:rPr>
        <w:t xml:space="preserve"> </w:t>
      </w:r>
      <w:r w:rsidRPr="00635080">
        <w:rPr>
          <w:rFonts w:ascii="Times" w:eastAsia="Times New Roman" w:hAnsi="Times" w:cs="Arial"/>
          <w:color w:val="000000"/>
        </w:rPr>
        <w:t xml:space="preserve">interest in more relational approaches to reading </w:t>
      </w:r>
      <w:r w:rsidR="00386167">
        <w:rPr>
          <w:rFonts w:ascii="Times" w:eastAsia="Times New Roman" w:hAnsi="Times" w:cs="Arial"/>
          <w:color w:val="000000"/>
        </w:rPr>
        <w:t>reappears</w:t>
      </w:r>
      <w:r w:rsidRPr="00635080">
        <w:rPr>
          <w:rFonts w:ascii="Times" w:eastAsia="Times New Roman" w:hAnsi="Times" w:cs="Arial"/>
          <w:color w:val="000000"/>
        </w:rPr>
        <w:t xml:space="preserve"> in our </w:t>
      </w:r>
      <w:r w:rsidR="00DF4A87">
        <w:rPr>
          <w:rFonts w:ascii="Times" w:eastAsia="Times New Roman" w:hAnsi="Times" w:cs="Arial"/>
          <w:color w:val="000000"/>
        </w:rPr>
        <w:t>closing</w:t>
      </w:r>
      <w:r w:rsidR="00DF4A87" w:rsidRPr="00635080">
        <w:rPr>
          <w:rFonts w:ascii="Times" w:eastAsia="Times New Roman" w:hAnsi="Times" w:cs="Arial"/>
          <w:color w:val="000000"/>
        </w:rPr>
        <w:t xml:space="preserve"> </w:t>
      </w:r>
      <w:r w:rsidRPr="00635080">
        <w:rPr>
          <w:rFonts w:ascii="Times" w:eastAsia="Times New Roman" w:hAnsi="Times" w:cs="Arial"/>
          <w:color w:val="000000"/>
        </w:rPr>
        <w:t>essay, by Emma Mason</w:t>
      </w:r>
      <w:r w:rsidR="00D24D34">
        <w:rPr>
          <w:rFonts w:ascii="Times" w:eastAsia="Times New Roman" w:hAnsi="Times" w:cs="Arial"/>
          <w:color w:val="000000"/>
        </w:rPr>
        <w:t xml:space="preserve">, which goes so far as to suggest that scholars of historical literature would do well to grapple with </w:t>
      </w:r>
      <w:r w:rsidR="009271A8">
        <w:rPr>
          <w:rFonts w:ascii="Times" w:eastAsia="Times New Roman" w:hAnsi="Times" w:cs="Arial"/>
          <w:color w:val="000000"/>
        </w:rPr>
        <w:t xml:space="preserve">explicitly </w:t>
      </w:r>
      <w:r w:rsidR="00D24D34">
        <w:rPr>
          <w:rFonts w:ascii="Times" w:eastAsia="Times New Roman" w:hAnsi="Times" w:cs="Arial"/>
          <w:color w:val="000000"/>
        </w:rPr>
        <w:t>theolog</w:t>
      </w:r>
      <w:r w:rsidR="009271A8">
        <w:rPr>
          <w:rFonts w:ascii="Times" w:eastAsia="Times New Roman" w:hAnsi="Times" w:cs="Arial"/>
          <w:color w:val="000000"/>
        </w:rPr>
        <w:t xml:space="preserve">ical ideas and practices rather than </w:t>
      </w:r>
      <w:r w:rsidR="002836B6">
        <w:rPr>
          <w:rFonts w:ascii="Times" w:eastAsia="Times New Roman" w:hAnsi="Times" w:cs="Arial"/>
          <w:color w:val="000000"/>
        </w:rPr>
        <w:t>only looking for expressions</w:t>
      </w:r>
      <w:r w:rsidR="009271A8">
        <w:rPr>
          <w:rFonts w:ascii="Times" w:eastAsia="Times New Roman" w:hAnsi="Times" w:cs="Arial"/>
          <w:color w:val="000000"/>
        </w:rPr>
        <w:t xml:space="preserve"> of religion familiar to thos</w:t>
      </w:r>
      <w:r w:rsidR="004123E7">
        <w:rPr>
          <w:rFonts w:ascii="Times" w:eastAsia="Times New Roman" w:hAnsi="Times" w:cs="Arial"/>
          <w:color w:val="000000"/>
        </w:rPr>
        <w:t xml:space="preserve">e </w:t>
      </w:r>
      <w:r w:rsidR="00386167">
        <w:rPr>
          <w:rFonts w:ascii="Times" w:eastAsia="Times New Roman" w:hAnsi="Times" w:cs="Arial"/>
          <w:color w:val="000000"/>
        </w:rPr>
        <w:t>in a more</w:t>
      </w:r>
      <w:r w:rsidR="009271A8">
        <w:rPr>
          <w:rFonts w:ascii="Times" w:eastAsia="Times New Roman" w:hAnsi="Times" w:cs="Arial"/>
          <w:color w:val="000000"/>
        </w:rPr>
        <w:t xml:space="preserve"> a secular sphere</w:t>
      </w:r>
      <w:r w:rsidR="00D24D34">
        <w:rPr>
          <w:rFonts w:ascii="Times" w:eastAsia="Times New Roman" w:hAnsi="Times" w:cs="Arial"/>
          <w:color w:val="000000"/>
        </w:rPr>
        <w:t xml:space="preserve">. </w:t>
      </w:r>
      <w:r w:rsidRPr="00635080">
        <w:rPr>
          <w:rFonts w:ascii="Times" w:eastAsia="Times New Roman" w:hAnsi="Times" w:cs="Arial"/>
          <w:color w:val="000000"/>
        </w:rPr>
        <w:t>Mason</w:t>
      </w:r>
      <w:r w:rsidR="00D24D34">
        <w:rPr>
          <w:rFonts w:ascii="Times" w:eastAsia="Times New Roman" w:hAnsi="Times" w:cs="Arial"/>
          <w:color w:val="000000"/>
        </w:rPr>
        <w:t xml:space="preserve"> re</w:t>
      </w:r>
      <w:r w:rsidRPr="00635080">
        <w:rPr>
          <w:rFonts w:ascii="Times" w:eastAsia="Times New Roman" w:hAnsi="Times" w:cs="Arial"/>
          <w:color w:val="000000"/>
        </w:rPr>
        <w:t xml:space="preserve">turns to the topic of Christian experience, a category that is frequently occluded when literary scholars entertain any </w:t>
      </w:r>
      <w:r w:rsidR="009271A8">
        <w:rPr>
          <w:rFonts w:ascii="Times" w:eastAsia="Times New Roman" w:hAnsi="Times" w:cs="Arial"/>
          <w:color w:val="000000"/>
        </w:rPr>
        <w:t>notion of</w:t>
      </w:r>
      <w:r w:rsidRPr="00635080">
        <w:rPr>
          <w:rFonts w:ascii="Times" w:eastAsia="Times New Roman" w:hAnsi="Times" w:cs="Arial"/>
          <w:color w:val="000000"/>
        </w:rPr>
        <w:t xml:space="preserve"> religion. Turning to the work of Christina Rossetti and Gerard Manley Hopkins, </w:t>
      </w:r>
      <w:r w:rsidR="00386167">
        <w:rPr>
          <w:rFonts w:ascii="Times" w:eastAsia="Times New Roman" w:hAnsi="Times" w:cs="Arial"/>
          <w:color w:val="000000"/>
        </w:rPr>
        <w:t>she</w:t>
      </w:r>
      <w:r w:rsidR="00386167" w:rsidRPr="00635080">
        <w:rPr>
          <w:rFonts w:ascii="Times" w:eastAsia="Times New Roman" w:hAnsi="Times" w:cs="Arial"/>
          <w:color w:val="000000"/>
        </w:rPr>
        <w:t xml:space="preserve"> </w:t>
      </w:r>
      <w:r w:rsidRPr="00635080">
        <w:rPr>
          <w:rFonts w:ascii="Times" w:eastAsia="Times New Roman" w:hAnsi="Times" w:cs="Arial"/>
          <w:color w:val="000000"/>
        </w:rPr>
        <w:t xml:space="preserve">makes a case for how the theological notion of kenosis, a concept of self-emptying that is grounded in the relational being of the Triune God, offers a language for </w:t>
      </w:r>
      <w:r w:rsidR="003E1662">
        <w:rPr>
          <w:rFonts w:ascii="Times" w:eastAsia="Times New Roman" w:hAnsi="Times" w:cs="Arial"/>
          <w:color w:val="000000"/>
        </w:rPr>
        <w:t>exploring</w:t>
      </w:r>
      <w:r w:rsidRPr="00635080">
        <w:rPr>
          <w:rFonts w:ascii="Times" w:eastAsia="Times New Roman" w:hAnsi="Times" w:cs="Arial"/>
          <w:color w:val="000000"/>
        </w:rPr>
        <w:t xml:space="preserve"> the mystical and </w:t>
      </w:r>
      <w:r w:rsidR="001041C4">
        <w:rPr>
          <w:rFonts w:ascii="Times" w:eastAsia="Times New Roman" w:hAnsi="Times" w:cs="Arial"/>
          <w:color w:val="000000"/>
        </w:rPr>
        <w:t>experiential</w:t>
      </w:r>
      <w:r w:rsidR="001041C4" w:rsidRPr="00635080">
        <w:rPr>
          <w:rFonts w:ascii="Times" w:eastAsia="Times New Roman" w:hAnsi="Times" w:cs="Arial"/>
          <w:color w:val="000000"/>
        </w:rPr>
        <w:t xml:space="preserve"> </w:t>
      </w:r>
      <w:r w:rsidRPr="00635080">
        <w:rPr>
          <w:rFonts w:ascii="Times" w:eastAsia="Times New Roman" w:hAnsi="Times" w:cs="Arial"/>
          <w:color w:val="000000"/>
        </w:rPr>
        <w:t>content of religious belief.</w:t>
      </w:r>
      <w:r w:rsidR="00386167">
        <w:rPr>
          <w:rFonts w:ascii="Times" w:eastAsia="Times New Roman" w:hAnsi="Times" w:cs="Arial"/>
          <w:color w:val="000000"/>
        </w:rPr>
        <w:t xml:space="preserve">  The language of theology has limitations, as do all secular and religious attempts to understand the world, but </w:t>
      </w:r>
      <w:r w:rsidR="001624E7">
        <w:rPr>
          <w:rFonts w:ascii="Times" w:eastAsia="Times New Roman" w:hAnsi="Times" w:cs="Arial"/>
          <w:color w:val="000000"/>
        </w:rPr>
        <w:t>attending to terms such as kenosis enrich</w:t>
      </w:r>
      <w:r w:rsidR="0001126A">
        <w:rPr>
          <w:rFonts w:ascii="Times" w:eastAsia="Times New Roman" w:hAnsi="Times" w:cs="Arial"/>
          <w:color w:val="000000"/>
        </w:rPr>
        <w:t>es</w:t>
      </w:r>
      <w:r w:rsidR="001624E7">
        <w:rPr>
          <w:rFonts w:ascii="Times" w:eastAsia="Times New Roman" w:hAnsi="Times" w:cs="Arial"/>
          <w:color w:val="000000"/>
        </w:rPr>
        <w:t xml:space="preserve"> our conversation</w:t>
      </w:r>
      <w:r w:rsidR="00C16D77">
        <w:rPr>
          <w:rFonts w:ascii="Times" w:eastAsia="Times New Roman" w:hAnsi="Times" w:cs="Arial"/>
          <w:color w:val="000000"/>
        </w:rPr>
        <w:t xml:space="preserve"> by</w:t>
      </w:r>
      <w:r w:rsidR="00AE5EC1">
        <w:rPr>
          <w:rFonts w:ascii="Times" w:eastAsia="Times New Roman" w:hAnsi="Times" w:cs="Arial"/>
          <w:color w:val="000000"/>
        </w:rPr>
        <w:t xml:space="preserve"> acknowledging</w:t>
      </w:r>
      <w:r w:rsidR="00C16D77">
        <w:rPr>
          <w:rFonts w:ascii="Times" w:eastAsia="Times New Roman" w:hAnsi="Times" w:cs="Arial"/>
          <w:color w:val="000000"/>
        </w:rPr>
        <w:t xml:space="preserve"> the contribution</w:t>
      </w:r>
      <w:r w:rsidR="00B344F5">
        <w:rPr>
          <w:rFonts w:ascii="Times" w:eastAsia="Times New Roman" w:hAnsi="Times" w:cs="Arial"/>
          <w:color w:val="000000"/>
        </w:rPr>
        <w:t>s</w:t>
      </w:r>
      <w:r w:rsidR="00C16D77">
        <w:rPr>
          <w:rFonts w:ascii="Times" w:eastAsia="Times New Roman" w:hAnsi="Times" w:cs="Arial"/>
          <w:color w:val="000000"/>
        </w:rPr>
        <w:t xml:space="preserve"> of religious thinkers to the history of critical thought.</w:t>
      </w:r>
      <w:r w:rsidR="00C16D77" w:rsidDel="00C16D77">
        <w:rPr>
          <w:rFonts w:ascii="Times" w:eastAsia="Times New Roman" w:hAnsi="Times" w:cs="Arial"/>
          <w:color w:val="000000"/>
        </w:rPr>
        <w:t xml:space="preserve"> </w:t>
      </w:r>
    </w:p>
    <w:p w14:paraId="381415D3" w14:textId="77777777" w:rsidR="00635080" w:rsidRPr="00635080" w:rsidRDefault="00635080" w:rsidP="00635080">
      <w:pPr>
        <w:spacing w:line="360" w:lineRule="auto"/>
        <w:rPr>
          <w:rFonts w:ascii="Times" w:eastAsia="Times New Roman" w:hAnsi="Times" w:cs="Times New Roman"/>
        </w:rPr>
      </w:pPr>
    </w:p>
    <w:p w14:paraId="35A89907" w14:textId="0DD30521" w:rsidR="00C66C26" w:rsidRDefault="00386167" w:rsidP="00386167">
      <w:pPr>
        <w:spacing w:before="100" w:beforeAutospacing="1" w:after="100" w:afterAutospacing="1" w:line="360" w:lineRule="auto"/>
        <w:rPr>
          <w:rFonts w:ascii="Times" w:eastAsia="Times New Roman" w:hAnsi="Times" w:cs="Times New Roman"/>
          <w:color w:val="000000"/>
        </w:rPr>
        <w:sectPr w:rsidR="00C66C26">
          <w:endnotePr>
            <w:numFmt w:val="decimal"/>
          </w:endnotePr>
          <w:pgSz w:w="12240" w:h="15840"/>
          <w:pgMar w:top="1440" w:right="1440" w:bottom="1440" w:left="1440" w:header="720" w:footer="720" w:gutter="0"/>
          <w:cols w:space="720"/>
          <w:docGrid w:linePitch="360"/>
        </w:sectPr>
      </w:pPr>
      <w:r w:rsidRPr="00386167">
        <w:rPr>
          <w:rFonts w:ascii="Times" w:eastAsia="Times New Roman" w:hAnsi="Times" w:cs="Times New Roman"/>
        </w:rPr>
        <w:t xml:space="preserve">We began this brief introduction by observing that the study of literature and religion has made great strides in our own scholarly lifetimes. We can end it by observing that the remarkable insightfulness, generosity, and intellectual breadth of our contributors show why we </w:t>
      </w:r>
      <w:r w:rsidR="00E92379">
        <w:rPr>
          <w:rFonts w:ascii="Times" w:eastAsia="Times New Roman" w:hAnsi="Times" w:cs="Times New Roman"/>
        </w:rPr>
        <w:t xml:space="preserve">continue to </w:t>
      </w:r>
      <w:r w:rsidRPr="00386167">
        <w:rPr>
          <w:rFonts w:ascii="Times" w:eastAsia="Times New Roman" w:hAnsi="Times" w:cs="Times New Roman"/>
        </w:rPr>
        <w:t>feel so hopeful and excited about</w:t>
      </w:r>
      <w:r w:rsidR="00C16D77">
        <w:rPr>
          <w:rFonts w:ascii="Times" w:eastAsia="Times New Roman" w:hAnsi="Times" w:cs="Times New Roman"/>
        </w:rPr>
        <w:t xml:space="preserve"> eighteenth and nineteenth century studies </w:t>
      </w:r>
      <w:r w:rsidRPr="00386167">
        <w:rPr>
          <w:rFonts w:ascii="Times" w:eastAsia="Times New Roman" w:hAnsi="Times" w:cs="Times New Roman"/>
        </w:rPr>
        <w:t>moving forward. Our contributors make amply clear why and how the question of religion will continue to occupy and to enliven literary studies in the foreseeable future.</w:t>
      </w:r>
      <w:r w:rsidRPr="00386167">
        <w:rPr>
          <w:rFonts w:ascii="Times" w:eastAsia="Times New Roman" w:hAnsi="Times" w:cs="Times New Roman"/>
          <w:color w:val="000000"/>
        </w:rPr>
        <w:t xml:space="preserve"> We are grateful to Deidre Lynch, for furnishing us with a thoughtful afterword to this special issue</w:t>
      </w:r>
      <w:r w:rsidR="005B74C2">
        <w:rPr>
          <w:rFonts w:ascii="Times" w:eastAsia="Times New Roman" w:hAnsi="Times" w:cs="Times New Roman"/>
          <w:color w:val="000000"/>
        </w:rPr>
        <w:t>, and to the editors of</w:t>
      </w:r>
      <w:r w:rsidRPr="00386167">
        <w:rPr>
          <w:rFonts w:ascii="Times" w:eastAsia="Times New Roman" w:hAnsi="Times" w:cs="Times New Roman"/>
          <w:color w:val="000000"/>
        </w:rPr>
        <w:t xml:space="preserve"> </w:t>
      </w:r>
      <w:r w:rsidRPr="00386167">
        <w:rPr>
          <w:rFonts w:ascii="Times" w:eastAsia="Times New Roman" w:hAnsi="Times" w:cs="Times New Roman"/>
          <w:i/>
          <w:iCs/>
          <w:color w:val="000000"/>
        </w:rPr>
        <w:t>MLQ</w:t>
      </w:r>
      <w:r w:rsidRPr="00386167">
        <w:rPr>
          <w:rFonts w:ascii="Times" w:eastAsia="Times New Roman" w:hAnsi="Times" w:cs="Times New Roman"/>
          <w:color w:val="000000"/>
        </w:rPr>
        <w:t xml:space="preserve"> for their supportive provision of a venue in which we can explore new ways of talking about religion.</w:t>
      </w:r>
    </w:p>
    <w:p w14:paraId="44048FC1" w14:textId="204EA8E3" w:rsidR="00386167" w:rsidRPr="00386167" w:rsidRDefault="00386167" w:rsidP="00386167">
      <w:pPr>
        <w:spacing w:before="100" w:beforeAutospacing="1" w:after="100" w:afterAutospacing="1" w:line="360" w:lineRule="auto"/>
        <w:rPr>
          <w:rFonts w:ascii="Times New Roman" w:eastAsia="Times New Roman" w:hAnsi="Times New Roman" w:cs="Times New Roman"/>
        </w:rPr>
      </w:pPr>
    </w:p>
    <w:p w14:paraId="74DE82C0" w14:textId="167708FD" w:rsidR="005D0C31" w:rsidRDefault="005D0C31" w:rsidP="00635080">
      <w:pPr>
        <w:spacing w:line="360" w:lineRule="auto"/>
        <w:rPr>
          <w:rFonts w:ascii="Times" w:hAnsi="Times"/>
        </w:rPr>
      </w:pPr>
    </w:p>
    <w:p w14:paraId="6FA089F4" w14:textId="1D1882C8" w:rsidR="003B0FB0" w:rsidRPr="00B70076" w:rsidRDefault="003B0FB0" w:rsidP="00635080">
      <w:pPr>
        <w:spacing w:line="360" w:lineRule="auto"/>
        <w:rPr>
          <w:rFonts w:ascii="Times" w:hAnsi="Times"/>
          <w:b/>
          <w:bCs/>
        </w:rPr>
      </w:pPr>
      <w:r w:rsidRPr="00B70076">
        <w:rPr>
          <w:rFonts w:ascii="Times" w:hAnsi="Times"/>
          <w:b/>
          <w:bCs/>
        </w:rPr>
        <w:t>References</w:t>
      </w:r>
    </w:p>
    <w:p w14:paraId="505E071A" w14:textId="74D4372A" w:rsidR="00E0738C" w:rsidRDefault="00E0738C" w:rsidP="00B70076">
      <w:pPr>
        <w:tabs>
          <w:tab w:val="left" w:pos="567"/>
        </w:tabs>
        <w:spacing w:line="360" w:lineRule="auto"/>
        <w:ind w:left="567" w:hanging="567"/>
        <w:rPr>
          <w:rFonts w:ascii="Times" w:hAnsi="Times"/>
        </w:rPr>
      </w:pPr>
      <w:r>
        <w:rPr>
          <w:rFonts w:ascii="Times" w:hAnsi="Times"/>
        </w:rPr>
        <w:t>Agamben, Giorgio</w:t>
      </w:r>
      <w:r w:rsidR="00423C6E">
        <w:rPr>
          <w:rFonts w:ascii="Times" w:hAnsi="Times"/>
        </w:rPr>
        <w:t>.</w:t>
      </w:r>
      <w:r>
        <w:rPr>
          <w:rFonts w:ascii="Times" w:hAnsi="Times"/>
        </w:rPr>
        <w:t xml:space="preserve"> </w:t>
      </w:r>
      <w:r w:rsidR="00423C6E">
        <w:rPr>
          <w:rFonts w:ascii="Times" w:hAnsi="Times"/>
        </w:rPr>
        <w:t xml:space="preserve">(2000) 2005. </w:t>
      </w:r>
      <w:r w:rsidRPr="00B70076">
        <w:rPr>
          <w:rFonts w:ascii="Times" w:hAnsi="Times"/>
          <w:i/>
          <w:iCs/>
        </w:rPr>
        <w:t>The Time That Remains: A Commentary on the Letter to the Romans</w:t>
      </w:r>
      <w:r>
        <w:rPr>
          <w:rFonts w:ascii="Times" w:hAnsi="Times"/>
        </w:rPr>
        <w:t>. Trans. Patricia Dailey. Stanford: Stanford University Press, 2005.</w:t>
      </w:r>
    </w:p>
    <w:p w14:paraId="54B98445" w14:textId="21D597C8" w:rsidR="00E0738C" w:rsidRDefault="00E0738C" w:rsidP="00B70076">
      <w:pPr>
        <w:tabs>
          <w:tab w:val="left" w:pos="567"/>
        </w:tabs>
        <w:spacing w:line="360" w:lineRule="auto"/>
        <w:ind w:left="567" w:hanging="567"/>
        <w:rPr>
          <w:rFonts w:ascii="Times" w:hAnsi="Times"/>
        </w:rPr>
      </w:pPr>
      <w:proofErr w:type="spellStart"/>
      <w:r>
        <w:rPr>
          <w:rFonts w:ascii="Times" w:hAnsi="Times"/>
        </w:rPr>
        <w:lastRenderedPageBreak/>
        <w:t>Asad</w:t>
      </w:r>
      <w:proofErr w:type="spellEnd"/>
      <w:r>
        <w:rPr>
          <w:rFonts w:ascii="Times" w:hAnsi="Times"/>
        </w:rPr>
        <w:t xml:space="preserve">, Talal. 2003. </w:t>
      </w:r>
      <w:r w:rsidRPr="00B70076">
        <w:rPr>
          <w:rFonts w:ascii="Times" w:hAnsi="Times"/>
          <w:i/>
          <w:iCs/>
        </w:rPr>
        <w:t>Formations of the Secular: Christianity, Islam, Modernity</w:t>
      </w:r>
      <w:r>
        <w:rPr>
          <w:rFonts w:ascii="Times" w:hAnsi="Times"/>
        </w:rPr>
        <w:t>. Stanford: Stanford University Press.</w:t>
      </w:r>
    </w:p>
    <w:p w14:paraId="0D7244BA" w14:textId="50EBB2EF" w:rsidR="005F0174" w:rsidRDefault="005F0174" w:rsidP="00B70076">
      <w:pPr>
        <w:tabs>
          <w:tab w:val="left" w:pos="567"/>
        </w:tabs>
        <w:spacing w:line="360" w:lineRule="auto"/>
        <w:ind w:left="567" w:hanging="567"/>
        <w:rPr>
          <w:rFonts w:ascii="Times" w:hAnsi="Times"/>
        </w:rPr>
      </w:pPr>
      <w:proofErr w:type="spellStart"/>
      <w:r>
        <w:rPr>
          <w:rFonts w:ascii="Times" w:hAnsi="Times"/>
        </w:rPr>
        <w:t>Asad</w:t>
      </w:r>
      <w:proofErr w:type="spellEnd"/>
      <w:r>
        <w:rPr>
          <w:rFonts w:ascii="Times" w:hAnsi="Times"/>
        </w:rPr>
        <w:t xml:space="preserve">, Talal, Wendy Brown, Judith Butler, and Saba Mahmood. 2009. </w:t>
      </w:r>
      <w:r w:rsidRPr="001527FF">
        <w:rPr>
          <w:rFonts w:ascii="Times" w:hAnsi="Times"/>
          <w:i/>
          <w:iCs/>
        </w:rPr>
        <w:t>Is Critique Secular? Injury, Blasphemy and Free Speech</w:t>
      </w:r>
      <w:r>
        <w:rPr>
          <w:rFonts w:ascii="Times" w:hAnsi="Times"/>
        </w:rPr>
        <w:t xml:space="preserve">. Berkeley: The University of California Press. </w:t>
      </w:r>
    </w:p>
    <w:p w14:paraId="5B46D400" w14:textId="5DE25C21" w:rsidR="00895EEF" w:rsidRDefault="00895EEF">
      <w:pPr>
        <w:tabs>
          <w:tab w:val="left" w:pos="567"/>
        </w:tabs>
        <w:spacing w:line="360" w:lineRule="auto"/>
        <w:ind w:left="567" w:hanging="567"/>
        <w:rPr>
          <w:rFonts w:ascii="Times" w:hAnsi="Times"/>
        </w:rPr>
      </w:pPr>
      <w:proofErr w:type="spellStart"/>
      <w:r>
        <w:rPr>
          <w:rFonts w:ascii="Times" w:hAnsi="Times"/>
        </w:rPr>
        <w:t>Badiou</w:t>
      </w:r>
      <w:proofErr w:type="spellEnd"/>
      <w:r>
        <w:rPr>
          <w:rFonts w:ascii="Times" w:hAnsi="Times"/>
        </w:rPr>
        <w:t xml:space="preserve">, Alain. </w:t>
      </w:r>
      <w:r w:rsidR="00304877">
        <w:rPr>
          <w:rFonts w:ascii="Times" w:hAnsi="Times"/>
        </w:rPr>
        <w:t xml:space="preserve">(1997) </w:t>
      </w:r>
      <w:r>
        <w:rPr>
          <w:rFonts w:ascii="Times" w:hAnsi="Times"/>
        </w:rPr>
        <w:t xml:space="preserve">2003. </w:t>
      </w:r>
      <w:r w:rsidRPr="00B70076">
        <w:rPr>
          <w:rFonts w:ascii="Times" w:hAnsi="Times"/>
          <w:i/>
          <w:iCs/>
        </w:rPr>
        <w:t>Saint Paul: The Foundations of Universalism</w:t>
      </w:r>
      <w:r>
        <w:rPr>
          <w:rFonts w:ascii="Times" w:hAnsi="Times"/>
        </w:rPr>
        <w:t>. Trans. Ray Brassier. Stanford: Stanford University Press.</w:t>
      </w:r>
    </w:p>
    <w:p w14:paraId="4FF54F94" w14:textId="1ACB4068" w:rsidR="00CC4766" w:rsidRDefault="00CC4766" w:rsidP="00B70076">
      <w:pPr>
        <w:tabs>
          <w:tab w:val="left" w:pos="567"/>
        </w:tabs>
        <w:spacing w:line="360" w:lineRule="auto"/>
        <w:ind w:left="567" w:hanging="567"/>
        <w:rPr>
          <w:rFonts w:ascii="Times" w:hAnsi="Times"/>
        </w:rPr>
      </w:pPr>
      <w:r>
        <w:rPr>
          <w:rFonts w:ascii="Times" w:hAnsi="Times"/>
        </w:rPr>
        <w:t xml:space="preserve">Brown, Callum. 2001.  </w:t>
      </w:r>
      <w:r w:rsidRPr="00B70076">
        <w:rPr>
          <w:rFonts w:ascii="Times" w:hAnsi="Times"/>
          <w:i/>
          <w:iCs/>
        </w:rPr>
        <w:t xml:space="preserve">The Death of Christian Britain: Understanding </w:t>
      </w:r>
      <w:proofErr w:type="spellStart"/>
      <w:r w:rsidRPr="00B70076">
        <w:rPr>
          <w:rFonts w:ascii="Times" w:hAnsi="Times"/>
          <w:i/>
          <w:iCs/>
        </w:rPr>
        <w:t>Secularisation</w:t>
      </w:r>
      <w:proofErr w:type="spellEnd"/>
      <w:r w:rsidRPr="00B70076">
        <w:rPr>
          <w:rFonts w:ascii="Times" w:hAnsi="Times"/>
          <w:i/>
          <w:iCs/>
        </w:rPr>
        <w:t xml:space="preserve"> 1800-2000</w:t>
      </w:r>
      <w:r>
        <w:rPr>
          <w:rFonts w:ascii="Times" w:hAnsi="Times"/>
        </w:rPr>
        <w:t>. London: Routledge.</w:t>
      </w:r>
    </w:p>
    <w:p w14:paraId="195DE199" w14:textId="0B20F741" w:rsidR="002F36E2" w:rsidRDefault="002F36E2">
      <w:pPr>
        <w:tabs>
          <w:tab w:val="left" w:pos="567"/>
        </w:tabs>
        <w:spacing w:line="360" w:lineRule="auto"/>
        <w:ind w:left="567" w:hanging="567"/>
        <w:rPr>
          <w:rFonts w:ascii="Times" w:hAnsi="Times"/>
        </w:rPr>
      </w:pPr>
      <w:r>
        <w:rPr>
          <w:rFonts w:ascii="Times" w:hAnsi="Times"/>
        </w:rPr>
        <w:t>Butler, Judith. 2004</w:t>
      </w:r>
      <w:r w:rsidR="00907B2C">
        <w:rPr>
          <w:rFonts w:ascii="Times" w:hAnsi="Times"/>
        </w:rPr>
        <w:t xml:space="preserve">, </w:t>
      </w:r>
      <w:r w:rsidRPr="00B70076">
        <w:rPr>
          <w:rFonts w:ascii="Times" w:hAnsi="Times"/>
          <w:i/>
          <w:iCs/>
        </w:rPr>
        <w:t>Precarious Life: The Power of Mourning and Violence</w:t>
      </w:r>
      <w:r>
        <w:rPr>
          <w:rFonts w:ascii="Times" w:hAnsi="Times"/>
        </w:rPr>
        <w:t>.</w:t>
      </w:r>
      <w:r w:rsidR="00907B2C">
        <w:rPr>
          <w:rFonts w:ascii="Times" w:hAnsi="Times"/>
        </w:rPr>
        <w:t xml:space="preserve"> London: Verso.</w:t>
      </w:r>
    </w:p>
    <w:p w14:paraId="0ABA1E4E" w14:textId="499F6BCB" w:rsidR="00E0714E" w:rsidRDefault="00E0714E" w:rsidP="00B70076">
      <w:pPr>
        <w:tabs>
          <w:tab w:val="left" w:pos="567"/>
        </w:tabs>
        <w:spacing w:line="360" w:lineRule="auto"/>
        <w:ind w:left="567" w:hanging="567"/>
        <w:rPr>
          <w:rFonts w:ascii="Times" w:hAnsi="Times"/>
        </w:rPr>
      </w:pPr>
      <w:r>
        <w:rPr>
          <w:rFonts w:ascii="Times" w:hAnsi="Times"/>
        </w:rPr>
        <w:t xml:space="preserve">Butler, Judith, Jürgen Habermas, Charles Taylor, Cornel West. 2011. </w:t>
      </w:r>
      <w:r w:rsidRPr="00B70076">
        <w:rPr>
          <w:rFonts w:ascii="Times" w:hAnsi="Times"/>
          <w:i/>
          <w:iCs/>
        </w:rPr>
        <w:t xml:space="preserve">The Power of Religion </w:t>
      </w:r>
      <w:proofErr w:type="gramStart"/>
      <w:r w:rsidRPr="00B70076">
        <w:rPr>
          <w:rFonts w:ascii="Times" w:hAnsi="Times"/>
          <w:i/>
          <w:iCs/>
        </w:rPr>
        <w:t>In</w:t>
      </w:r>
      <w:proofErr w:type="gramEnd"/>
      <w:r w:rsidRPr="00B70076">
        <w:rPr>
          <w:rFonts w:ascii="Times" w:hAnsi="Times"/>
          <w:i/>
          <w:iCs/>
        </w:rPr>
        <w:t xml:space="preserve"> The Public Sphere</w:t>
      </w:r>
      <w:r>
        <w:rPr>
          <w:rFonts w:ascii="Times" w:hAnsi="Times"/>
        </w:rPr>
        <w:t>. New York: Columbia University Press.</w:t>
      </w:r>
    </w:p>
    <w:p w14:paraId="7C8C72A9" w14:textId="0209FFB2" w:rsidR="002B76B5" w:rsidRDefault="002B76B5" w:rsidP="00B70076">
      <w:pPr>
        <w:tabs>
          <w:tab w:val="left" w:pos="567"/>
        </w:tabs>
        <w:spacing w:line="360" w:lineRule="auto"/>
        <w:ind w:left="567" w:hanging="567"/>
        <w:rPr>
          <w:rFonts w:ascii="Times" w:hAnsi="Times"/>
        </w:rPr>
      </w:pPr>
      <w:r>
        <w:rPr>
          <w:rFonts w:ascii="Times" w:hAnsi="Times"/>
        </w:rPr>
        <w:t xml:space="preserve">Caputo, </w:t>
      </w:r>
      <w:r w:rsidR="00E0738C">
        <w:rPr>
          <w:rFonts w:ascii="Times" w:hAnsi="Times"/>
        </w:rPr>
        <w:t xml:space="preserve">John. 2001. </w:t>
      </w:r>
      <w:r w:rsidR="00E0738C" w:rsidRPr="00B70076">
        <w:rPr>
          <w:rFonts w:ascii="Times" w:hAnsi="Times"/>
          <w:i/>
          <w:iCs/>
        </w:rPr>
        <w:t>On Religion</w:t>
      </w:r>
      <w:r w:rsidR="00907B2C">
        <w:rPr>
          <w:rFonts w:ascii="Times" w:hAnsi="Times"/>
        </w:rPr>
        <w:t>.</w:t>
      </w:r>
      <w:r w:rsidR="00E0738C">
        <w:rPr>
          <w:rFonts w:ascii="Times" w:hAnsi="Times"/>
        </w:rPr>
        <w:t xml:space="preserve"> London: Routledge.</w:t>
      </w:r>
    </w:p>
    <w:p w14:paraId="38B8C3C9" w14:textId="7BEE6CC2" w:rsidR="00AD746E" w:rsidRDefault="00AD746E" w:rsidP="00B70076">
      <w:pPr>
        <w:tabs>
          <w:tab w:val="left" w:pos="567"/>
        </w:tabs>
        <w:spacing w:line="360" w:lineRule="auto"/>
        <w:ind w:left="567" w:hanging="567"/>
        <w:rPr>
          <w:rFonts w:ascii="Times" w:hAnsi="Times"/>
        </w:rPr>
      </w:pPr>
      <w:r>
        <w:rPr>
          <w:rFonts w:ascii="Times" w:hAnsi="Times"/>
        </w:rPr>
        <w:t>Cas</w:t>
      </w:r>
      <w:r w:rsidR="00E81299">
        <w:rPr>
          <w:rFonts w:ascii="Times" w:hAnsi="Times"/>
        </w:rPr>
        <w:t>a</w:t>
      </w:r>
      <w:r>
        <w:rPr>
          <w:rFonts w:ascii="Times" w:hAnsi="Times"/>
        </w:rPr>
        <w:t xml:space="preserve">nova, José. 1994. </w:t>
      </w:r>
      <w:r w:rsidRPr="00B70076">
        <w:rPr>
          <w:rFonts w:ascii="Times" w:hAnsi="Times"/>
          <w:i/>
          <w:iCs/>
        </w:rPr>
        <w:t>Public Religions in the Modern World</w:t>
      </w:r>
      <w:r>
        <w:rPr>
          <w:rFonts w:ascii="Times" w:hAnsi="Times"/>
        </w:rPr>
        <w:t>. Chicago: The University of Chicago Press.</w:t>
      </w:r>
    </w:p>
    <w:p w14:paraId="04CF4983" w14:textId="6DC0ADFB" w:rsidR="003679B2" w:rsidRDefault="003679B2" w:rsidP="00B70076">
      <w:pPr>
        <w:tabs>
          <w:tab w:val="left" w:pos="567"/>
        </w:tabs>
        <w:spacing w:line="360" w:lineRule="auto"/>
        <w:ind w:left="567" w:hanging="567"/>
        <w:rPr>
          <w:rFonts w:ascii="Times" w:hAnsi="Times"/>
        </w:rPr>
      </w:pPr>
      <w:r>
        <w:rPr>
          <w:rFonts w:ascii="Times" w:hAnsi="Times"/>
        </w:rPr>
        <w:t xml:space="preserve">Davie, Grace. 1994. </w:t>
      </w:r>
      <w:r w:rsidRPr="00B70076">
        <w:rPr>
          <w:rFonts w:ascii="Times" w:hAnsi="Times"/>
          <w:i/>
          <w:iCs/>
        </w:rPr>
        <w:t>Religion in Britain Since 1945. Believing Without Belonging</w:t>
      </w:r>
      <w:r>
        <w:rPr>
          <w:rFonts w:ascii="Times" w:hAnsi="Times"/>
        </w:rPr>
        <w:t>.</w:t>
      </w:r>
      <w:r w:rsidR="00A33E6B">
        <w:rPr>
          <w:rFonts w:ascii="Times" w:hAnsi="Times"/>
        </w:rPr>
        <w:t xml:space="preserve"> Oxford: Blackwell.</w:t>
      </w:r>
    </w:p>
    <w:p w14:paraId="6426BDA4" w14:textId="11B53E4F" w:rsidR="002F36E2" w:rsidRDefault="002F36E2" w:rsidP="00B70076">
      <w:pPr>
        <w:tabs>
          <w:tab w:val="left" w:pos="567"/>
        </w:tabs>
        <w:spacing w:line="360" w:lineRule="auto"/>
        <w:ind w:left="567" w:hanging="567"/>
        <w:rPr>
          <w:rFonts w:ascii="Times" w:hAnsi="Times"/>
        </w:rPr>
      </w:pPr>
      <w:r w:rsidRPr="00B70076">
        <w:rPr>
          <w:rFonts w:ascii="Times" w:hAnsi="Times"/>
          <w:lang w:val="it-IT"/>
        </w:rPr>
        <w:t xml:space="preserve">Derrida, Jacques and Gianni Vattimo, </w:t>
      </w:r>
      <w:proofErr w:type="spellStart"/>
      <w:r w:rsidRPr="00B70076">
        <w:rPr>
          <w:rFonts w:ascii="Times" w:hAnsi="Times"/>
          <w:lang w:val="it-IT"/>
        </w:rPr>
        <w:t>eds</w:t>
      </w:r>
      <w:proofErr w:type="spellEnd"/>
      <w:r w:rsidRPr="00B70076">
        <w:rPr>
          <w:rFonts w:ascii="Times" w:hAnsi="Times"/>
          <w:lang w:val="it-IT"/>
        </w:rPr>
        <w:t xml:space="preserve">. 1998. </w:t>
      </w:r>
      <w:r w:rsidRPr="00B70076">
        <w:rPr>
          <w:rFonts w:ascii="Times" w:hAnsi="Times"/>
          <w:i/>
          <w:iCs/>
        </w:rPr>
        <w:t>Religion</w:t>
      </w:r>
      <w:r>
        <w:rPr>
          <w:rFonts w:ascii="Times" w:hAnsi="Times"/>
        </w:rPr>
        <w:t>. Stanford: Stanford University Press.</w:t>
      </w:r>
    </w:p>
    <w:p w14:paraId="44BA22E7" w14:textId="057F3DE5" w:rsidR="00E81299" w:rsidRDefault="00E81299">
      <w:pPr>
        <w:tabs>
          <w:tab w:val="left" w:pos="567"/>
        </w:tabs>
        <w:spacing w:line="360" w:lineRule="auto"/>
        <w:ind w:left="567" w:hanging="567"/>
        <w:rPr>
          <w:rFonts w:ascii="Times" w:hAnsi="Times"/>
        </w:rPr>
      </w:pPr>
      <w:r>
        <w:rPr>
          <w:rFonts w:ascii="Times" w:hAnsi="Times"/>
        </w:rPr>
        <w:t>Derrida, Jacques.</w:t>
      </w:r>
      <w:r w:rsidR="00E0738C">
        <w:rPr>
          <w:rFonts w:ascii="Times" w:hAnsi="Times"/>
        </w:rPr>
        <w:t xml:space="preserve"> 2001.</w:t>
      </w:r>
      <w:r>
        <w:rPr>
          <w:rFonts w:ascii="Times" w:hAnsi="Times"/>
        </w:rPr>
        <w:t xml:space="preserve"> </w:t>
      </w:r>
      <w:r w:rsidRPr="00B70076">
        <w:rPr>
          <w:rFonts w:ascii="Times" w:hAnsi="Times"/>
          <w:i/>
          <w:iCs/>
        </w:rPr>
        <w:t>Acts of Religion</w:t>
      </w:r>
      <w:r>
        <w:rPr>
          <w:rFonts w:ascii="Times" w:hAnsi="Times"/>
        </w:rPr>
        <w:t>.</w:t>
      </w:r>
      <w:r w:rsidR="00E0738C">
        <w:rPr>
          <w:rFonts w:ascii="Times" w:hAnsi="Times"/>
        </w:rPr>
        <w:t xml:space="preserve"> Ed. Gil </w:t>
      </w:r>
      <w:proofErr w:type="spellStart"/>
      <w:r w:rsidR="00E0738C">
        <w:rPr>
          <w:rFonts w:ascii="Times" w:hAnsi="Times"/>
        </w:rPr>
        <w:t>Anidjar</w:t>
      </w:r>
      <w:proofErr w:type="spellEnd"/>
      <w:r w:rsidR="00E0738C">
        <w:rPr>
          <w:rFonts w:ascii="Times" w:hAnsi="Times"/>
        </w:rPr>
        <w:t>. London: Routledge.</w:t>
      </w:r>
    </w:p>
    <w:p w14:paraId="7D763B4D" w14:textId="6810CC06" w:rsidR="00D33AE1" w:rsidRDefault="00D33AE1" w:rsidP="00B70076">
      <w:pPr>
        <w:tabs>
          <w:tab w:val="left" w:pos="567"/>
        </w:tabs>
        <w:spacing w:line="360" w:lineRule="auto"/>
        <w:ind w:left="567" w:hanging="567"/>
        <w:rPr>
          <w:rFonts w:ascii="Times" w:hAnsi="Times"/>
        </w:rPr>
      </w:pPr>
      <w:r>
        <w:rPr>
          <w:rFonts w:ascii="Times" w:hAnsi="Times"/>
        </w:rPr>
        <w:t xml:space="preserve">Eagleton, Terry, 2009.  </w:t>
      </w:r>
      <w:r w:rsidRPr="00B70076">
        <w:rPr>
          <w:rFonts w:ascii="Times" w:hAnsi="Times"/>
          <w:i/>
          <w:iCs/>
        </w:rPr>
        <w:t>Reason, Faith, and Revolution</w:t>
      </w:r>
      <w:r>
        <w:rPr>
          <w:rFonts w:ascii="Times" w:hAnsi="Times"/>
        </w:rPr>
        <w:t>. New Haven: Yale University Press.</w:t>
      </w:r>
    </w:p>
    <w:p w14:paraId="312D43D3" w14:textId="1430DDA8" w:rsidR="00265C69" w:rsidRDefault="00265C69" w:rsidP="00B70076">
      <w:pPr>
        <w:tabs>
          <w:tab w:val="left" w:pos="567"/>
        </w:tabs>
        <w:spacing w:line="360" w:lineRule="auto"/>
        <w:ind w:left="567" w:hanging="567"/>
        <w:rPr>
          <w:rFonts w:ascii="Times" w:hAnsi="Times"/>
        </w:rPr>
      </w:pPr>
      <w:proofErr w:type="spellStart"/>
      <w:r>
        <w:rPr>
          <w:rFonts w:ascii="Times" w:hAnsi="Times"/>
        </w:rPr>
        <w:t>Felch</w:t>
      </w:r>
      <w:proofErr w:type="spellEnd"/>
      <w:r>
        <w:rPr>
          <w:rFonts w:ascii="Times" w:hAnsi="Times"/>
        </w:rPr>
        <w:t>, Susan, ed.</w:t>
      </w:r>
      <w:r w:rsidR="00260382">
        <w:rPr>
          <w:rFonts w:ascii="Times" w:hAnsi="Times"/>
        </w:rPr>
        <w:t xml:space="preserve"> 2016.</w:t>
      </w:r>
      <w:r>
        <w:rPr>
          <w:rFonts w:ascii="Times" w:hAnsi="Times"/>
        </w:rPr>
        <w:t xml:space="preserve"> </w:t>
      </w:r>
      <w:r w:rsidRPr="00B70076">
        <w:rPr>
          <w:rFonts w:ascii="Times" w:hAnsi="Times"/>
          <w:i/>
          <w:iCs/>
        </w:rPr>
        <w:t>The Cambridge Companion to Literature and Religion</w:t>
      </w:r>
      <w:r>
        <w:rPr>
          <w:rFonts w:ascii="Times" w:hAnsi="Times"/>
        </w:rPr>
        <w:t>. Cambridge: Cambridge University Press.</w:t>
      </w:r>
    </w:p>
    <w:p w14:paraId="497BFB85" w14:textId="71240C93" w:rsidR="00101B0C" w:rsidRDefault="00AD746E" w:rsidP="00B70076">
      <w:pPr>
        <w:tabs>
          <w:tab w:val="left" w:pos="567"/>
        </w:tabs>
        <w:spacing w:line="360" w:lineRule="auto"/>
        <w:ind w:left="567" w:hanging="567"/>
        <w:rPr>
          <w:rFonts w:ascii="Times" w:hAnsi="Times"/>
        </w:rPr>
      </w:pPr>
      <w:r>
        <w:rPr>
          <w:rFonts w:ascii="Times" w:hAnsi="Times"/>
        </w:rPr>
        <w:t xml:space="preserve">Fish, Stanley. 2005. “One University, Under God?” </w:t>
      </w:r>
      <w:r w:rsidR="00907B2C" w:rsidRPr="00B70076">
        <w:rPr>
          <w:rFonts w:ascii="Times" w:hAnsi="Times"/>
          <w:i/>
          <w:iCs/>
        </w:rPr>
        <w:t xml:space="preserve">The </w:t>
      </w:r>
      <w:r w:rsidRPr="00B70076">
        <w:rPr>
          <w:rFonts w:ascii="Times" w:hAnsi="Times"/>
          <w:i/>
          <w:iCs/>
        </w:rPr>
        <w:t>Chronicle of Higher Education</w:t>
      </w:r>
      <w:r w:rsidR="00E81299">
        <w:rPr>
          <w:rFonts w:ascii="Times" w:hAnsi="Times"/>
        </w:rPr>
        <w:t xml:space="preserve"> 51.18</w:t>
      </w:r>
      <w:r>
        <w:rPr>
          <w:rFonts w:ascii="Times" w:hAnsi="Times"/>
        </w:rPr>
        <w:t>. January 7, 2005.</w:t>
      </w:r>
    </w:p>
    <w:p w14:paraId="14FF426E" w14:textId="2C990116" w:rsidR="00D33AE1" w:rsidRPr="00144038" w:rsidRDefault="00D33AE1" w:rsidP="00B70076">
      <w:pPr>
        <w:tabs>
          <w:tab w:val="left" w:pos="567"/>
        </w:tabs>
        <w:spacing w:line="360" w:lineRule="auto"/>
        <w:ind w:left="567" w:hanging="567"/>
        <w:rPr>
          <w:rFonts w:ascii="Times" w:hAnsi="Times"/>
        </w:rPr>
      </w:pPr>
      <w:r w:rsidRPr="00D30945">
        <w:rPr>
          <w:rFonts w:ascii="Times" w:hAnsi="Times"/>
        </w:rPr>
        <w:t xml:space="preserve">Habermas, Jürgen. </w:t>
      </w:r>
      <w:r w:rsidRPr="00144038">
        <w:rPr>
          <w:rFonts w:ascii="Times" w:hAnsi="Times"/>
        </w:rPr>
        <w:t>2008.</w:t>
      </w:r>
      <w:r w:rsidRPr="00B70076">
        <w:rPr>
          <w:rFonts w:ascii="Times" w:hAnsi="Times"/>
        </w:rPr>
        <w:t xml:space="preserve"> </w:t>
      </w:r>
      <w:r w:rsidR="00391C67">
        <w:rPr>
          <w:rFonts w:ascii="Times" w:hAnsi="Times"/>
        </w:rPr>
        <w:t>“</w:t>
      </w:r>
      <w:r w:rsidRPr="00B70076">
        <w:rPr>
          <w:rFonts w:ascii="Times" w:hAnsi="Times"/>
        </w:rPr>
        <w:t>Notes on</w:t>
      </w:r>
      <w:r>
        <w:rPr>
          <w:rFonts w:ascii="Times" w:hAnsi="Times"/>
        </w:rPr>
        <w:t xml:space="preserve"> a Post-Secular Society</w:t>
      </w:r>
      <w:r w:rsidR="00391C67">
        <w:rPr>
          <w:rFonts w:ascii="Times" w:hAnsi="Times"/>
        </w:rPr>
        <w:t xml:space="preserve">,” </w:t>
      </w:r>
      <w:r w:rsidR="00391C67" w:rsidRPr="00B70076">
        <w:rPr>
          <w:rFonts w:ascii="Times" w:hAnsi="Times"/>
          <w:i/>
          <w:iCs/>
        </w:rPr>
        <w:t>New Perspectives Quarterly</w:t>
      </w:r>
      <w:r w:rsidR="00391C67">
        <w:rPr>
          <w:rFonts w:ascii="Times" w:hAnsi="Times"/>
        </w:rPr>
        <w:t xml:space="preserve"> 25: 17-29.</w:t>
      </w:r>
    </w:p>
    <w:p w14:paraId="7A10E898" w14:textId="6F133ABD" w:rsidR="00265C69" w:rsidRDefault="00265C69">
      <w:pPr>
        <w:tabs>
          <w:tab w:val="left" w:pos="567"/>
        </w:tabs>
        <w:spacing w:line="360" w:lineRule="auto"/>
        <w:ind w:left="567" w:hanging="567"/>
        <w:rPr>
          <w:rFonts w:ascii="Times" w:hAnsi="Times"/>
        </w:rPr>
      </w:pPr>
      <w:r w:rsidRPr="00144038">
        <w:rPr>
          <w:rFonts w:ascii="Times" w:hAnsi="Times"/>
        </w:rPr>
        <w:t xml:space="preserve">Knight, Mark, ed. 2016. </w:t>
      </w:r>
      <w:r w:rsidRPr="00B70076">
        <w:rPr>
          <w:rFonts w:ascii="Times" w:hAnsi="Times"/>
          <w:i/>
          <w:iCs/>
        </w:rPr>
        <w:t>The Routledge Companion to Literature and Religion</w:t>
      </w:r>
      <w:r>
        <w:rPr>
          <w:rFonts w:ascii="Times" w:hAnsi="Times"/>
        </w:rPr>
        <w:t>. London: Routledge.</w:t>
      </w:r>
    </w:p>
    <w:p w14:paraId="4FC14A30" w14:textId="0F03663B" w:rsidR="00304877" w:rsidRDefault="00304877" w:rsidP="00B70076">
      <w:pPr>
        <w:tabs>
          <w:tab w:val="left" w:pos="567"/>
        </w:tabs>
        <w:spacing w:line="360" w:lineRule="auto"/>
        <w:ind w:left="567" w:hanging="567"/>
        <w:rPr>
          <w:rFonts w:ascii="Times" w:hAnsi="Times"/>
        </w:rPr>
      </w:pPr>
      <w:r>
        <w:rPr>
          <w:rFonts w:ascii="Times" w:hAnsi="Times"/>
        </w:rPr>
        <w:t>Kristeva, Juli</w:t>
      </w:r>
      <w:r w:rsidR="00D30945">
        <w:rPr>
          <w:rFonts w:ascii="Times" w:hAnsi="Times"/>
        </w:rPr>
        <w:t>a</w:t>
      </w:r>
      <w:r>
        <w:rPr>
          <w:rFonts w:ascii="Times" w:hAnsi="Times"/>
        </w:rPr>
        <w:t xml:space="preserve">. (2006) 2009. </w:t>
      </w:r>
      <w:r w:rsidRPr="00B70076">
        <w:rPr>
          <w:rFonts w:ascii="Times" w:hAnsi="Times"/>
          <w:i/>
          <w:iCs/>
        </w:rPr>
        <w:t>This Incredible Need to Believe</w:t>
      </w:r>
      <w:r>
        <w:rPr>
          <w:rFonts w:ascii="Times" w:hAnsi="Times"/>
        </w:rPr>
        <w:t xml:space="preserve">. Trans. Beverley </w:t>
      </w:r>
      <w:proofErr w:type="spellStart"/>
      <w:r>
        <w:rPr>
          <w:rFonts w:ascii="Times" w:hAnsi="Times"/>
        </w:rPr>
        <w:t>Bie</w:t>
      </w:r>
      <w:proofErr w:type="spellEnd"/>
      <w:r>
        <w:rPr>
          <w:rFonts w:ascii="Times" w:hAnsi="Times"/>
        </w:rPr>
        <w:t xml:space="preserve"> </w:t>
      </w:r>
      <w:proofErr w:type="spellStart"/>
      <w:r>
        <w:rPr>
          <w:rFonts w:ascii="Times" w:hAnsi="Times"/>
        </w:rPr>
        <w:t>Brahic</w:t>
      </w:r>
      <w:proofErr w:type="spellEnd"/>
      <w:r>
        <w:rPr>
          <w:rFonts w:ascii="Times" w:hAnsi="Times"/>
        </w:rPr>
        <w:t>. New York: Columbia University Press.</w:t>
      </w:r>
    </w:p>
    <w:p w14:paraId="52EF1DAE" w14:textId="6EA337B4" w:rsidR="0030764C" w:rsidRDefault="0030764C">
      <w:pPr>
        <w:tabs>
          <w:tab w:val="left" w:pos="567"/>
        </w:tabs>
        <w:spacing w:line="360" w:lineRule="auto"/>
        <w:ind w:left="567" w:hanging="567"/>
        <w:rPr>
          <w:rFonts w:ascii="Times" w:hAnsi="Times"/>
        </w:rPr>
      </w:pPr>
      <w:r>
        <w:rPr>
          <w:rFonts w:ascii="Times" w:hAnsi="Times"/>
        </w:rPr>
        <w:t xml:space="preserve">Latour, Bruno. </w:t>
      </w:r>
      <w:r w:rsidR="00265C69">
        <w:rPr>
          <w:rFonts w:ascii="Times" w:hAnsi="Times"/>
        </w:rPr>
        <w:t xml:space="preserve">(2002) 2013. </w:t>
      </w:r>
      <w:r w:rsidRPr="00B70076">
        <w:rPr>
          <w:rFonts w:ascii="Times" w:hAnsi="Times"/>
          <w:i/>
          <w:iCs/>
        </w:rPr>
        <w:t>Rejoicing</w:t>
      </w:r>
      <w:r w:rsidR="00265C69" w:rsidRPr="00B70076">
        <w:rPr>
          <w:rFonts w:ascii="Times" w:hAnsi="Times"/>
          <w:i/>
          <w:iCs/>
        </w:rPr>
        <w:t xml:space="preserve">, Or </w:t>
      </w:r>
      <w:proofErr w:type="gramStart"/>
      <w:r w:rsidR="00265C69" w:rsidRPr="00B70076">
        <w:rPr>
          <w:rFonts w:ascii="Times" w:hAnsi="Times"/>
          <w:i/>
          <w:iCs/>
        </w:rPr>
        <w:t>The</w:t>
      </w:r>
      <w:proofErr w:type="gramEnd"/>
      <w:r w:rsidR="00265C69" w:rsidRPr="00B70076">
        <w:rPr>
          <w:rFonts w:ascii="Times" w:hAnsi="Times"/>
          <w:i/>
          <w:iCs/>
        </w:rPr>
        <w:t xml:space="preserve"> Torments of Religious Speech</w:t>
      </w:r>
      <w:r w:rsidR="00265C69">
        <w:rPr>
          <w:rFonts w:ascii="Times" w:hAnsi="Times"/>
        </w:rPr>
        <w:t>. Trans. Julie Rose. Cambridge: Polity.</w:t>
      </w:r>
    </w:p>
    <w:p w14:paraId="069CD7C0" w14:textId="2837DA27" w:rsidR="00075ED5" w:rsidRDefault="00075ED5" w:rsidP="00B70076">
      <w:pPr>
        <w:tabs>
          <w:tab w:val="left" w:pos="567"/>
        </w:tabs>
        <w:spacing w:line="360" w:lineRule="auto"/>
        <w:ind w:left="567" w:hanging="567"/>
        <w:rPr>
          <w:rFonts w:ascii="Times" w:hAnsi="Times"/>
        </w:rPr>
      </w:pPr>
      <w:r>
        <w:rPr>
          <w:rFonts w:ascii="Times" w:hAnsi="Times"/>
        </w:rPr>
        <w:lastRenderedPageBreak/>
        <w:t xml:space="preserve">Milbank, John. 1993. </w:t>
      </w:r>
      <w:r w:rsidRPr="00B70076">
        <w:rPr>
          <w:rFonts w:ascii="Times" w:hAnsi="Times"/>
          <w:i/>
          <w:iCs/>
        </w:rPr>
        <w:t>Theology and Social Theory</w:t>
      </w:r>
      <w:r>
        <w:rPr>
          <w:rFonts w:ascii="Times" w:hAnsi="Times"/>
        </w:rPr>
        <w:t>. Oxford: Blackwell.</w:t>
      </w:r>
    </w:p>
    <w:p w14:paraId="562E67ED" w14:textId="77ECF25C" w:rsidR="00F03180" w:rsidRDefault="00F03180" w:rsidP="00B70076">
      <w:pPr>
        <w:tabs>
          <w:tab w:val="left" w:pos="567"/>
        </w:tabs>
        <w:spacing w:line="360" w:lineRule="auto"/>
        <w:ind w:left="567" w:hanging="567"/>
        <w:rPr>
          <w:rFonts w:ascii="Times" w:hAnsi="Times"/>
        </w:rPr>
      </w:pPr>
      <w:proofErr w:type="spellStart"/>
      <w:r>
        <w:rPr>
          <w:rFonts w:ascii="Times" w:hAnsi="Times"/>
        </w:rPr>
        <w:t>Orsi</w:t>
      </w:r>
      <w:proofErr w:type="spellEnd"/>
      <w:r>
        <w:rPr>
          <w:rFonts w:ascii="Times" w:hAnsi="Times"/>
        </w:rPr>
        <w:t xml:space="preserve">, Robert A. 2004. </w:t>
      </w:r>
      <w:r w:rsidRPr="00B70076">
        <w:rPr>
          <w:rFonts w:ascii="Times" w:hAnsi="Times"/>
          <w:i/>
          <w:iCs/>
        </w:rPr>
        <w:t>Between Heaven and Earth: The Religious Worlds People Make and the Scholars Who Study Them</w:t>
      </w:r>
      <w:r>
        <w:rPr>
          <w:rFonts w:ascii="Times" w:hAnsi="Times"/>
        </w:rPr>
        <w:t>. Princeton: Princeton University Press.</w:t>
      </w:r>
    </w:p>
    <w:p w14:paraId="5E9C8E08" w14:textId="1CA3EF0C" w:rsidR="00E81299" w:rsidRDefault="00E81299" w:rsidP="00B70076">
      <w:pPr>
        <w:tabs>
          <w:tab w:val="left" w:pos="567"/>
        </w:tabs>
        <w:spacing w:line="360" w:lineRule="auto"/>
        <w:ind w:left="567" w:hanging="567"/>
        <w:rPr>
          <w:rFonts w:ascii="Times" w:hAnsi="Times"/>
        </w:rPr>
      </w:pPr>
      <w:r>
        <w:rPr>
          <w:rFonts w:ascii="Times" w:hAnsi="Times"/>
        </w:rPr>
        <w:t xml:space="preserve">Pecora, Vincent P. 2006. </w:t>
      </w:r>
      <w:r w:rsidRPr="00B70076">
        <w:rPr>
          <w:rFonts w:ascii="Times" w:hAnsi="Times"/>
          <w:i/>
          <w:iCs/>
        </w:rPr>
        <w:t>Secularization and Cultural Criticism: Religion, Nation, and Modernity</w:t>
      </w:r>
      <w:r>
        <w:rPr>
          <w:rFonts w:ascii="Times" w:hAnsi="Times"/>
        </w:rPr>
        <w:t>. Chicago: The University of Chicago Press.</w:t>
      </w:r>
    </w:p>
    <w:p w14:paraId="581650D0" w14:textId="17774A80" w:rsidR="0030764C" w:rsidRDefault="0030764C" w:rsidP="00B70076">
      <w:pPr>
        <w:tabs>
          <w:tab w:val="left" w:pos="567"/>
        </w:tabs>
        <w:spacing w:line="360" w:lineRule="auto"/>
        <w:ind w:left="567" w:hanging="567"/>
        <w:rPr>
          <w:rFonts w:ascii="Times" w:hAnsi="Times"/>
        </w:rPr>
      </w:pPr>
      <w:r>
        <w:rPr>
          <w:rFonts w:ascii="Times" w:hAnsi="Times"/>
        </w:rPr>
        <w:t>Taylor, Charles.</w:t>
      </w:r>
      <w:r w:rsidR="002F36E2">
        <w:rPr>
          <w:rFonts w:ascii="Times" w:hAnsi="Times"/>
        </w:rPr>
        <w:t xml:space="preserve"> 2007. </w:t>
      </w:r>
      <w:r w:rsidR="002F36E2" w:rsidRPr="00B70076">
        <w:rPr>
          <w:rFonts w:ascii="Times" w:hAnsi="Times"/>
          <w:i/>
          <w:iCs/>
        </w:rPr>
        <w:t>A Secular Age</w:t>
      </w:r>
      <w:r w:rsidR="002F36E2">
        <w:rPr>
          <w:rFonts w:ascii="Times" w:hAnsi="Times"/>
        </w:rPr>
        <w:t>. Cambridge: Harvard University Press.</w:t>
      </w:r>
    </w:p>
    <w:p w14:paraId="5671D210" w14:textId="5FAD8872" w:rsidR="00423C6E" w:rsidRDefault="00423C6E" w:rsidP="00B70076">
      <w:pPr>
        <w:tabs>
          <w:tab w:val="left" w:pos="567"/>
        </w:tabs>
        <w:spacing w:line="360" w:lineRule="auto"/>
        <w:ind w:left="567" w:hanging="567"/>
        <w:rPr>
          <w:rFonts w:ascii="Times" w:hAnsi="Times"/>
        </w:rPr>
      </w:pPr>
      <w:r>
        <w:rPr>
          <w:rFonts w:ascii="Times" w:hAnsi="Times"/>
        </w:rPr>
        <w:t xml:space="preserve">Warner, Michael. 2004 “Uncritical Reading.” In Jane Gallop, ed. </w:t>
      </w:r>
      <w:r w:rsidRPr="00B70076">
        <w:rPr>
          <w:rFonts w:ascii="Times" w:hAnsi="Times"/>
          <w:i/>
          <w:iCs/>
        </w:rPr>
        <w:t>Polemic</w:t>
      </w:r>
      <w:r>
        <w:rPr>
          <w:rFonts w:ascii="Times" w:hAnsi="Times"/>
        </w:rPr>
        <w:t>. New York: Routledge.</w:t>
      </w:r>
    </w:p>
    <w:p w14:paraId="44504255" w14:textId="3A49D763" w:rsidR="00E0738C" w:rsidRPr="00635080" w:rsidRDefault="00582BAD" w:rsidP="00B70076">
      <w:pPr>
        <w:tabs>
          <w:tab w:val="left" w:pos="567"/>
        </w:tabs>
        <w:spacing w:line="360" w:lineRule="auto"/>
        <w:ind w:left="567" w:hanging="567"/>
        <w:rPr>
          <w:rFonts w:ascii="Times" w:hAnsi="Times"/>
        </w:rPr>
      </w:pPr>
      <w:proofErr w:type="spellStart"/>
      <w:r>
        <w:rPr>
          <w:rFonts w:ascii="Times" w:hAnsi="Times"/>
        </w:rPr>
        <w:t>Ž</w:t>
      </w:r>
      <w:r w:rsidR="00E0738C">
        <w:rPr>
          <w:rFonts w:ascii="Times" w:hAnsi="Times"/>
        </w:rPr>
        <w:t>i</w:t>
      </w:r>
      <w:r>
        <w:rPr>
          <w:rFonts w:ascii="Times" w:hAnsi="Times"/>
        </w:rPr>
        <w:t>ž</w:t>
      </w:r>
      <w:r w:rsidR="00E0738C">
        <w:rPr>
          <w:rFonts w:ascii="Times" w:hAnsi="Times"/>
        </w:rPr>
        <w:t>ek</w:t>
      </w:r>
      <w:proofErr w:type="spellEnd"/>
      <w:r w:rsidR="00E0738C">
        <w:rPr>
          <w:rFonts w:ascii="Times" w:hAnsi="Times"/>
        </w:rPr>
        <w:t xml:space="preserve">, </w:t>
      </w:r>
      <w:proofErr w:type="spellStart"/>
      <w:r w:rsidR="00E0738C">
        <w:rPr>
          <w:rFonts w:ascii="Times" w:hAnsi="Times"/>
        </w:rPr>
        <w:t>Slavoj</w:t>
      </w:r>
      <w:proofErr w:type="spellEnd"/>
      <w:r w:rsidR="00E0738C">
        <w:rPr>
          <w:rFonts w:ascii="Times" w:hAnsi="Times"/>
        </w:rPr>
        <w:t>.</w:t>
      </w:r>
      <w:r w:rsidR="00265C69">
        <w:rPr>
          <w:rFonts w:ascii="Times" w:hAnsi="Times"/>
        </w:rPr>
        <w:t xml:space="preserve"> 2000.</w:t>
      </w:r>
      <w:r w:rsidR="00E0738C">
        <w:rPr>
          <w:rFonts w:ascii="Times" w:hAnsi="Times"/>
        </w:rPr>
        <w:t xml:space="preserve"> </w:t>
      </w:r>
      <w:r w:rsidR="00E0738C" w:rsidRPr="00B70076">
        <w:rPr>
          <w:rFonts w:ascii="Times" w:hAnsi="Times"/>
          <w:i/>
          <w:iCs/>
        </w:rPr>
        <w:t>The Fragile Absolute—</w:t>
      </w:r>
      <w:proofErr w:type="gramStart"/>
      <w:r w:rsidR="00792A93">
        <w:rPr>
          <w:rFonts w:ascii="Times" w:hAnsi="Times"/>
          <w:i/>
          <w:iCs/>
        </w:rPr>
        <w:t>o</w:t>
      </w:r>
      <w:r w:rsidR="00E0738C" w:rsidRPr="00B70076">
        <w:rPr>
          <w:rFonts w:ascii="Times" w:hAnsi="Times"/>
          <w:i/>
          <w:iCs/>
        </w:rPr>
        <w:t>r,</w:t>
      </w:r>
      <w:proofErr w:type="gramEnd"/>
      <w:r w:rsidR="00E0738C" w:rsidRPr="00B70076">
        <w:rPr>
          <w:rFonts w:ascii="Times" w:hAnsi="Times"/>
          <w:i/>
          <w:iCs/>
        </w:rPr>
        <w:t xml:space="preserve"> Why Is The Christian Legacy Worth Fighting For</w:t>
      </w:r>
      <w:r w:rsidR="00792A93">
        <w:rPr>
          <w:rFonts w:ascii="Times" w:hAnsi="Times"/>
        </w:rPr>
        <w:t>? London: Verso.</w:t>
      </w:r>
    </w:p>
    <w:sectPr w:rsidR="00E0738C" w:rsidRPr="00635080" w:rsidSect="00C66C26">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9080" w14:textId="77777777" w:rsidR="00A37329" w:rsidRDefault="00A37329" w:rsidP="0052226F">
      <w:r>
        <w:separator/>
      </w:r>
    </w:p>
  </w:endnote>
  <w:endnote w:type="continuationSeparator" w:id="0">
    <w:p w14:paraId="62DA2C40" w14:textId="77777777" w:rsidR="00A37329" w:rsidRDefault="00A37329" w:rsidP="0052226F">
      <w:r>
        <w:continuationSeparator/>
      </w:r>
    </w:p>
  </w:endnote>
  <w:endnote w:id="1">
    <w:p w14:paraId="464DCB2C" w14:textId="10759E9B" w:rsidR="00D63BFD" w:rsidRPr="00F06457" w:rsidRDefault="00D63BFD" w:rsidP="00EF4C7A">
      <w:pPr>
        <w:pStyle w:val="EndnoteText"/>
        <w:spacing w:line="360" w:lineRule="auto"/>
        <w:rPr>
          <w:rFonts w:ascii="Times" w:hAnsi="Times"/>
          <w:sz w:val="24"/>
          <w:szCs w:val="24"/>
          <w:lang w:val="en-GB"/>
        </w:rPr>
      </w:pPr>
      <w:r w:rsidRPr="00F06457">
        <w:rPr>
          <w:rStyle w:val="EndnoteReference"/>
          <w:rFonts w:ascii="Times" w:hAnsi="Times"/>
          <w:sz w:val="24"/>
          <w:szCs w:val="24"/>
        </w:rPr>
        <w:endnoteRef/>
      </w:r>
      <w:r w:rsidRPr="00F06457">
        <w:rPr>
          <w:rFonts w:ascii="Times" w:hAnsi="Times"/>
          <w:sz w:val="24"/>
          <w:szCs w:val="24"/>
        </w:rPr>
        <w:t xml:space="preserve"> </w:t>
      </w:r>
      <w:r w:rsidR="0041610E">
        <w:rPr>
          <w:rFonts w:ascii="Times" w:hAnsi="Times"/>
          <w:sz w:val="24"/>
          <w:szCs w:val="24"/>
        </w:rPr>
        <w:t>M</w:t>
      </w:r>
      <w:r>
        <w:rPr>
          <w:rFonts w:ascii="Times" w:hAnsi="Times"/>
          <w:sz w:val="24"/>
          <w:szCs w:val="24"/>
        </w:rPr>
        <w:t>ilestones</w:t>
      </w:r>
      <w:r w:rsidRPr="00F06457">
        <w:rPr>
          <w:rFonts w:ascii="Times" w:hAnsi="Times"/>
          <w:sz w:val="24"/>
          <w:szCs w:val="24"/>
        </w:rPr>
        <w:t xml:space="preserve"> in what subsequently became known as the religious turn include</w:t>
      </w:r>
      <w:r>
        <w:rPr>
          <w:rFonts w:ascii="Times" w:hAnsi="Times"/>
          <w:sz w:val="24"/>
          <w:szCs w:val="24"/>
        </w:rPr>
        <w:t xml:space="preserve"> the following</w:t>
      </w:r>
      <w:r w:rsidRPr="00F06457">
        <w:rPr>
          <w:rFonts w:ascii="Times" w:hAnsi="Times"/>
          <w:sz w:val="24"/>
          <w:szCs w:val="24"/>
        </w:rPr>
        <w:t xml:space="preserve">: Giorgio Agamben, </w:t>
      </w:r>
      <w:r w:rsidRPr="00F06457">
        <w:rPr>
          <w:rFonts w:ascii="Times" w:hAnsi="Times"/>
          <w:i/>
          <w:iCs/>
          <w:sz w:val="24"/>
          <w:szCs w:val="24"/>
        </w:rPr>
        <w:t>The Time That Remains: A Commentary on the Letter to the Romans</w:t>
      </w:r>
      <w:r w:rsidRPr="00F06457">
        <w:rPr>
          <w:rFonts w:ascii="Times" w:hAnsi="Times"/>
          <w:sz w:val="24"/>
          <w:szCs w:val="24"/>
        </w:rPr>
        <w:t xml:space="preserve"> ([2000] 2005); Alain Badiou, </w:t>
      </w:r>
      <w:r w:rsidRPr="00F06457">
        <w:rPr>
          <w:rFonts w:ascii="Times" w:hAnsi="Times"/>
          <w:i/>
          <w:iCs/>
          <w:sz w:val="24"/>
          <w:szCs w:val="24"/>
        </w:rPr>
        <w:t>Saint Paul: The Foundations of Universalism</w:t>
      </w:r>
      <w:r w:rsidRPr="00F06457">
        <w:rPr>
          <w:rFonts w:ascii="Times" w:hAnsi="Times"/>
          <w:sz w:val="24"/>
          <w:szCs w:val="24"/>
        </w:rPr>
        <w:t xml:space="preserve"> (</w:t>
      </w:r>
      <w:r w:rsidR="00304877">
        <w:rPr>
          <w:rFonts w:ascii="Times" w:hAnsi="Times"/>
          <w:sz w:val="24"/>
          <w:szCs w:val="24"/>
        </w:rPr>
        <w:t xml:space="preserve">[1997] </w:t>
      </w:r>
      <w:r w:rsidRPr="00F06457">
        <w:rPr>
          <w:rFonts w:ascii="Times" w:hAnsi="Times"/>
          <w:sz w:val="24"/>
          <w:szCs w:val="24"/>
        </w:rPr>
        <w:t xml:space="preserve">2003); </w:t>
      </w:r>
      <w:r w:rsidR="00304877">
        <w:rPr>
          <w:rFonts w:ascii="Times" w:hAnsi="Times"/>
          <w:sz w:val="24"/>
          <w:szCs w:val="24"/>
        </w:rPr>
        <w:t xml:space="preserve">Judith Butler, </w:t>
      </w:r>
      <w:r w:rsidR="00304877" w:rsidRPr="00B70076">
        <w:rPr>
          <w:rFonts w:ascii="Times" w:hAnsi="Times"/>
          <w:i/>
          <w:iCs/>
          <w:sz w:val="24"/>
          <w:szCs w:val="24"/>
        </w:rPr>
        <w:t>Precarious Life: The Powers of Mourning and Violence</w:t>
      </w:r>
      <w:r w:rsidR="00304877">
        <w:rPr>
          <w:rFonts w:ascii="Times" w:hAnsi="Times"/>
          <w:sz w:val="24"/>
          <w:szCs w:val="24"/>
        </w:rPr>
        <w:t xml:space="preserve"> (2004); </w:t>
      </w:r>
      <w:r w:rsidRPr="00F06457">
        <w:rPr>
          <w:rFonts w:ascii="Times" w:hAnsi="Times"/>
          <w:sz w:val="24"/>
          <w:szCs w:val="24"/>
        </w:rPr>
        <w:t xml:space="preserve">John Caputo, </w:t>
      </w:r>
      <w:r w:rsidRPr="00F06457">
        <w:rPr>
          <w:rFonts w:ascii="Times" w:hAnsi="Times"/>
          <w:i/>
          <w:iCs/>
          <w:sz w:val="24"/>
          <w:szCs w:val="24"/>
        </w:rPr>
        <w:t>On Religion</w:t>
      </w:r>
      <w:r w:rsidRPr="00F06457">
        <w:rPr>
          <w:rFonts w:ascii="Times" w:hAnsi="Times"/>
          <w:sz w:val="24"/>
          <w:szCs w:val="24"/>
        </w:rPr>
        <w:t xml:space="preserve"> (2001); Jacques Derrida, </w:t>
      </w:r>
      <w:r w:rsidRPr="00F06457">
        <w:rPr>
          <w:rFonts w:ascii="Times" w:hAnsi="Times"/>
          <w:i/>
          <w:iCs/>
          <w:sz w:val="24"/>
          <w:szCs w:val="24"/>
        </w:rPr>
        <w:t>Acts of Religion</w:t>
      </w:r>
      <w:r w:rsidRPr="00F06457">
        <w:rPr>
          <w:rFonts w:ascii="Times" w:hAnsi="Times"/>
          <w:sz w:val="24"/>
          <w:szCs w:val="24"/>
        </w:rPr>
        <w:t xml:space="preserve"> (2001); Jacques Derrida and Gianni Vattimo, eds., </w:t>
      </w:r>
      <w:r w:rsidRPr="00F06457">
        <w:rPr>
          <w:rFonts w:ascii="Times" w:hAnsi="Times"/>
          <w:i/>
          <w:iCs/>
          <w:sz w:val="24"/>
          <w:szCs w:val="24"/>
        </w:rPr>
        <w:t>Religion</w:t>
      </w:r>
      <w:r w:rsidRPr="00F06457">
        <w:rPr>
          <w:rFonts w:ascii="Times" w:hAnsi="Times"/>
          <w:sz w:val="24"/>
          <w:szCs w:val="24"/>
        </w:rPr>
        <w:t xml:space="preserve"> (1998);</w:t>
      </w:r>
      <w:r>
        <w:rPr>
          <w:rFonts w:ascii="Times" w:hAnsi="Times"/>
          <w:sz w:val="24"/>
          <w:szCs w:val="24"/>
        </w:rPr>
        <w:t xml:space="preserve"> </w:t>
      </w:r>
      <w:r w:rsidR="00173655">
        <w:rPr>
          <w:rFonts w:ascii="Times" w:hAnsi="Times"/>
          <w:sz w:val="24"/>
          <w:szCs w:val="24"/>
        </w:rPr>
        <w:t xml:space="preserve">Terry Eagleton, </w:t>
      </w:r>
      <w:r w:rsidR="00173655" w:rsidRPr="00B70076">
        <w:rPr>
          <w:rFonts w:ascii="Times" w:hAnsi="Times"/>
          <w:i/>
          <w:iCs/>
          <w:sz w:val="24"/>
          <w:szCs w:val="24"/>
        </w:rPr>
        <w:t>Reason, Faith, and Revolution</w:t>
      </w:r>
      <w:r w:rsidR="00173655">
        <w:rPr>
          <w:rFonts w:ascii="Times" w:hAnsi="Times"/>
          <w:sz w:val="24"/>
          <w:szCs w:val="24"/>
        </w:rPr>
        <w:t xml:space="preserve"> (2009); </w:t>
      </w:r>
      <w:r>
        <w:rPr>
          <w:rFonts w:ascii="Times" w:hAnsi="Times"/>
          <w:sz w:val="24"/>
          <w:szCs w:val="24"/>
        </w:rPr>
        <w:t>Stanley Fish, “</w:t>
      </w:r>
      <w:r w:rsidRPr="002845C4">
        <w:rPr>
          <w:rFonts w:ascii="Times" w:hAnsi="Times"/>
          <w:sz w:val="24"/>
          <w:szCs w:val="24"/>
        </w:rPr>
        <w:t>One University, Under God?”</w:t>
      </w:r>
      <w:r>
        <w:rPr>
          <w:rFonts w:ascii="Times" w:hAnsi="Times"/>
          <w:sz w:val="24"/>
          <w:szCs w:val="24"/>
        </w:rPr>
        <w:t xml:space="preserve"> (2005)</w:t>
      </w:r>
      <w:r w:rsidR="00173655">
        <w:rPr>
          <w:rFonts w:ascii="Times" w:hAnsi="Times"/>
          <w:sz w:val="24"/>
          <w:szCs w:val="24"/>
        </w:rPr>
        <w:t>;</w:t>
      </w:r>
      <w:r w:rsidRPr="002845C4">
        <w:rPr>
          <w:rFonts w:ascii="Times" w:hAnsi="Times"/>
          <w:sz w:val="24"/>
          <w:szCs w:val="24"/>
        </w:rPr>
        <w:t xml:space="preserve"> </w:t>
      </w:r>
      <w:r>
        <w:rPr>
          <w:rFonts w:ascii="Times" w:hAnsi="Times"/>
          <w:sz w:val="24"/>
          <w:szCs w:val="24"/>
        </w:rPr>
        <w:t>Jürgen Habermas, “Notes on Post-Secular Society” (2008);</w:t>
      </w:r>
      <w:r w:rsidRPr="00F06457">
        <w:rPr>
          <w:rFonts w:ascii="Times" w:hAnsi="Times"/>
          <w:sz w:val="24"/>
          <w:szCs w:val="24"/>
        </w:rPr>
        <w:t xml:space="preserve"> </w:t>
      </w:r>
      <w:r w:rsidR="00304877">
        <w:rPr>
          <w:rFonts w:ascii="Times" w:hAnsi="Times"/>
          <w:sz w:val="24"/>
          <w:szCs w:val="24"/>
        </w:rPr>
        <w:t>Juli</w:t>
      </w:r>
      <w:r w:rsidR="007A5C41">
        <w:rPr>
          <w:rFonts w:ascii="Times" w:hAnsi="Times"/>
          <w:sz w:val="24"/>
          <w:szCs w:val="24"/>
        </w:rPr>
        <w:t>a</w:t>
      </w:r>
      <w:r w:rsidR="00304877">
        <w:rPr>
          <w:rFonts w:ascii="Times" w:hAnsi="Times"/>
          <w:sz w:val="24"/>
          <w:szCs w:val="24"/>
        </w:rPr>
        <w:t xml:space="preserve"> Kristeva, </w:t>
      </w:r>
      <w:r w:rsidR="00304877" w:rsidRPr="00B70076">
        <w:rPr>
          <w:rFonts w:ascii="Times" w:hAnsi="Times"/>
          <w:i/>
          <w:iCs/>
          <w:sz w:val="24"/>
          <w:szCs w:val="24"/>
        </w:rPr>
        <w:t xml:space="preserve">This Incredible Need to Believe </w:t>
      </w:r>
      <w:r w:rsidR="00304877">
        <w:rPr>
          <w:rFonts w:ascii="Times" w:hAnsi="Times"/>
          <w:sz w:val="24"/>
          <w:szCs w:val="24"/>
        </w:rPr>
        <w:t xml:space="preserve">(2009); </w:t>
      </w:r>
      <w:r w:rsidRPr="00F06457">
        <w:rPr>
          <w:rFonts w:ascii="Times" w:hAnsi="Times"/>
          <w:sz w:val="24"/>
          <w:szCs w:val="24"/>
        </w:rPr>
        <w:t xml:space="preserve">Bruno Latour, </w:t>
      </w:r>
      <w:r w:rsidRPr="00F06457">
        <w:rPr>
          <w:rFonts w:ascii="Times" w:hAnsi="Times"/>
          <w:i/>
          <w:iCs/>
          <w:sz w:val="24"/>
          <w:szCs w:val="24"/>
        </w:rPr>
        <w:t>Rejoicing, Or The Torments of Religious Speech</w:t>
      </w:r>
      <w:r w:rsidRPr="00F06457">
        <w:rPr>
          <w:rFonts w:ascii="Times" w:hAnsi="Times"/>
          <w:sz w:val="24"/>
          <w:szCs w:val="24"/>
        </w:rPr>
        <w:t xml:space="preserve"> ([2002] 2013</w:t>
      </w:r>
      <w:r>
        <w:rPr>
          <w:rFonts w:ascii="Times" w:hAnsi="Times"/>
          <w:sz w:val="24"/>
          <w:szCs w:val="24"/>
        </w:rPr>
        <w:t>; and</w:t>
      </w:r>
      <w:r w:rsidRPr="00F06457">
        <w:rPr>
          <w:rFonts w:ascii="Times" w:hAnsi="Times"/>
          <w:sz w:val="24"/>
          <w:szCs w:val="24"/>
        </w:rPr>
        <w:t xml:space="preserve"> </w:t>
      </w:r>
      <w:r>
        <w:rPr>
          <w:rFonts w:ascii="Times" w:hAnsi="Times"/>
          <w:sz w:val="24"/>
          <w:szCs w:val="24"/>
        </w:rPr>
        <w:t>Slavoj</w:t>
      </w:r>
      <w:r w:rsidRPr="00410348">
        <w:rPr>
          <w:rFonts w:ascii="Times" w:hAnsi="Times"/>
        </w:rPr>
        <w:t xml:space="preserve"> </w:t>
      </w:r>
      <w:r>
        <w:rPr>
          <w:rFonts w:ascii="Times" w:hAnsi="Times"/>
          <w:sz w:val="24"/>
          <w:szCs w:val="24"/>
        </w:rPr>
        <w:t>Žižek</w:t>
      </w:r>
      <w:r w:rsidRPr="00F06457">
        <w:rPr>
          <w:rFonts w:ascii="Times" w:hAnsi="Times"/>
          <w:sz w:val="24"/>
          <w:szCs w:val="24"/>
        </w:rPr>
        <w:t xml:space="preserve">, </w:t>
      </w:r>
      <w:r w:rsidRPr="00F06457">
        <w:rPr>
          <w:rFonts w:ascii="Times" w:eastAsia="Times New Roman" w:hAnsi="Times" w:cs="Arial"/>
          <w:i/>
          <w:iCs/>
          <w:color w:val="000000"/>
          <w:sz w:val="24"/>
          <w:szCs w:val="24"/>
        </w:rPr>
        <w:t>The Fragile Absolute</w:t>
      </w:r>
      <w:r w:rsidRPr="00F06457">
        <w:rPr>
          <w:rStyle w:val="CommentReference"/>
          <w:rFonts w:ascii="Times" w:hAnsi="Times"/>
          <w:i/>
          <w:iCs/>
          <w:sz w:val="24"/>
          <w:szCs w:val="24"/>
        </w:rPr>
        <w:t/>
      </w:r>
      <w:r w:rsidRPr="00F06457">
        <w:rPr>
          <w:rStyle w:val="CommentReference"/>
          <w:rFonts w:ascii="Times" w:hAnsi="Times"/>
          <w:i/>
          <w:iCs/>
          <w:sz w:val="24"/>
          <w:szCs w:val="24"/>
        </w:rPr>
        <w:t/>
      </w:r>
      <w:r w:rsidRPr="00F06457">
        <w:rPr>
          <w:rFonts w:ascii="Times" w:eastAsia="Times New Roman" w:hAnsi="Times" w:cs="Arial"/>
          <w:i/>
          <w:iCs/>
          <w:color w:val="000000"/>
          <w:sz w:val="24"/>
          <w:szCs w:val="24"/>
        </w:rPr>
        <w:t>—or, Why Is the Christian Legacy Worth Fighting For?</w:t>
      </w:r>
      <w:r>
        <w:rPr>
          <w:rFonts w:ascii="Times" w:eastAsia="Times New Roman" w:hAnsi="Times" w:cs="Arial"/>
          <w:i/>
          <w:iCs/>
          <w:color w:val="000000"/>
          <w:sz w:val="24"/>
          <w:szCs w:val="24"/>
        </w:rPr>
        <w:t xml:space="preserve"> (</w:t>
      </w:r>
      <w:r w:rsidRPr="00F06457">
        <w:rPr>
          <w:rFonts w:ascii="Times" w:eastAsia="Times New Roman" w:hAnsi="Times" w:cs="Arial"/>
          <w:color w:val="000000"/>
          <w:sz w:val="24"/>
          <w:szCs w:val="24"/>
        </w:rPr>
        <w:t>2000</w:t>
      </w:r>
      <w:r>
        <w:rPr>
          <w:rFonts w:ascii="Times" w:eastAsia="Times New Roman" w:hAnsi="Times" w:cs="Arial"/>
          <w:color w:val="000000"/>
          <w:sz w:val="24"/>
          <w:szCs w:val="24"/>
        </w:rPr>
        <w:t>)</w:t>
      </w:r>
      <w:r w:rsidRPr="00F06457">
        <w:rPr>
          <w:rFonts w:ascii="Times" w:hAnsi="Times"/>
          <w:sz w:val="24"/>
          <w:szCs w:val="24"/>
        </w:rPr>
        <w:t xml:space="preserve">. </w:t>
      </w:r>
      <w:r>
        <w:rPr>
          <w:rFonts w:ascii="Times" w:hAnsi="Times"/>
          <w:sz w:val="24"/>
          <w:szCs w:val="24"/>
        </w:rPr>
        <w:t xml:space="preserve"> </w:t>
      </w:r>
      <w:r w:rsidR="00A30E98">
        <w:rPr>
          <w:rFonts w:ascii="Times" w:hAnsi="Times"/>
          <w:sz w:val="24"/>
          <w:szCs w:val="24"/>
        </w:rPr>
        <w:t>This is to say nothing of theorists like Paul Ricoeur and Michel de Certeau, whose work found new relevance at this epoch.</w:t>
      </w:r>
    </w:p>
  </w:endnote>
  <w:endnote w:id="2">
    <w:p w14:paraId="0DB0AD36" w14:textId="4EA47CE3" w:rsidR="00F23DCE" w:rsidRDefault="00D63BFD" w:rsidP="00EF4C7A">
      <w:pPr>
        <w:pStyle w:val="EndnoteText"/>
        <w:spacing w:line="360" w:lineRule="auto"/>
        <w:rPr>
          <w:rFonts w:ascii="Times" w:hAnsi="Times"/>
          <w:sz w:val="24"/>
          <w:szCs w:val="24"/>
        </w:rPr>
      </w:pPr>
      <w:r w:rsidRPr="00417200">
        <w:rPr>
          <w:rStyle w:val="EndnoteReference"/>
          <w:rFonts w:ascii="Times" w:hAnsi="Times"/>
          <w:sz w:val="24"/>
          <w:szCs w:val="24"/>
        </w:rPr>
        <w:endnoteRef/>
      </w:r>
      <w:r w:rsidRPr="00417200">
        <w:rPr>
          <w:rFonts w:ascii="Times" w:hAnsi="Times"/>
          <w:sz w:val="24"/>
          <w:szCs w:val="24"/>
        </w:rPr>
        <w:t xml:space="preserve"> </w:t>
      </w:r>
      <w:r w:rsidRPr="00417200">
        <w:rPr>
          <w:rFonts w:ascii="Times" w:hAnsi="Times"/>
          <w:sz w:val="24"/>
          <w:szCs w:val="24"/>
          <w:lang w:val="en-GB"/>
        </w:rPr>
        <w:t xml:space="preserve">See, for example: </w:t>
      </w:r>
      <w:r>
        <w:rPr>
          <w:rFonts w:ascii="Times" w:hAnsi="Times"/>
          <w:sz w:val="24"/>
          <w:szCs w:val="24"/>
          <w:lang w:val="en-GB"/>
        </w:rPr>
        <w:t xml:space="preserve">Talal </w:t>
      </w:r>
      <w:r>
        <w:rPr>
          <w:rFonts w:ascii="Times" w:hAnsi="Times"/>
          <w:sz w:val="24"/>
          <w:szCs w:val="24"/>
          <w:lang w:val="en-GB"/>
        </w:rPr>
        <w:t xml:space="preserve">Asad, </w:t>
      </w:r>
      <w:r w:rsidRPr="00417200">
        <w:rPr>
          <w:rFonts w:ascii="Times" w:hAnsi="Times"/>
          <w:i/>
          <w:iCs/>
          <w:sz w:val="24"/>
          <w:szCs w:val="24"/>
          <w:lang w:val="en-GB"/>
        </w:rPr>
        <w:t>Formations of the Secular: Christianity, Islam, Modernity</w:t>
      </w:r>
      <w:r>
        <w:rPr>
          <w:rFonts w:ascii="Times" w:hAnsi="Times"/>
          <w:sz w:val="24"/>
          <w:szCs w:val="24"/>
          <w:lang w:val="en-GB"/>
        </w:rPr>
        <w:t xml:space="preserve"> (2003); </w:t>
      </w:r>
      <w:r w:rsidRPr="00417200">
        <w:rPr>
          <w:rFonts w:ascii="Times" w:hAnsi="Times"/>
          <w:sz w:val="24"/>
          <w:szCs w:val="24"/>
          <w:lang w:val="en-GB"/>
        </w:rPr>
        <w:t xml:space="preserve">Talal Asad, Wendy Brown, Judith Butler, Saba Mahmood, </w:t>
      </w:r>
      <w:r w:rsidRPr="00417200">
        <w:rPr>
          <w:rFonts w:ascii="Times" w:hAnsi="Times"/>
          <w:i/>
          <w:iCs/>
          <w:sz w:val="24"/>
          <w:szCs w:val="24"/>
          <w:lang w:val="en-GB"/>
        </w:rPr>
        <w:t>Is Critique Secular? Injury, Blasphemy and Free Speech</w:t>
      </w:r>
      <w:r w:rsidRPr="00417200">
        <w:rPr>
          <w:rFonts w:ascii="Times" w:hAnsi="Times"/>
          <w:sz w:val="24"/>
          <w:szCs w:val="24"/>
          <w:lang w:val="en-GB"/>
        </w:rPr>
        <w:t xml:space="preserve"> (2009);</w:t>
      </w:r>
      <w:r w:rsidR="00A30E98">
        <w:rPr>
          <w:rFonts w:ascii="Times" w:hAnsi="Times"/>
          <w:sz w:val="24"/>
          <w:szCs w:val="24"/>
          <w:lang w:val="en-GB"/>
        </w:rPr>
        <w:t xml:space="preserve"> Callum Brown, </w:t>
      </w:r>
      <w:r w:rsidR="00A30E98" w:rsidRPr="00B70076">
        <w:rPr>
          <w:rFonts w:ascii="Times" w:hAnsi="Times"/>
          <w:i/>
          <w:iCs/>
          <w:sz w:val="24"/>
          <w:szCs w:val="24"/>
          <w:lang w:val="en-GB"/>
        </w:rPr>
        <w:t>The Death of Christian Britain</w:t>
      </w:r>
      <w:r w:rsidR="00F550AD" w:rsidRPr="00B70076">
        <w:rPr>
          <w:rFonts w:ascii="Times" w:hAnsi="Times"/>
          <w:i/>
          <w:iCs/>
          <w:sz w:val="24"/>
          <w:szCs w:val="24"/>
          <w:lang w:val="en-GB"/>
        </w:rPr>
        <w:t>: Understanding Secularisation 1800-2000</w:t>
      </w:r>
      <w:r w:rsidR="00F550AD">
        <w:rPr>
          <w:rFonts w:ascii="Times" w:hAnsi="Times"/>
          <w:sz w:val="24"/>
          <w:szCs w:val="24"/>
          <w:lang w:val="en-GB"/>
        </w:rPr>
        <w:t>;</w:t>
      </w:r>
      <w:r w:rsidRPr="00417200">
        <w:rPr>
          <w:rFonts w:ascii="Times" w:hAnsi="Times"/>
          <w:sz w:val="24"/>
          <w:szCs w:val="24"/>
          <w:lang w:val="en-GB"/>
        </w:rPr>
        <w:t xml:space="preserve"> </w:t>
      </w:r>
      <w:r>
        <w:rPr>
          <w:rFonts w:ascii="Times" w:hAnsi="Times"/>
          <w:sz w:val="24"/>
          <w:szCs w:val="24"/>
          <w:lang w:val="en-GB"/>
        </w:rPr>
        <w:t xml:space="preserve">Judith Butler, Jürgen Habermas, Charles Taylor, Cornel West, </w:t>
      </w:r>
      <w:r w:rsidRPr="00417200">
        <w:rPr>
          <w:rFonts w:ascii="Times" w:hAnsi="Times"/>
          <w:i/>
          <w:iCs/>
          <w:sz w:val="24"/>
          <w:szCs w:val="24"/>
          <w:lang w:val="en-GB"/>
        </w:rPr>
        <w:t>The Power of Religion in the Public Sphere</w:t>
      </w:r>
      <w:r>
        <w:rPr>
          <w:rFonts w:ascii="Times" w:hAnsi="Times"/>
          <w:sz w:val="24"/>
          <w:szCs w:val="24"/>
          <w:lang w:val="en-GB"/>
        </w:rPr>
        <w:t xml:space="preserve"> (2011); </w:t>
      </w:r>
      <w:r w:rsidRPr="00417200">
        <w:rPr>
          <w:rFonts w:ascii="Times" w:hAnsi="Times"/>
          <w:sz w:val="24"/>
          <w:szCs w:val="24"/>
          <w:lang w:val="en-GB"/>
        </w:rPr>
        <w:t>Jos</w:t>
      </w:r>
      <w:r w:rsidRPr="00417200">
        <w:rPr>
          <w:rFonts w:ascii="Times" w:hAnsi="Times" w:cs="Calibri"/>
          <w:sz w:val="24"/>
          <w:szCs w:val="24"/>
          <w:lang w:val="en-GB"/>
        </w:rPr>
        <w:t>é</w:t>
      </w:r>
      <w:r w:rsidRPr="00417200">
        <w:rPr>
          <w:rFonts w:ascii="Times" w:hAnsi="Times"/>
          <w:sz w:val="24"/>
          <w:szCs w:val="24"/>
          <w:lang w:val="en-GB"/>
        </w:rPr>
        <w:t xml:space="preserve"> Casanova, </w:t>
      </w:r>
      <w:r w:rsidRPr="00417200">
        <w:rPr>
          <w:rFonts w:ascii="Times" w:hAnsi="Times"/>
          <w:i/>
          <w:iCs/>
          <w:sz w:val="24"/>
          <w:szCs w:val="24"/>
          <w:lang w:val="en-GB"/>
        </w:rPr>
        <w:t>Public Religions in the Modern World</w:t>
      </w:r>
      <w:r w:rsidRPr="00417200">
        <w:rPr>
          <w:rFonts w:ascii="Times" w:hAnsi="Times"/>
          <w:sz w:val="24"/>
          <w:szCs w:val="24"/>
          <w:lang w:val="en-GB"/>
        </w:rPr>
        <w:t xml:space="preserve"> (1994)</w:t>
      </w:r>
      <w:r>
        <w:rPr>
          <w:rFonts w:ascii="Times" w:hAnsi="Times"/>
          <w:sz w:val="24"/>
          <w:szCs w:val="24"/>
          <w:lang w:val="en-GB"/>
        </w:rPr>
        <w:t>; Grace Davie,</w:t>
      </w:r>
      <w:r w:rsidRPr="00417200">
        <w:rPr>
          <w:rFonts w:ascii="Times" w:hAnsi="Times"/>
          <w:sz w:val="24"/>
          <w:szCs w:val="24"/>
          <w:lang w:val="en-GB"/>
        </w:rPr>
        <w:t xml:space="preserve"> </w:t>
      </w:r>
      <w:r w:rsidRPr="00417200">
        <w:rPr>
          <w:rFonts w:ascii="Times" w:hAnsi="Times"/>
          <w:i/>
          <w:iCs/>
          <w:sz w:val="24"/>
          <w:szCs w:val="24"/>
          <w:lang w:val="en-GB"/>
        </w:rPr>
        <w:t xml:space="preserve">Religion in Britain Since 1945: Believing Without Belonging </w:t>
      </w:r>
      <w:r>
        <w:rPr>
          <w:rFonts w:ascii="Times" w:hAnsi="Times"/>
          <w:sz w:val="24"/>
          <w:szCs w:val="24"/>
          <w:lang w:val="en-GB"/>
        </w:rPr>
        <w:t xml:space="preserve">(1994); John Milbank, </w:t>
      </w:r>
      <w:r w:rsidRPr="00417200">
        <w:rPr>
          <w:rFonts w:ascii="Times" w:hAnsi="Times"/>
          <w:i/>
          <w:iCs/>
          <w:sz w:val="24"/>
          <w:szCs w:val="24"/>
          <w:lang w:val="en-GB"/>
        </w:rPr>
        <w:t>Theology and Social Theor</w:t>
      </w:r>
      <w:r>
        <w:rPr>
          <w:rFonts w:ascii="Times" w:hAnsi="Times"/>
          <w:sz w:val="24"/>
          <w:szCs w:val="24"/>
          <w:lang w:val="en-GB"/>
        </w:rPr>
        <w:t xml:space="preserve">y (1993); Robert A. Orsi, </w:t>
      </w:r>
      <w:r w:rsidRPr="00417200">
        <w:rPr>
          <w:rFonts w:ascii="Times" w:hAnsi="Times"/>
          <w:i/>
          <w:iCs/>
          <w:sz w:val="24"/>
          <w:szCs w:val="24"/>
          <w:lang w:val="en-GB"/>
        </w:rPr>
        <w:t>Between Heaven and Earth: The Religious Worlds People Make and the Scholars Who Study Them</w:t>
      </w:r>
      <w:r>
        <w:rPr>
          <w:rFonts w:ascii="Times" w:hAnsi="Times"/>
          <w:sz w:val="24"/>
          <w:szCs w:val="24"/>
          <w:lang w:val="en-GB"/>
        </w:rPr>
        <w:t xml:space="preserve"> (2004); </w:t>
      </w:r>
      <w:r w:rsidRPr="00417200">
        <w:rPr>
          <w:rFonts w:ascii="Times" w:hAnsi="Times"/>
          <w:sz w:val="24"/>
          <w:szCs w:val="24"/>
          <w:lang w:val="en-GB"/>
        </w:rPr>
        <w:t xml:space="preserve">Vincent Pecora, </w:t>
      </w:r>
      <w:r w:rsidRPr="00417200">
        <w:rPr>
          <w:rFonts w:ascii="Times" w:hAnsi="Times"/>
          <w:i/>
          <w:iCs/>
          <w:sz w:val="24"/>
          <w:szCs w:val="24"/>
          <w:lang w:val="en-GB"/>
        </w:rPr>
        <w:t xml:space="preserve">Secularization and Cultural Criticism: Religion, Nation, and Modernity </w:t>
      </w:r>
      <w:r w:rsidRPr="00417200">
        <w:rPr>
          <w:rFonts w:ascii="Times" w:hAnsi="Times"/>
          <w:sz w:val="24"/>
          <w:szCs w:val="24"/>
          <w:lang w:val="en-GB"/>
        </w:rPr>
        <w:t>(2006),</w:t>
      </w:r>
      <w:r>
        <w:rPr>
          <w:rFonts w:ascii="Times" w:hAnsi="Times"/>
          <w:sz w:val="24"/>
          <w:szCs w:val="24"/>
          <w:lang w:val="en-GB"/>
        </w:rPr>
        <w:t xml:space="preserve"> Charles Taylor, </w:t>
      </w:r>
      <w:r w:rsidRPr="00417200">
        <w:rPr>
          <w:rFonts w:ascii="Times" w:hAnsi="Times"/>
          <w:i/>
          <w:iCs/>
          <w:sz w:val="24"/>
          <w:szCs w:val="24"/>
          <w:lang w:val="en-GB"/>
        </w:rPr>
        <w:t xml:space="preserve">A Secular Age </w:t>
      </w:r>
      <w:r>
        <w:rPr>
          <w:rFonts w:ascii="Times" w:hAnsi="Times"/>
          <w:sz w:val="24"/>
          <w:szCs w:val="24"/>
          <w:lang w:val="en-GB"/>
        </w:rPr>
        <w:t xml:space="preserve">(2007); </w:t>
      </w:r>
      <w:r w:rsidRPr="00417200">
        <w:rPr>
          <w:rFonts w:ascii="Times" w:hAnsi="Times"/>
          <w:sz w:val="24"/>
          <w:szCs w:val="24"/>
          <w:lang w:val="en-GB"/>
        </w:rPr>
        <w:t>and Michael Warner, “Uncritical Reading” (2004).</w:t>
      </w:r>
      <w:r w:rsidR="00EB23D6">
        <w:rPr>
          <w:rFonts w:ascii="Times" w:hAnsi="Times"/>
          <w:sz w:val="24"/>
          <w:szCs w:val="24"/>
          <w:lang w:val="en-GB"/>
        </w:rPr>
        <w:t xml:space="preserve">  </w:t>
      </w:r>
    </w:p>
    <w:p w14:paraId="71AB9D27" w14:textId="58B573F7" w:rsidR="00D63BFD" w:rsidRPr="00417200" w:rsidRDefault="00500B90" w:rsidP="00B70076">
      <w:pPr>
        <w:pStyle w:val="EndnoteText"/>
        <w:spacing w:line="360" w:lineRule="auto"/>
        <w:ind w:firstLine="720"/>
        <w:rPr>
          <w:lang w:val="en-GB"/>
        </w:rPr>
      </w:pPr>
      <w:r>
        <w:rPr>
          <w:rFonts w:ascii="Times" w:hAnsi="Times"/>
          <w:sz w:val="24"/>
          <w:szCs w:val="24"/>
        </w:rPr>
        <w:t>This</w:t>
      </w:r>
      <w:r w:rsidR="00530CC0">
        <w:rPr>
          <w:rFonts w:ascii="Times" w:hAnsi="Times"/>
          <w:sz w:val="24"/>
          <w:szCs w:val="24"/>
        </w:rPr>
        <w:t xml:space="preserve"> </w:t>
      </w:r>
      <w:r w:rsidR="00EB23D6" w:rsidRPr="00F06457">
        <w:rPr>
          <w:rFonts w:ascii="Times" w:hAnsi="Times"/>
          <w:sz w:val="24"/>
          <w:szCs w:val="24"/>
        </w:rPr>
        <w:t>religious turn</w:t>
      </w:r>
      <w:r>
        <w:rPr>
          <w:rFonts w:ascii="Times" w:hAnsi="Times"/>
          <w:sz w:val="24"/>
          <w:szCs w:val="24"/>
        </w:rPr>
        <w:t xml:space="preserve"> of the nineties and aughts</w:t>
      </w:r>
      <w:r w:rsidR="00EB23D6" w:rsidRPr="00F06457">
        <w:rPr>
          <w:rFonts w:ascii="Times" w:hAnsi="Times"/>
          <w:sz w:val="24"/>
          <w:szCs w:val="24"/>
        </w:rPr>
        <w:t xml:space="preserve"> </w:t>
      </w:r>
      <w:r w:rsidR="00EB23D6">
        <w:rPr>
          <w:rFonts w:ascii="Times" w:hAnsi="Times"/>
          <w:sz w:val="24"/>
          <w:szCs w:val="24"/>
        </w:rPr>
        <w:t>has</w:t>
      </w:r>
      <w:r>
        <w:rPr>
          <w:rFonts w:ascii="Times" w:hAnsi="Times"/>
          <w:sz w:val="24"/>
          <w:szCs w:val="24"/>
        </w:rPr>
        <w:t xml:space="preserve"> </w:t>
      </w:r>
      <w:r w:rsidR="00B1007A">
        <w:rPr>
          <w:rFonts w:ascii="Times" w:hAnsi="Times"/>
          <w:sz w:val="24"/>
          <w:szCs w:val="24"/>
        </w:rPr>
        <w:t>generated</w:t>
      </w:r>
      <w:r w:rsidR="00EB23D6">
        <w:rPr>
          <w:rFonts w:ascii="Times" w:hAnsi="Times"/>
          <w:sz w:val="24"/>
          <w:szCs w:val="24"/>
        </w:rPr>
        <w:t xml:space="preserve"> a</w:t>
      </w:r>
      <w:r w:rsidR="00421896">
        <w:rPr>
          <w:rFonts w:ascii="Times" w:hAnsi="Times"/>
          <w:sz w:val="24"/>
          <w:szCs w:val="24"/>
        </w:rPr>
        <w:t xml:space="preserve">n </w:t>
      </w:r>
      <w:r w:rsidR="00F23DCE">
        <w:rPr>
          <w:rFonts w:ascii="Times" w:hAnsi="Times"/>
          <w:sz w:val="24"/>
          <w:szCs w:val="24"/>
        </w:rPr>
        <w:t xml:space="preserve">ongoing body </w:t>
      </w:r>
      <w:r w:rsidR="00EB23D6">
        <w:rPr>
          <w:rFonts w:ascii="Times" w:hAnsi="Times"/>
          <w:sz w:val="24"/>
          <w:szCs w:val="24"/>
        </w:rPr>
        <w:t xml:space="preserve">of </w:t>
      </w:r>
      <w:r w:rsidR="00B1007A">
        <w:rPr>
          <w:rFonts w:ascii="Times" w:hAnsi="Times"/>
          <w:sz w:val="24"/>
          <w:szCs w:val="24"/>
        </w:rPr>
        <w:t>scholarship</w:t>
      </w:r>
      <w:r w:rsidR="00EB23D6">
        <w:rPr>
          <w:rFonts w:ascii="Times" w:hAnsi="Times"/>
          <w:sz w:val="24"/>
          <w:szCs w:val="24"/>
        </w:rPr>
        <w:t xml:space="preserve"> on</w:t>
      </w:r>
      <w:r w:rsidR="00EB23D6" w:rsidRPr="00F06457">
        <w:rPr>
          <w:rFonts w:ascii="Times" w:hAnsi="Times"/>
          <w:sz w:val="24"/>
          <w:szCs w:val="24"/>
        </w:rPr>
        <w:t xml:space="preserve"> </w:t>
      </w:r>
      <w:r w:rsidR="00EB23D6">
        <w:rPr>
          <w:rFonts w:ascii="Times" w:hAnsi="Times"/>
          <w:sz w:val="24"/>
          <w:szCs w:val="24"/>
        </w:rPr>
        <w:t>literature and religion</w:t>
      </w:r>
      <w:r w:rsidR="00CC4766">
        <w:rPr>
          <w:rFonts w:ascii="Times" w:hAnsi="Times"/>
          <w:sz w:val="24"/>
          <w:szCs w:val="24"/>
        </w:rPr>
        <w:t xml:space="preserve"> </w:t>
      </w:r>
      <w:r w:rsidR="00EB23D6">
        <w:rPr>
          <w:rFonts w:ascii="Times" w:hAnsi="Times"/>
          <w:sz w:val="24"/>
          <w:szCs w:val="24"/>
        </w:rPr>
        <w:t xml:space="preserve">too extensive to </w:t>
      </w:r>
      <w:r w:rsidR="00CC4766">
        <w:rPr>
          <w:rFonts w:ascii="Times" w:hAnsi="Times"/>
          <w:sz w:val="24"/>
          <w:szCs w:val="24"/>
        </w:rPr>
        <w:t>enumerate</w:t>
      </w:r>
      <w:r w:rsidR="00EB23D6" w:rsidRPr="00F06457">
        <w:rPr>
          <w:rFonts w:ascii="Times" w:hAnsi="Times"/>
          <w:sz w:val="24"/>
          <w:szCs w:val="24"/>
        </w:rPr>
        <w:t xml:space="preserve">. </w:t>
      </w:r>
      <w:r w:rsidR="00CC4766">
        <w:rPr>
          <w:rFonts w:ascii="Times" w:hAnsi="Times"/>
          <w:sz w:val="24"/>
          <w:szCs w:val="24"/>
        </w:rPr>
        <w:t>Noteworthy books have been published by contributors to</w:t>
      </w:r>
      <w:r w:rsidR="00EB23D6" w:rsidRPr="00F06457">
        <w:rPr>
          <w:rFonts w:ascii="Times" w:hAnsi="Times"/>
          <w:sz w:val="24"/>
          <w:szCs w:val="24"/>
        </w:rPr>
        <w:t xml:space="preserve"> this </w:t>
      </w:r>
      <w:r>
        <w:rPr>
          <w:rFonts w:ascii="Times" w:hAnsi="Times"/>
          <w:sz w:val="24"/>
          <w:szCs w:val="24"/>
        </w:rPr>
        <w:t>very</w:t>
      </w:r>
      <w:r w:rsidR="00EB23D6" w:rsidRPr="00F06457">
        <w:rPr>
          <w:rFonts w:ascii="Times" w:hAnsi="Times"/>
          <w:sz w:val="24"/>
          <w:szCs w:val="24"/>
        </w:rPr>
        <w:t xml:space="preserve"> issue of </w:t>
      </w:r>
      <w:r w:rsidR="00EB23D6" w:rsidRPr="00F06457">
        <w:rPr>
          <w:rFonts w:ascii="Times" w:hAnsi="Times"/>
          <w:i/>
          <w:iCs/>
          <w:sz w:val="24"/>
          <w:szCs w:val="24"/>
        </w:rPr>
        <w:t>MLQ</w:t>
      </w:r>
      <w:r w:rsidR="00962107">
        <w:rPr>
          <w:rFonts w:ascii="Times" w:hAnsi="Times"/>
          <w:sz w:val="24"/>
          <w:szCs w:val="24"/>
        </w:rPr>
        <w:t>, for instance. A</w:t>
      </w:r>
      <w:r w:rsidR="00EB23D6" w:rsidRPr="00F06457">
        <w:rPr>
          <w:rFonts w:ascii="Times" w:hAnsi="Times"/>
          <w:sz w:val="24"/>
          <w:szCs w:val="24"/>
        </w:rPr>
        <w:t xml:space="preserve"> further sampling </w:t>
      </w:r>
      <w:r w:rsidR="00EB23D6">
        <w:rPr>
          <w:rFonts w:ascii="Times" w:hAnsi="Times"/>
          <w:sz w:val="24"/>
          <w:szCs w:val="24"/>
        </w:rPr>
        <w:t xml:space="preserve">of scholarship from the interdisciplinary </w:t>
      </w:r>
      <w:r w:rsidR="00B1007A">
        <w:rPr>
          <w:rFonts w:ascii="Times" w:hAnsi="Times"/>
          <w:sz w:val="24"/>
          <w:szCs w:val="24"/>
        </w:rPr>
        <w:t>field</w:t>
      </w:r>
      <w:r w:rsidR="00EB23D6">
        <w:rPr>
          <w:rFonts w:ascii="Times" w:hAnsi="Times"/>
          <w:sz w:val="24"/>
          <w:szCs w:val="24"/>
        </w:rPr>
        <w:t xml:space="preserve"> of literature and religion </w:t>
      </w:r>
      <w:r w:rsidR="00EB23D6" w:rsidRPr="00F06457">
        <w:rPr>
          <w:rFonts w:ascii="Times" w:hAnsi="Times"/>
          <w:sz w:val="24"/>
          <w:szCs w:val="24"/>
        </w:rPr>
        <w:t>can be found in Susan Felch</w:t>
      </w:r>
      <w:r w:rsidR="00962107">
        <w:rPr>
          <w:rFonts w:ascii="Times" w:hAnsi="Times"/>
          <w:sz w:val="24"/>
          <w:szCs w:val="24"/>
        </w:rPr>
        <w:t>’s</w:t>
      </w:r>
      <w:r w:rsidR="00EB23D6" w:rsidRPr="00F06457">
        <w:rPr>
          <w:rFonts w:ascii="Times" w:hAnsi="Times"/>
          <w:sz w:val="24"/>
          <w:szCs w:val="24"/>
        </w:rPr>
        <w:t xml:space="preserve"> </w:t>
      </w:r>
      <w:r w:rsidR="00EB23D6" w:rsidRPr="00F06457">
        <w:rPr>
          <w:rFonts w:ascii="Times" w:hAnsi="Times"/>
          <w:i/>
          <w:iCs/>
          <w:sz w:val="24"/>
          <w:szCs w:val="24"/>
        </w:rPr>
        <w:t>The Cambridge Companion to Litera</w:t>
      </w:r>
      <w:r w:rsidR="00EB23D6">
        <w:rPr>
          <w:rFonts w:ascii="Times" w:hAnsi="Times"/>
          <w:i/>
          <w:iCs/>
          <w:sz w:val="24"/>
          <w:szCs w:val="24"/>
        </w:rPr>
        <w:t>tu</w:t>
      </w:r>
      <w:r w:rsidR="00EB23D6" w:rsidRPr="00F06457">
        <w:rPr>
          <w:rFonts w:ascii="Times" w:hAnsi="Times"/>
          <w:i/>
          <w:iCs/>
          <w:sz w:val="24"/>
          <w:szCs w:val="24"/>
        </w:rPr>
        <w:t>re and Religion</w:t>
      </w:r>
      <w:r w:rsidR="00EB23D6" w:rsidRPr="00F06457">
        <w:rPr>
          <w:rFonts w:ascii="Times" w:hAnsi="Times"/>
          <w:sz w:val="24"/>
          <w:szCs w:val="24"/>
        </w:rPr>
        <w:t xml:space="preserve"> (2016) and Mark Knight</w:t>
      </w:r>
      <w:r w:rsidR="00962107">
        <w:rPr>
          <w:rFonts w:ascii="Times" w:hAnsi="Times"/>
          <w:sz w:val="24"/>
          <w:szCs w:val="24"/>
        </w:rPr>
        <w:t>’s</w:t>
      </w:r>
      <w:r w:rsidR="00EB23D6" w:rsidRPr="00F06457">
        <w:rPr>
          <w:rFonts w:ascii="Times" w:hAnsi="Times"/>
          <w:sz w:val="24"/>
          <w:szCs w:val="24"/>
        </w:rPr>
        <w:t xml:space="preserve"> </w:t>
      </w:r>
      <w:r w:rsidR="00EB23D6" w:rsidRPr="00F06457">
        <w:rPr>
          <w:rFonts w:ascii="Times" w:hAnsi="Times"/>
          <w:i/>
          <w:iCs/>
          <w:sz w:val="24"/>
          <w:szCs w:val="24"/>
        </w:rPr>
        <w:t>The Routledge Companion to Literature and Religion</w:t>
      </w:r>
      <w:r w:rsidR="00EB23D6" w:rsidRPr="00F06457">
        <w:rPr>
          <w:rFonts w:ascii="Times" w:hAnsi="Times"/>
          <w:sz w:val="24"/>
          <w:szCs w:val="24"/>
        </w:rPr>
        <w:t xml:space="preserve">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8B2F9" w14:textId="77777777" w:rsidR="00A37329" w:rsidRDefault="00A37329" w:rsidP="0052226F">
      <w:r>
        <w:separator/>
      </w:r>
    </w:p>
  </w:footnote>
  <w:footnote w:type="continuationSeparator" w:id="0">
    <w:p w14:paraId="4325AF74" w14:textId="77777777" w:rsidR="00A37329" w:rsidRDefault="00A37329" w:rsidP="00522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hideGrammaticalErrors/>
  <w:proofState w:spelling="clean" w:grammar="clean"/>
  <w:defaultTabStop w:val="720"/>
  <w:characterSpacingControl w:val="doNotCompres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80"/>
    <w:rsid w:val="00007064"/>
    <w:rsid w:val="0001126A"/>
    <w:rsid w:val="00026647"/>
    <w:rsid w:val="00075ED5"/>
    <w:rsid w:val="000767BF"/>
    <w:rsid w:val="0009120B"/>
    <w:rsid w:val="000B1F20"/>
    <w:rsid w:val="000D04A4"/>
    <w:rsid w:val="000D4C28"/>
    <w:rsid w:val="000F78D9"/>
    <w:rsid w:val="00101B0C"/>
    <w:rsid w:val="001041C4"/>
    <w:rsid w:val="00116DD6"/>
    <w:rsid w:val="00143027"/>
    <w:rsid w:val="00144038"/>
    <w:rsid w:val="001624E7"/>
    <w:rsid w:val="00173655"/>
    <w:rsid w:val="001C38EF"/>
    <w:rsid w:val="001E4B45"/>
    <w:rsid w:val="001E5205"/>
    <w:rsid w:val="001F3F58"/>
    <w:rsid w:val="001F6095"/>
    <w:rsid w:val="00213B7A"/>
    <w:rsid w:val="0025376B"/>
    <w:rsid w:val="00253CAA"/>
    <w:rsid w:val="00260382"/>
    <w:rsid w:val="00265C69"/>
    <w:rsid w:val="002836B6"/>
    <w:rsid w:val="002845C4"/>
    <w:rsid w:val="002943B1"/>
    <w:rsid w:val="00296A77"/>
    <w:rsid w:val="002B76B5"/>
    <w:rsid w:val="002D7E79"/>
    <w:rsid w:val="002F36E2"/>
    <w:rsid w:val="00304877"/>
    <w:rsid w:val="0030764C"/>
    <w:rsid w:val="00332B85"/>
    <w:rsid w:val="00341291"/>
    <w:rsid w:val="00341BE7"/>
    <w:rsid w:val="00362760"/>
    <w:rsid w:val="003679B2"/>
    <w:rsid w:val="00386167"/>
    <w:rsid w:val="00391C67"/>
    <w:rsid w:val="003A51E5"/>
    <w:rsid w:val="003B0FB0"/>
    <w:rsid w:val="003B5947"/>
    <w:rsid w:val="003C033D"/>
    <w:rsid w:val="003E1662"/>
    <w:rsid w:val="003F57EA"/>
    <w:rsid w:val="003F6A4C"/>
    <w:rsid w:val="00410348"/>
    <w:rsid w:val="004123E7"/>
    <w:rsid w:val="0041610E"/>
    <w:rsid w:val="00416276"/>
    <w:rsid w:val="00421896"/>
    <w:rsid w:val="00423C6E"/>
    <w:rsid w:val="00494B17"/>
    <w:rsid w:val="004B58C8"/>
    <w:rsid w:val="004D2C28"/>
    <w:rsid w:val="004D73C0"/>
    <w:rsid w:val="00500B90"/>
    <w:rsid w:val="0052226F"/>
    <w:rsid w:val="00530CC0"/>
    <w:rsid w:val="00563DD0"/>
    <w:rsid w:val="00566465"/>
    <w:rsid w:val="00582BAD"/>
    <w:rsid w:val="005A50BE"/>
    <w:rsid w:val="005B74C2"/>
    <w:rsid w:val="005C1550"/>
    <w:rsid w:val="005D0C31"/>
    <w:rsid w:val="005F0174"/>
    <w:rsid w:val="006171AC"/>
    <w:rsid w:val="00635080"/>
    <w:rsid w:val="00671903"/>
    <w:rsid w:val="00756C17"/>
    <w:rsid w:val="00792A93"/>
    <w:rsid w:val="007A5C41"/>
    <w:rsid w:val="007C2C49"/>
    <w:rsid w:val="008001C3"/>
    <w:rsid w:val="008066F7"/>
    <w:rsid w:val="0082299B"/>
    <w:rsid w:val="00861B3F"/>
    <w:rsid w:val="008934BD"/>
    <w:rsid w:val="00895EEF"/>
    <w:rsid w:val="008D0744"/>
    <w:rsid w:val="008D11B1"/>
    <w:rsid w:val="008E0A5F"/>
    <w:rsid w:val="00907B2C"/>
    <w:rsid w:val="00911716"/>
    <w:rsid w:val="009121FD"/>
    <w:rsid w:val="009271A8"/>
    <w:rsid w:val="00937808"/>
    <w:rsid w:val="00957413"/>
    <w:rsid w:val="00962107"/>
    <w:rsid w:val="00991703"/>
    <w:rsid w:val="009B453C"/>
    <w:rsid w:val="00A05035"/>
    <w:rsid w:val="00A245BC"/>
    <w:rsid w:val="00A30E98"/>
    <w:rsid w:val="00A33E6B"/>
    <w:rsid w:val="00A37329"/>
    <w:rsid w:val="00A41B00"/>
    <w:rsid w:val="00A67BEE"/>
    <w:rsid w:val="00A9323F"/>
    <w:rsid w:val="00AC645B"/>
    <w:rsid w:val="00AD746E"/>
    <w:rsid w:val="00AE5EC1"/>
    <w:rsid w:val="00AF3D17"/>
    <w:rsid w:val="00AF54B8"/>
    <w:rsid w:val="00B1007A"/>
    <w:rsid w:val="00B163C8"/>
    <w:rsid w:val="00B344F5"/>
    <w:rsid w:val="00B57F79"/>
    <w:rsid w:val="00B70076"/>
    <w:rsid w:val="00B827A9"/>
    <w:rsid w:val="00B97EDD"/>
    <w:rsid w:val="00BA57B7"/>
    <w:rsid w:val="00BD56C4"/>
    <w:rsid w:val="00C16D77"/>
    <w:rsid w:val="00C32633"/>
    <w:rsid w:val="00C6008B"/>
    <w:rsid w:val="00C649A5"/>
    <w:rsid w:val="00C66C26"/>
    <w:rsid w:val="00C70373"/>
    <w:rsid w:val="00C874E2"/>
    <w:rsid w:val="00CA2CA1"/>
    <w:rsid w:val="00CC4766"/>
    <w:rsid w:val="00CD17F4"/>
    <w:rsid w:val="00D065EE"/>
    <w:rsid w:val="00D24D34"/>
    <w:rsid w:val="00D25355"/>
    <w:rsid w:val="00D30945"/>
    <w:rsid w:val="00D33AE1"/>
    <w:rsid w:val="00D53A5F"/>
    <w:rsid w:val="00D63BFD"/>
    <w:rsid w:val="00DC7B82"/>
    <w:rsid w:val="00DD4528"/>
    <w:rsid w:val="00DF4A87"/>
    <w:rsid w:val="00E0714E"/>
    <w:rsid w:val="00E0738C"/>
    <w:rsid w:val="00E13F17"/>
    <w:rsid w:val="00E2750C"/>
    <w:rsid w:val="00E81299"/>
    <w:rsid w:val="00E92379"/>
    <w:rsid w:val="00EB0586"/>
    <w:rsid w:val="00EB23D6"/>
    <w:rsid w:val="00EB4DBA"/>
    <w:rsid w:val="00EC1E80"/>
    <w:rsid w:val="00EC6997"/>
    <w:rsid w:val="00ED1CC1"/>
    <w:rsid w:val="00EF4C7A"/>
    <w:rsid w:val="00EF6048"/>
    <w:rsid w:val="00F03180"/>
    <w:rsid w:val="00F06563"/>
    <w:rsid w:val="00F23DCE"/>
    <w:rsid w:val="00F246C8"/>
    <w:rsid w:val="00F53C1F"/>
    <w:rsid w:val="00F550AD"/>
    <w:rsid w:val="00F73D31"/>
    <w:rsid w:val="00FB697A"/>
    <w:rsid w:val="00FE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2896DFA"/>
  <w15:chartTrackingRefBased/>
  <w15:docId w15:val="{35C9E5E0-D973-5E41-B99D-E5E00D4B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5080"/>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CA2CA1"/>
  </w:style>
  <w:style w:type="character" w:styleId="CommentReference">
    <w:name w:val="annotation reference"/>
    <w:basedOn w:val="DefaultParagraphFont"/>
    <w:uiPriority w:val="99"/>
    <w:semiHidden/>
    <w:unhideWhenUsed/>
    <w:rsid w:val="000767BF"/>
    <w:rPr>
      <w:sz w:val="16"/>
      <w:szCs w:val="16"/>
    </w:rPr>
  </w:style>
  <w:style w:type="paragraph" w:styleId="CommentText">
    <w:name w:val="annotation text"/>
    <w:basedOn w:val="Normal"/>
    <w:link w:val="CommentTextChar"/>
    <w:uiPriority w:val="99"/>
    <w:semiHidden/>
    <w:unhideWhenUsed/>
    <w:rsid w:val="000767BF"/>
    <w:rPr>
      <w:sz w:val="20"/>
      <w:szCs w:val="20"/>
    </w:rPr>
  </w:style>
  <w:style w:type="character" w:customStyle="1" w:styleId="CommentTextChar">
    <w:name w:val="Comment Text Char"/>
    <w:basedOn w:val="DefaultParagraphFont"/>
    <w:link w:val="CommentText"/>
    <w:uiPriority w:val="99"/>
    <w:semiHidden/>
    <w:rsid w:val="000767BF"/>
    <w:rPr>
      <w:sz w:val="20"/>
      <w:szCs w:val="20"/>
    </w:rPr>
  </w:style>
  <w:style w:type="paragraph" w:styleId="CommentSubject">
    <w:name w:val="annotation subject"/>
    <w:basedOn w:val="CommentText"/>
    <w:next w:val="CommentText"/>
    <w:link w:val="CommentSubjectChar"/>
    <w:uiPriority w:val="99"/>
    <w:semiHidden/>
    <w:unhideWhenUsed/>
    <w:rsid w:val="000767BF"/>
    <w:rPr>
      <w:b/>
      <w:bCs/>
    </w:rPr>
  </w:style>
  <w:style w:type="character" w:customStyle="1" w:styleId="CommentSubjectChar">
    <w:name w:val="Comment Subject Char"/>
    <w:basedOn w:val="CommentTextChar"/>
    <w:link w:val="CommentSubject"/>
    <w:uiPriority w:val="99"/>
    <w:semiHidden/>
    <w:rsid w:val="000767BF"/>
    <w:rPr>
      <w:b/>
      <w:bCs/>
      <w:sz w:val="20"/>
      <w:szCs w:val="20"/>
    </w:rPr>
  </w:style>
  <w:style w:type="paragraph" w:styleId="EndnoteText">
    <w:name w:val="endnote text"/>
    <w:basedOn w:val="Normal"/>
    <w:link w:val="EndnoteTextChar"/>
    <w:uiPriority w:val="99"/>
    <w:semiHidden/>
    <w:unhideWhenUsed/>
    <w:rsid w:val="0052226F"/>
    <w:rPr>
      <w:sz w:val="20"/>
      <w:szCs w:val="20"/>
    </w:rPr>
  </w:style>
  <w:style w:type="character" w:customStyle="1" w:styleId="EndnoteTextChar">
    <w:name w:val="Endnote Text Char"/>
    <w:basedOn w:val="DefaultParagraphFont"/>
    <w:link w:val="EndnoteText"/>
    <w:uiPriority w:val="99"/>
    <w:semiHidden/>
    <w:rsid w:val="0052226F"/>
    <w:rPr>
      <w:sz w:val="20"/>
      <w:szCs w:val="20"/>
    </w:rPr>
  </w:style>
  <w:style w:type="character" w:styleId="EndnoteReference">
    <w:name w:val="endnote reference"/>
    <w:basedOn w:val="DefaultParagraphFont"/>
    <w:uiPriority w:val="99"/>
    <w:semiHidden/>
    <w:unhideWhenUsed/>
    <w:rsid w:val="0052226F"/>
    <w:rPr>
      <w:vertAlign w:val="superscript"/>
    </w:rPr>
  </w:style>
  <w:style w:type="paragraph" w:styleId="FootnoteText">
    <w:name w:val="footnote text"/>
    <w:basedOn w:val="Normal"/>
    <w:link w:val="FootnoteTextChar"/>
    <w:uiPriority w:val="99"/>
    <w:semiHidden/>
    <w:unhideWhenUsed/>
    <w:rsid w:val="00D63BFD"/>
    <w:rPr>
      <w:sz w:val="20"/>
      <w:szCs w:val="20"/>
    </w:rPr>
  </w:style>
  <w:style w:type="character" w:customStyle="1" w:styleId="FootnoteTextChar">
    <w:name w:val="Footnote Text Char"/>
    <w:basedOn w:val="DefaultParagraphFont"/>
    <w:link w:val="FootnoteText"/>
    <w:uiPriority w:val="99"/>
    <w:semiHidden/>
    <w:rsid w:val="00D63BFD"/>
    <w:rPr>
      <w:sz w:val="20"/>
      <w:szCs w:val="20"/>
    </w:rPr>
  </w:style>
  <w:style w:type="character" w:styleId="FootnoteReference">
    <w:name w:val="footnote reference"/>
    <w:basedOn w:val="DefaultParagraphFont"/>
    <w:uiPriority w:val="99"/>
    <w:semiHidden/>
    <w:unhideWhenUsed/>
    <w:rsid w:val="00D63B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334949">
      <w:bodyDiv w:val="1"/>
      <w:marLeft w:val="0"/>
      <w:marRight w:val="0"/>
      <w:marTop w:val="0"/>
      <w:marBottom w:val="0"/>
      <w:divBdr>
        <w:top w:val="none" w:sz="0" w:space="0" w:color="auto"/>
        <w:left w:val="none" w:sz="0" w:space="0" w:color="auto"/>
        <w:bottom w:val="none" w:sz="0" w:space="0" w:color="auto"/>
        <w:right w:val="none" w:sz="0" w:space="0" w:color="auto"/>
      </w:divBdr>
    </w:div>
    <w:div w:id="1078013928">
      <w:bodyDiv w:val="1"/>
      <w:marLeft w:val="0"/>
      <w:marRight w:val="0"/>
      <w:marTop w:val="0"/>
      <w:marBottom w:val="0"/>
      <w:divBdr>
        <w:top w:val="none" w:sz="0" w:space="0" w:color="auto"/>
        <w:left w:val="none" w:sz="0" w:space="0" w:color="auto"/>
        <w:bottom w:val="none" w:sz="0" w:space="0" w:color="auto"/>
        <w:right w:val="none" w:sz="0" w:space="0" w:color="auto"/>
      </w:divBdr>
    </w:div>
    <w:div w:id="184454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Knight, Mark</cp:lastModifiedBy>
  <cp:revision>3</cp:revision>
  <cp:lastPrinted>2022-04-25T17:29:00Z</cp:lastPrinted>
  <dcterms:created xsi:type="dcterms:W3CDTF">2023-03-10T10:58:00Z</dcterms:created>
  <dcterms:modified xsi:type="dcterms:W3CDTF">2023-03-10T10:58:00Z</dcterms:modified>
</cp:coreProperties>
</file>