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E308" w14:textId="4AEA1474" w:rsidR="005435F7" w:rsidRPr="005435F7" w:rsidRDefault="005435F7" w:rsidP="0011697D">
      <w:pPr>
        <w:jc w:val="both"/>
        <w:rPr>
          <w:rFonts w:ascii="Calibri" w:hAnsi="Calibri" w:cs="Calibri"/>
          <w:b/>
          <w:bCs/>
          <w:sz w:val="22"/>
          <w:szCs w:val="22"/>
        </w:rPr>
      </w:pPr>
      <w:r w:rsidRPr="005435F7">
        <w:rPr>
          <w:rFonts w:ascii="Calibri" w:hAnsi="Calibri" w:cs="Calibri"/>
          <w:b/>
          <w:bCs/>
          <w:sz w:val="22"/>
          <w:szCs w:val="22"/>
        </w:rPr>
        <w:t>ARTICLE</w:t>
      </w:r>
    </w:p>
    <w:p w14:paraId="198948F0" w14:textId="77777777" w:rsidR="005435F7" w:rsidRDefault="005435F7" w:rsidP="005435F7">
      <w:pPr>
        <w:rPr>
          <w:rFonts w:ascii="Calibri" w:hAnsi="Calibri" w:cs="Calibri"/>
          <w:b/>
          <w:bCs/>
          <w:sz w:val="22"/>
          <w:szCs w:val="22"/>
          <w:u w:val="single"/>
        </w:rPr>
      </w:pPr>
    </w:p>
    <w:p w14:paraId="621168DA" w14:textId="518A26E4" w:rsidR="007A1C6A" w:rsidRPr="0011697D" w:rsidRDefault="00892008" w:rsidP="0011697D">
      <w:pPr>
        <w:jc w:val="both"/>
        <w:rPr>
          <w:rFonts w:ascii="Calibri" w:hAnsi="Calibri" w:cs="Calibri"/>
          <w:b/>
          <w:bCs/>
          <w:i/>
          <w:iCs/>
          <w:sz w:val="22"/>
          <w:szCs w:val="22"/>
        </w:rPr>
      </w:pPr>
      <w:r w:rsidRPr="0011697D">
        <w:rPr>
          <w:rFonts w:ascii="Calibri" w:hAnsi="Calibri" w:cs="Calibri"/>
          <w:b/>
          <w:bCs/>
          <w:sz w:val="22"/>
          <w:szCs w:val="22"/>
        </w:rPr>
        <w:t>Interdisciplinary Methodological Approaches to Desk-Based Socio-Legal</w:t>
      </w:r>
      <w:r w:rsidR="005D6924">
        <w:rPr>
          <w:rFonts w:ascii="Calibri" w:hAnsi="Calibri" w:cs="Calibri"/>
          <w:b/>
          <w:bCs/>
          <w:sz w:val="22"/>
          <w:szCs w:val="22"/>
        </w:rPr>
        <w:t xml:space="preserve"> Human Rights</w:t>
      </w:r>
      <w:r w:rsidRPr="0011697D">
        <w:rPr>
          <w:rFonts w:ascii="Calibri" w:hAnsi="Calibri" w:cs="Calibri"/>
          <w:b/>
          <w:bCs/>
          <w:sz w:val="22"/>
          <w:szCs w:val="22"/>
        </w:rPr>
        <w:t xml:space="preserve"> Research</w:t>
      </w:r>
    </w:p>
    <w:p w14:paraId="01898403" w14:textId="77777777" w:rsidR="00933A4F" w:rsidRDefault="00933A4F" w:rsidP="007A1C6A">
      <w:pPr>
        <w:rPr>
          <w:rFonts w:ascii="Calibri" w:hAnsi="Calibri" w:cs="Calibri"/>
          <w:sz w:val="22"/>
          <w:szCs w:val="22"/>
          <w:u w:val="single"/>
        </w:rPr>
      </w:pPr>
    </w:p>
    <w:p w14:paraId="729936FC" w14:textId="1E2127A7" w:rsidR="000624E3" w:rsidRPr="00BA0599" w:rsidRDefault="00BA0599" w:rsidP="00BA0599">
      <w:pPr>
        <w:spacing w:after="240"/>
        <w:rPr>
          <w:rFonts w:ascii="Calibri" w:hAnsi="Calibri" w:cs="Calibri"/>
          <w:b/>
          <w:bCs/>
          <w:sz w:val="22"/>
          <w:szCs w:val="22"/>
        </w:rPr>
      </w:pPr>
      <w:r w:rsidRPr="00BA0599">
        <w:rPr>
          <w:rFonts w:ascii="Calibri" w:hAnsi="Calibri" w:cs="Calibri"/>
          <w:b/>
          <w:bCs/>
          <w:sz w:val="22"/>
          <w:szCs w:val="22"/>
        </w:rPr>
        <w:t>Abstract</w:t>
      </w:r>
    </w:p>
    <w:p w14:paraId="73AD73D5" w14:textId="3672B751" w:rsidR="003E70A8" w:rsidRPr="00EA4B4C" w:rsidRDefault="003E70A8" w:rsidP="00536954">
      <w:pPr>
        <w:spacing w:after="240"/>
        <w:ind w:left="720"/>
        <w:jc w:val="both"/>
        <w:rPr>
          <w:i/>
          <w:iCs/>
          <w:color w:val="000000" w:themeColor="text1"/>
          <w:sz w:val="22"/>
          <w:szCs w:val="22"/>
        </w:rPr>
      </w:pPr>
      <w:r w:rsidRPr="00EA4B4C">
        <w:rPr>
          <w:rFonts w:ascii="Calibri" w:hAnsi="Calibri" w:cs="Calibri"/>
          <w:i/>
          <w:iCs/>
          <w:color w:val="000000" w:themeColor="text1"/>
          <w:sz w:val="22"/>
          <w:szCs w:val="22"/>
        </w:rPr>
        <w:t xml:space="preserve">As legal study adopts more interdisciplinary approaches and assimilates with other disciplines such as sociology, politics and business, there is a growing need to pay greater attention to the research methods and methodologies from across the academic spectrum. </w:t>
      </w:r>
      <w:r w:rsidR="007B1626" w:rsidRPr="00EA4B4C">
        <w:rPr>
          <w:rFonts w:ascii="Calibri" w:hAnsi="Calibri" w:cs="Calibri"/>
          <w:i/>
          <w:iCs/>
          <w:color w:val="000000" w:themeColor="text1"/>
          <w:sz w:val="22"/>
          <w:szCs w:val="22"/>
        </w:rPr>
        <w:t>D</w:t>
      </w:r>
      <w:r w:rsidRPr="00EA4B4C">
        <w:rPr>
          <w:rFonts w:ascii="Calibri" w:hAnsi="Calibri" w:cs="Calibri"/>
          <w:i/>
          <w:iCs/>
          <w:color w:val="000000" w:themeColor="text1"/>
          <w:sz w:val="22"/>
          <w:szCs w:val="22"/>
        </w:rPr>
        <w:t>oing so</w:t>
      </w:r>
      <w:r w:rsidR="007B1626" w:rsidRPr="00EA4B4C">
        <w:rPr>
          <w:rFonts w:ascii="Calibri" w:hAnsi="Calibri" w:cs="Calibri"/>
          <w:i/>
          <w:iCs/>
          <w:color w:val="000000" w:themeColor="text1"/>
          <w:sz w:val="22"/>
          <w:szCs w:val="22"/>
        </w:rPr>
        <w:t xml:space="preserve"> creates</w:t>
      </w:r>
      <w:r w:rsidRPr="00EA4B4C">
        <w:rPr>
          <w:rFonts w:ascii="Calibri" w:hAnsi="Calibri" w:cs="Calibri"/>
          <w:i/>
          <w:iCs/>
          <w:color w:val="000000" w:themeColor="text1"/>
          <w:sz w:val="22"/>
          <w:szCs w:val="22"/>
        </w:rPr>
        <w:t xml:space="preserve"> opportunities</w:t>
      </w:r>
      <w:r w:rsidR="00BD4908" w:rsidRPr="00EA4B4C">
        <w:rPr>
          <w:rFonts w:ascii="Calibri" w:hAnsi="Calibri" w:cs="Calibri"/>
          <w:i/>
          <w:iCs/>
          <w:color w:val="000000" w:themeColor="text1"/>
          <w:sz w:val="22"/>
          <w:szCs w:val="22"/>
        </w:rPr>
        <w:t xml:space="preserve"> </w:t>
      </w:r>
      <w:r w:rsidRPr="00EA4B4C">
        <w:rPr>
          <w:rFonts w:ascii="Calibri" w:hAnsi="Calibri" w:cs="Calibri"/>
          <w:i/>
          <w:iCs/>
          <w:color w:val="000000" w:themeColor="text1"/>
          <w:sz w:val="22"/>
          <w:szCs w:val="22"/>
        </w:rPr>
        <w:t>to borrow</w:t>
      </w:r>
      <w:r w:rsidR="007B1626" w:rsidRPr="00EA4B4C">
        <w:rPr>
          <w:rFonts w:ascii="Calibri" w:hAnsi="Calibri" w:cs="Calibri"/>
          <w:i/>
          <w:iCs/>
          <w:color w:val="000000" w:themeColor="text1"/>
          <w:sz w:val="22"/>
          <w:szCs w:val="22"/>
        </w:rPr>
        <w:t xml:space="preserve"> and employ</w:t>
      </w:r>
      <w:r w:rsidRPr="00EA4B4C">
        <w:rPr>
          <w:rFonts w:ascii="Calibri" w:hAnsi="Calibri" w:cs="Calibri"/>
          <w:i/>
          <w:iCs/>
          <w:color w:val="000000" w:themeColor="text1"/>
          <w:sz w:val="22"/>
          <w:szCs w:val="22"/>
        </w:rPr>
        <w:t xml:space="preserve"> methodological </w:t>
      </w:r>
      <w:r w:rsidR="007B1626" w:rsidRPr="00EA4B4C">
        <w:rPr>
          <w:rFonts w:ascii="Calibri" w:hAnsi="Calibri" w:cs="Calibri"/>
          <w:i/>
          <w:iCs/>
          <w:color w:val="000000" w:themeColor="text1"/>
          <w:sz w:val="22"/>
          <w:szCs w:val="22"/>
        </w:rPr>
        <w:t>techniques and insights</w:t>
      </w:r>
      <w:r w:rsidRPr="00EA4B4C">
        <w:rPr>
          <w:rFonts w:ascii="Calibri" w:hAnsi="Calibri" w:cs="Calibri"/>
          <w:i/>
          <w:iCs/>
          <w:color w:val="000000" w:themeColor="text1"/>
          <w:sz w:val="22"/>
          <w:szCs w:val="22"/>
        </w:rPr>
        <w:t xml:space="preserve"> from disciplines</w:t>
      </w:r>
      <w:r w:rsidR="006D14CA" w:rsidRPr="00EA4B4C">
        <w:rPr>
          <w:rFonts w:ascii="Calibri" w:hAnsi="Calibri" w:cs="Calibri"/>
          <w:i/>
          <w:iCs/>
          <w:color w:val="000000" w:themeColor="text1"/>
          <w:sz w:val="22"/>
          <w:szCs w:val="22"/>
        </w:rPr>
        <w:t xml:space="preserve"> across the spectrum of the social sciences</w:t>
      </w:r>
      <w:r w:rsidRPr="00EA4B4C">
        <w:rPr>
          <w:rFonts w:ascii="Calibri" w:hAnsi="Calibri" w:cs="Calibri"/>
          <w:i/>
          <w:iCs/>
          <w:color w:val="000000" w:themeColor="text1"/>
          <w:sz w:val="22"/>
          <w:szCs w:val="22"/>
        </w:rPr>
        <w:t xml:space="preserve">. </w:t>
      </w:r>
      <w:r w:rsidR="00481072" w:rsidRPr="00EA4B4C">
        <w:rPr>
          <w:rFonts w:ascii="Calibri" w:hAnsi="Calibri" w:cs="Calibri"/>
          <w:i/>
          <w:iCs/>
          <w:color w:val="000000" w:themeColor="text1"/>
          <w:sz w:val="22"/>
          <w:szCs w:val="22"/>
        </w:rPr>
        <w:t xml:space="preserve">In this work </w:t>
      </w:r>
      <w:r w:rsidR="00BD4908" w:rsidRPr="00EA4B4C">
        <w:rPr>
          <w:rFonts w:ascii="Calibri" w:hAnsi="Calibri" w:cs="Calibri"/>
          <w:i/>
          <w:iCs/>
          <w:color w:val="000000" w:themeColor="text1"/>
          <w:sz w:val="22"/>
          <w:szCs w:val="22"/>
        </w:rPr>
        <w:t>I</w:t>
      </w:r>
      <w:r w:rsidRPr="00EA4B4C">
        <w:rPr>
          <w:rFonts w:ascii="Calibri" w:hAnsi="Calibri" w:cs="Calibri"/>
          <w:i/>
          <w:iCs/>
          <w:color w:val="000000" w:themeColor="text1"/>
          <w:sz w:val="22"/>
          <w:szCs w:val="22"/>
        </w:rPr>
        <w:t xml:space="preserve"> </w:t>
      </w:r>
      <w:r w:rsidR="00BD4908" w:rsidRPr="00EA4B4C">
        <w:rPr>
          <w:rFonts w:ascii="Calibri" w:hAnsi="Calibri" w:cs="Calibri"/>
          <w:i/>
          <w:iCs/>
          <w:color w:val="000000" w:themeColor="text1"/>
          <w:sz w:val="22"/>
          <w:szCs w:val="22"/>
        </w:rPr>
        <w:t>examine</w:t>
      </w:r>
      <w:r w:rsidRPr="00EA4B4C">
        <w:rPr>
          <w:rFonts w:ascii="Calibri" w:hAnsi="Calibri" w:cs="Calibri"/>
          <w:i/>
          <w:iCs/>
          <w:color w:val="000000" w:themeColor="text1"/>
          <w:sz w:val="22"/>
          <w:szCs w:val="22"/>
        </w:rPr>
        <w:t xml:space="preserve"> how socio-legal methodologies </w:t>
      </w:r>
      <w:r w:rsidR="00876CCD" w:rsidRPr="00EA4B4C">
        <w:rPr>
          <w:rFonts w:ascii="Calibri" w:hAnsi="Calibri" w:cs="Calibri"/>
          <w:i/>
          <w:iCs/>
          <w:color w:val="000000" w:themeColor="text1"/>
          <w:sz w:val="22"/>
          <w:szCs w:val="22"/>
        </w:rPr>
        <w:t>may</w:t>
      </w:r>
      <w:r w:rsidRPr="00EA4B4C">
        <w:rPr>
          <w:rFonts w:ascii="Calibri" w:hAnsi="Calibri" w:cs="Calibri"/>
          <w:i/>
          <w:iCs/>
          <w:color w:val="000000" w:themeColor="text1"/>
          <w:sz w:val="22"/>
          <w:szCs w:val="22"/>
        </w:rPr>
        <w:t xml:space="preserve"> be informed by approaches within the wider </w:t>
      </w:r>
      <w:r w:rsidR="002D4B91" w:rsidRPr="00EA4B4C">
        <w:rPr>
          <w:rFonts w:ascii="Calibri" w:hAnsi="Calibri" w:cs="Calibri"/>
          <w:i/>
          <w:iCs/>
          <w:color w:val="000000" w:themeColor="text1"/>
          <w:sz w:val="22"/>
          <w:szCs w:val="22"/>
        </w:rPr>
        <w:t>social sciences</w:t>
      </w:r>
      <w:r w:rsidRPr="00EA4B4C">
        <w:rPr>
          <w:rFonts w:ascii="Calibri" w:hAnsi="Calibri" w:cs="Calibri"/>
          <w:i/>
          <w:iCs/>
          <w:color w:val="000000" w:themeColor="text1"/>
          <w:sz w:val="22"/>
          <w:szCs w:val="22"/>
        </w:rPr>
        <w:t xml:space="preserve"> and explore </w:t>
      </w:r>
      <w:r w:rsidR="00DE3A9C" w:rsidRPr="00EA4B4C">
        <w:rPr>
          <w:rFonts w:ascii="Calibri" w:hAnsi="Calibri" w:cs="Calibri"/>
          <w:i/>
          <w:iCs/>
          <w:color w:val="000000" w:themeColor="text1"/>
          <w:sz w:val="22"/>
          <w:szCs w:val="22"/>
        </w:rPr>
        <w:t>how</w:t>
      </w:r>
      <w:r w:rsidRPr="00EA4B4C">
        <w:rPr>
          <w:rFonts w:ascii="Calibri" w:hAnsi="Calibri" w:cs="Calibri"/>
          <w:i/>
          <w:iCs/>
          <w:color w:val="000000" w:themeColor="text1"/>
          <w:sz w:val="22"/>
          <w:szCs w:val="22"/>
        </w:rPr>
        <w:t xml:space="preserve"> borrowed elements such as research ethics, </w:t>
      </w:r>
      <w:r w:rsidR="00876CCD" w:rsidRPr="00EA4B4C">
        <w:rPr>
          <w:rFonts w:ascii="Calibri" w:hAnsi="Calibri" w:cs="Calibri"/>
          <w:i/>
          <w:iCs/>
          <w:color w:val="000000" w:themeColor="text1"/>
          <w:sz w:val="22"/>
          <w:szCs w:val="22"/>
        </w:rPr>
        <w:t>reflexivity,</w:t>
      </w:r>
      <w:r w:rsidRPr="00EA4B4C">
        <w:rPr>
          <w:rFonts w:ascii="Calibri" w:hAnsi="Calibri" w:cs="Calibri"/>
          <w:i/>
          <w:iCs/>
          <w:color w:val="000000" w:themeColor="text1"/>
          <w:sz w:val="22"/>
          <w:szCs w:val="22"/>
        </w:rPr>
        <w:t xml:space="preserve"> and positionality, can be understood and </w:t>
      </w:r>
      <w:proofErr w:type="gramStart"/>
      <w:r w:rsidRPr="00EA4B4C">
        <w:rPr>
          <w:rFonts w:ascii="Calibri" w:hAnsi="Calibri" w:cs="Calibri"/>
          <w:i/>
          <w:iCs/>
          <w:color w:val="000000" w:themeColor="text1"/>
          <w:sz w:val="22"/>
          <w:szCs w:val="22"/>
        </w:rPr>
        <w:t>utilized</w:t>
      </w:r>
      <w:proofErr w:type="gramEnd"/>
      <w:r w:rsidRPr="00EA4B4C">
        <w:rPr>
          <w:rFonts w:ascii="Calibri" w:hAnsi="Calibri" w:cs="Calibri"/>
          <w:i/>
          <w:iCs/>
          <w:color w:val="000000" w:themeColor="text1"/>
          <w:sz w:val="22"/>
          <w:szCs w:val="22"/>
        </w:rPr>
        <w:t xml:space="preserve"> within interdisciplinary</w:t>
      </w:r>
      <w:r w:rsidR="00D71492">
        <w:rPr>
          <w:rFonts w:ascii="Calibri" w:hAnsi="Calibri" w:cs="Calibri"/>
          <w:i/>
          <w:iCs/>
          <w:color w:val="000000" w:themeColor="text1"/>
          <w:sz w:val="22"/>
          <w:szCs w:val="22"/>
        </w:rPr>
        <w:t>, desk-based,</w:t>
      </w:r>
      <w:r w:rsidRPr="00EA4B4C">
        <w:rPr>
          <w:rFonts w:ascii="Calibri" w:hAnsi="Calibri" w:cs="Calibri"/>
          <w:i/>
          <w:iCs/>
          <w:color w:val="000000" w:themeColor="text1"/>
          <w:sz w:val="22"/>
          <w:szCs w:val="22"/>
        </w:rPr>
        <w:t xml:space="preserve"> socio-legal research.</w:t>
      </w:r>
      <w:r w:rsidR="00481072" w:rsidRPr="00EA4B4C">
        <w:rPr>
          <w:rFonts w:ascii="Calibri" w:hAnsi="Calibri" w:cs="Calibri"/>
          <w:i/>
          <w:iCs/>
          <w:color w:val="000000" w:themeColor="text1"/>
          <w:sz w:val="22"/>
          <w:szCs w:val="22"/>
        </w:rPr>
        <w:t xml:space="preserve"> I do so </w:t>
      </w:r>
      <w:proofErr w:type="gramStart"/>
      <w:r w:rsidR="00B002D3" w:rsidRPr="00EA4B4C">
        <w:rPr>
          <w:rFonts w:ascii="Calibri" w:hAnsi="Calibri" w:cs="Calibri"/>
          <w:i/>
          <w:iCs/>
          <w:color w:val="000000" w:themeColor="text1"/>
          <w:sz w:val="22"/>
          <w:szCs w:val="22"/>
        </w:rPr>
        <w:t>using</w:t>
      </w:r>
      <w:proofErr w:type="gramEnd"/>
      <w:r w:rsidR="00B002D3" w:rsidRPr="00EA4B4C">
        <w:rPr>
          <w:rFonts w:ascii="Calibri" w:hAnsi="Calibri" w:cs="Calibri"/>
          <w:i/>
          <w:iCs/>
          <w:color w:val="000000" w:themeColor="text1"/>
          <w:sz w:val="22"/>
          <w:szCs w:val="22"/>
        </w:rPr>
        <w:t xml:space="preserve"> the example</w:t>
      </w:r>
      <w:r w:rsidR="00481072" w:rsidRPr="00EA4B4C">
        <w:rPr>
          <w:rFonts w:ascii="Calibri" w:hAnsi="Calibri" w:cs="Calibri"/>
          <w:i/>
          <w:iCs/>
          <w:color w:val="000000" w:themeColor="text1"/>
          <w:sz w:val="22"/>
          <w:szCs w:val="22"/>
        </w:rPr>
        <w:t xml:space="preserve"> </w:t>
      </w:r>
      <w:r w:rsidR="00B002D3" w:rsidRPr="00EA4B4C">
        <w:rPr>
          <w:rFonts w:ascii="Calibri" w:hAnsi="Calibri" w:cs="Calibri"/>
          <w:i/>
          <w:iCs/>
          <w:color w:val="000000" w:themeColor="text1"/>
          <w:sz w:val="22"/>
          <w:szCs w:val="22"/>
        </w:rPr>
        <w:t>of</w:t>
      </w:r>
      <w:r w:rsidR="00481072" w:rsidRPr="00EA4B4C">
        <w:rPr>
          <w:rFonts w:ascii="Calibri" w:hAnsi="Calibri" w:cs="Calibri"/>
          <w:i/>
          <w:iCs/>
          <w:color w:val="000000" w:themeColor="text1"/>
          <w:sz w:val="22"/>
          <w:szCs w:val="22"/>
        </w:rPr>
        <w:t xml:space="preserve"> </w:t>
      </w:r>
      <w:r w:rsidR="00B002D3" w:rsidRPr="00EA4B4C">
        <w:rPr>
          <w:rFonts w:ascii="Calibri" w:hAnsi="Calibri" w:cs="Calibri"/>
          <w:i/>
          <w:iCs/>
          <w:color w:val="000000" w:themeColor="text1"/>
          <w:sz w:val="22"/>
          <w:szCs w:val="22"/>
        </w:rPr>
        <w:t>a project</w:t>
      </w:r>
      <w:r w:rsidR="00E82171" w:rsidRPr="00EA4B4C">
        <w:rPr>
          <w:rFonts w:ascii="Calibri" w:hAnsi="Calibri" w:cs="Calibri"/>
          <w:i/>
          <w:iCs/>
          <w:color w:val="000000" w:themeColor="text1"/>
          <w:sz w:val="22"/>
          <w:szCs w:val="22"/>
        </w:rPr>
        <w:t xml:space="preserve"> </w:t>
      </w:r>
      <w:r w:rsidR="00D71492">
        <w:rPr>
          <w:rFonts w:ascii="Calibri" w:hAnsi="Calibri" w:cs="Calibri"/>
          <w:i/>
          <w:iCs/>
          <w:color w:val="000000" w:themeColor="text1"/>
          <w:sz w:val="22"/>
          <w:szCs w:val="22"/>
        </w:rPr>
        <w:t>examining</w:t>
      </w:r>
      <w:r w:rsidR="00E82171" w:rsidRPr="00EA4B4C">
        <w:rPr>
          <w:rFonts w:ascii="Calibri" w:hAnsi="Calibri" w:cs="Calibri"/>
          <w:i/>
          <w:iCs/>
          <w:color w:val="000000" w:themeColor="text1"/>
          <w:sz w:val="22"/>
          <w:szCs w:val="22"/>
        </w:rPr>
        <w:t xml:space="preserve"> the human rights abuses of pharmaceutical companies. The project sits at the intersection of the fields of human rights</w:t>
      </w:r>
      <w:r w:rsidR="005D6924">
        <w:rPr>
          <w:rFonts w:ascii="Calibri" w:hAnsi="Calibri" w:cs="Calibri"/>
          <w:i/>
          <w:iCs/>
          <w:color w:val="000000" w:themeColor="text1"/>
          <w:sz w:val="22"/>
          <w:szCs w:val="22"/>
        </w:rPr>
        <w:t xml:space="preserve"> (the right to health)</w:t>
      </w:r>
      <w:r w:rsidR="00E82171" w:rsidRPr="00EA4B4C">
        <w:rPr>
          <w:rFonts w:ascii="Calibri" w:hAnsi="Calibri" w:cs="Calibri"/>
          <w:i/>
          <w:iCs/>
          <w:color w:val="000000" w:themeColor="text1"/>
          <w:sz w:val="22"/>
          <w:szCs w:val="22"/>
        </w:rPr>
        <w:t>, socio-legal studies and ‘business and human rights’ research</w:t>
      </w:r>
      <w:r w:rsidR="00357C89" w:rsidRPr="00EA4B4C">
        <w:rPr>
          <w:rFonts w:ascii="Calibri" w:hAnsi="Calibri" w:cs="Calibri"/>
          <w:i/>
          <w:iCs/>
          <w:color w:val="000000" w:themeColor="text1"/>
          <w:sz w:val="22"/>
          <w:szCs w:val="22"/>
        </w:rPr>
        <w:t xml:space="preserve">. It thus serves as a useful example of how </w:t>
      </w:r>
      <w:r w:rsidR="001E1A2F" w:rsidRPr="00EA4B4C">
        <w:rPr>
          <w:rFonts w:ascii="Calibri" w:hAnsi="Calibri" w:cs="Calibri"/>
          <w:i/>
          <w:iCs/>
          <w:color w:val="000000" w:themeColor="text1"/>
          <w:sz w:val="22"/>
          <w:szCs w:val="22"/>
        </w:rPr>
        <w:t xml:space="preserve">those borrowed elements from the wider social sciences can be conceived of and </w:t>
      </w:r>
      <w:proofErr w:type="gramStart"/>
      <w:r w:rsidR="001E1A2F" w:rsidRPr="00EA4B4C">
        <w:rPr>
          <w:rFonts w:ascii="Calibri" w:hAnsi="Calibri" w:cs="Calibri"/>
          <w:i/>
          <w:iCs/>
          <w:color w:val="000000" w:themeColor="text1"/>
          <w:sz w:val="22"/>
          <w:szCs w:val="22"/>
        </w:rPr>
        <w:t>utilised</w:t>
      </w:r>
      <w:proofErr w:type="gramEnd"/>
      <w:r w:rsidR="001E1A2F" w:rsidRPr="00EA4B4C">
        <w:rPr>
          <w:rFonts w:ascii="Calibri" w:hAnsi="Calibri" w:cs="Calibri"/>
          <w:i/>
          <w:iCs/>
          <w:color w:val="000000" w:themeColor="text1"/>
          <w:sz w:val="22"/>
          <w:szCs w:val="22"/>
        </w:rPr>
        <w:t xml:space="preserve"> within interdisciplinary, desk-based</w:t>
      </w:r>
      <w:r w:rsidR="00D71492">
        <w:rPr>
          <w:rFonts w:ascii="Calibri" w:hAnsi="Calibri" w:cs="Calibri"/>
          <w:i/>
          <w:iCs/>
          <w:color w:val="000000" w:themeColor="text1"/>
          <w:sz w:val="22"/>
          <w:szCs w:val="22"/>
        </w:rPr>
        <w:t>,</w:t>
      </w:r>
      <w:r w:rsidR="001E1A2F" w:rsidRPr="00EA4B4C">
        <w:rPr>
          <w:rFonts w:ascii="Calibri" w:hAnsi="Calibri" w:cs="Calibri"/>
          <w:i/>
          <w:iCs/>
          <w:color w:val="000000" w:themeColor="text1"/>
          <w:sz w:val="22"/>
          <w:szCs w:val="22"/>
        </w:rPr>
        <w:t xml:space="preserve"> socio-legal research.</w:t>
      </w:r>
      <w:r w:rsidR="00F220E6" w:rsidRPr="00EA4B4C">
        <w:rPr>
          <w:rFonts w:ascii="Calibri" w:hAnsi="Calibri" w:cs="Calibri"/>
          <w:i/>
          <w:iCs/>
          <w:color w:val="000000" w:themeColor="text1"/>
          <w:sz w:val="22"/>
          <w:szCs w:val="22"/>
        </w:rPr>
        <w:t xml:space="preserve"> </w:t>
      </w:r>
      <w:r w:rsidR="001E1A2F" w:rsidRPr="00EA4B4C">
        <w:rPr>
          <w:rFonts w:ascii="Calibri" w:hAnsi="Calibri" w:cs="Calibri"/>
          <w:i/>
          <w:iCs/>
          <w:color w:val="000000" w:themeColor="text1"/>
          <w:sz w:val="22"/>
          <w:szCs w:val="22"/>
        </w:rPr>
        <w:t xml:space="preserve">It </w:t>
      </w:r>
      <w:proofErr w:type="gramStart"/>
      <w:r w:rsidR="001E1A2F" w:rsidRPr="00EA4B4C">
        <w:rPr>
          <w:rFonts w:ascii="Calibri" w:hAnsi="Calibri" w:cs="Calibri"/>
          <w:i/>
          <w:iCs/>
          <w:color w:val="000000" w:themeColor="text1"/>
          <w:sz w:val="22"/>
          <w:szCs w:val="22"/>
        </w:rPr>
        <w:t>is hoped</w:t>
      </w:r>
      <w:proofErr w:type="gramEnd"/>
      <w:r w:rsidR="001E1A2F" w:rsidRPr="00EA4B4C">
        <w:rPr>
          <w:rFonts w:ascii="Calibri" w:hAnsi="Calibri" w:cs="Calibri"/>
          <w:i/>
          <w:iCs/>
          <w:color w:val="000000" w:themeColor="text1"/>
          <w:sz w:val="22"/>
          <w:szCs w:val="22"/>
        </w:rPr>
        <w:t xml:space="preserve"> that this work will</w:t>
      </w:r>
      <w:r w:rsidR="004C5242" w:rsidRPr="00EA4B4C">
        <w:rPr>
          <w:rFonts w:ascii="Calibri" w:hAnsi="Calibri" w:cs="Calibri"/>
          <w:i/>
          <w:iCs/>
          <w:color w:val="000000" w:themeColor="text1"/>
          <w:sz w:val="22"/>
          <w:szCs w:val="22"/>
        </w:rPr>
        <w:t xml:space="preserve"> </w:t>
      </w:r>
      <w:r w:rsidRPr="00EA4B4C">
        <w:rPr>
          <w:rFonts w:ascii="Calibri" w:hAnsi="Calibri" w:cs="Calibri"/>
          <w:i/>
          <w:iCs/>
          <w:color w:val="000000" w:themeColor="text1"/>
          <w:sz w:val="22"/>
          <w:szCs w:val="22"/>
        </w:rPr>
        <w:t xml:space="preserve">serve as </w:t>
      </w:r>
      <w:r w:rsidR="00D71492">
        <w:rPr>
          <w:rFonts w:ascii="Calibri" w:hAnsi="Calibri" w:cs="Calibri"/>
          <w:i/>
          <w:iCs/>
          <w:color w:val="000000" w:themeColor="text1"/>
          <w:sz w:val="22"/>
          <w:szCs w:val="22"/>
        </w:rPr>
        <w:t>an example to</w:t>
      </w:r>
      <w:r w:rsidR="00EA4B4C" w:rsidRPr="00EA4B4C">
        <w:rPr>
          <w:rFonts w:ascii="Calibri" w:hAnsi="Calibri" w:cs="Calibri"/>
          <w:i/>
          <w:iCs/>
          <w:color w:val="000000" w:themeColor="text1"/>
          <w:sz w:val="22"/>
          <w:szCs w:val="22"/>
        </w:rPr>
        <w:t xml:space="preserve"> </w:t>
      </w:r>
      <w:r w:rsidRPr="00EA4B4C">
        <w:rPr>
          <w:rFonts w:ascii="Calibri" w:hAnsi="Calibri" w:cs="Calibri"/>
          <w:i/>
          <w:iCs/>
          <w:color w:val="000000" w:themeColor="text1"/>
          <w:sz w:val="22"/>
          <w:szCs w:val="22"/>
        </w:rPr>
        <w:t xml:space="preserve">those looking to incorporate a more interdisciplinary approach towards the study of law </w:t>
      </w:r>
      <w:r w:rsidR="00673078" w:rsidRPr="00EA4B4C">
        <w:rPr>
          <w:rFonts w:ascii="Calibri" w:hAnsi="Calibri" w:cs="Calibri"/>
          <w:i/>
          <w:iCs/>
          <w:color w:val="000000" w:themeColor="text1"/>
          <w:sz w:val="22"/>
          <w:szCs w:val="22"/>
        </w:rPr>
        <w:t>using</w:t>
      </w:r>
      <w:r w:rsidRPr="00EA4B4C">
        <w:rPr>
          <w:rFonts w:ascii="Calibri" w:hAnsi="Calibri" w:cs="Calibri"/>
          <w:i/>
          <w:iCs/>
          <w:color w:val="000000" w:themeColor="text1"/>
          <w:sz w:val="22"/>
          <w:szCs w:val="22"/>
        </w:rPr>
        <w:t xml:space="preserve"> methodological techniques found across the social sciences</w:t>
      </w:r>
      <w:r w:rsidRPr="00EA4B4C">
        <w:rPr>
          <w:i/>
          <w:iCs/>
          <w:color w:val="000000" w:themeColor="text1"/>
          <w:sz w:val="22"/>
          <w:szCs w:val="22"/>
        </w:rPr>
        <w:t>.</w:t>
      </w:r>
    </w:p>
    <w:p w14:paraId="272012D5" w14:textId="314A09C2" w:rsidR="0011697D" w:rsidRPr="001D4D1F" w:rsidRDefault="00D11144" w:rsidP="000667DD">
      <w:pPr>
        <w:spacing w:after="240"/>
        <w:jc w:val="both"/>
        <w:rPr>
          <w:sz w:val="22"/>
          <w:szCs w:val="22"/>
        </w:rPr>
      </w:pPr>
      <w:r>
        <w:rPr>
          <w:b/>
          <w:bCs/>
          <w:sz w:val="22"/>
          <w:szCs w:val="22"/>
        </w:rPr>
        <w:t xml:space="preserve">Keywords: </w:t>
      </w:r>
      <w:r w:rsidR="00F03EE6">
        <w:rPr>
          <w:sz w:val="22"/>
          <w:szCs w:val="22"/>
        </w:rPr>
        <w:t>Positionality, Reflexivity</w:t>
      </w:r>
      <w:r w:rsidR="004C5242">
        <w:rPr>
          <w:sz w:val="22"/>
          <w:szCs w:val="22"/>
        </w:rPr>
        <w:t xml:space="preserve">, </w:t>
      </w:r>
      <w:r w:rsidR="00640CE8">
        <w:rPr>
          <w:sz w:val="22"/>
          <w:szCs w:val="22"/>
        </w:rPr>
        <w:t xml:space="preserve">Socio-legal </w:t>
      </w:r>
      <w:r w:rsidR="005D6924">
        <w:rPr>
          <w:sz w:val="22"/>
          <w:szCs w:val="22"/>
        </w:rPr>
        <w:t xml:space="preserve">human rights </w:t>
      </w:r>
      <w:r w:rsidR="00640CE8">
        <w:rPr>
          <w:sz w:val="22"/>
          <w:szCs w:val="22"/>
        </w:rPr>
        <w:t>research</w:t>
      </w:r>
      <w:r w:rsidR="004C5242">
        <w:rPr>
          <w:sz w:val="22"/>
          <w:szCs w:val="22"/>
        </w:rPr>
        <w:t>, Right to Health</w:t>
      </w:r>
      <w:r w:rsidR="00BA0599">
        <w:rPr>
          <w:sz w:val="22"/>
          <w:szCs w:val="22"/>
        </w:rPr>
        <w:t>.</w:t>
      </w:r>
    </w:p>
    <w:p w14:paraId="0FE8FA40" w14:textId="459FB3D8" w:rsidR="000368C4" w:rsidRPr="00536954" w:rsidRDefault="00536954" w:rsidP="00536954">
      <w:pPr>
        <w:pStyle w:val="ListParagraph"/>
        <w:numPr>
          <w:ilvl w:val="0"/>
          <w:numId w:val="6"/>
        </w:numPr>
        <w:tabs>
          <w:tab w:val="left" w:pos="3536"/>
          <w:tab w:val="center" w:pos="4510"/>
        </w:tabs>
        <w:spacing w:after="240"/>
        <w:rPr>
          <w:rFonts w:ascii="Calibri" w:hAnsi="Calibri" w:cs="Calibri"/>
          <w:b/>
          <w:bCs/>
          <w:sz w:val="22"/>
          <w:szCs w:val="22"/>
        </w:rPr>
      </w:pPr>
      <w:r w:rsidRPr="00536954">
        <w:rPr>
          <w:rFonts w:ascii="Calibri" w:hAnsi="Calibri" w:cs="Calibri"/>
          <w:b/>
          <w:bCs/>
          <w:sz w:val="22"/>
          <w:szCs w:val="22"/>
        </w:rPr>
        <w:t>Introduction</w:t>
      </w:r>
    </w:p>
    <w:p w14:paraId="5A1897C7" w14:textId="5C795584" w:rsidR="00953DB8" w:rsidRDefault="009D6195" w:rsidP="00FF525C">
      <w:pPr>
        <w:jc w:val="both"/>
        <w:rPr>
          <w:rFonts w:ascii="Calibri" w:hAnsi="Calibri" w:cs="Calibri"/>
          <w:sz w:val="22"/>
          <w:szCs w:val="22"/>
        </w:rPr>
      </w:pPr>
      <w:r w:rsidRPr="00136F3A">
        <w:rPr>
          <w:rFonts w:ascii="Calibri" w:hAnsi="Calibri" w:cs="Calibri"/>
          <w:sz w:val="22"/>
          <w:szCs w:val="22"/>
        </w:rPr>
        <w:t xml:space="preserve">The </w:t>
      </w:r>
      <w:r w:rsidR="002A1F57" w:rsidRPr="00136F3A">
        <w:rPr>
          <w:rFonts w:ascii="Calibri" w:hAnsi="Calibri" w:cs="Calibri"/>
          <w:sz w:val="22"/>
          <w:szCs w:val="22"/>
        </w:rPr>
        <w:t xml:space="preserve">critical exploration of methodologies and methods are rare </w:t>
      </w:r>
      <w:r w:rsidR="00886511">
        <w:rPr>
          <w:rFonts w:ascii="Calibri" w:hAnsi="Calibri" w:cs="Calibri"/>
          <w:sz w:val="22"/>
          <w:szCs w:val="22"/>
        </w:rPr>
        <w:t>with</w:t>
      </w:r>
      <w:r w:rsidR="002A1F57" w:rsidRPr="00136F3A">
        <w:rPr>
          <w:rFonts w:ascii="Calibri" w:hAnsi="Calibri" w:cs="Calibri"/>
          <w:sz w:val="22"/>
          <w:szCs w:val="22"/>
        </w:rPr>
        <w:t>in traditional legal scholarship</w:t>
      </w:r>
      <w:r w:rsidR="00CE2850" w:rsidRPr="00136F3A">
        <w:rPr>
          <w:rFonts w:ascii="Calibri" w:hAnsi="Calibri" w:cs="Calibri"/>
          <w:sz w:val="22"/>
          <w:szCs w:val="22"/>
        </w:rPr>
        <w:t xml:space="preserve"> </w:t>
      </w:r>
      <w:r w:rsidR="00CE2850"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{"citationItems":[{"id":"ITEM-1","itemData":{"abstract":"Revised and edited versions of papers presented at a conference at Maastricht University, Maastricht Centre for Human Rights, in November 2007. \"Which criteria can be identified to qualify a piece of human rights research as a methodologically sound piece of work? Are there aspects and considerations that are typical for human rights research? What are good practices in human rights research? The book addresses these questions from the perspective of different scholarly fields relevant for human rights research: law (including international law and criminal law); social sciences (including criminology, political science, comparative politics, international relations and anthropology); and philosophy and history (the humanities).\" \"This book is essential reading for any PhD candidate embarking on a dissertation in the field of human rights and any human rights scholar wishing to critically reflect on the quality of her/his own methods of work.\"--Jacket. A primer / Fons Coomans, Fred Grünfeld and Menno T. Kamminga -- Social science methods and human rights / Todd Landman -- Redefining normative legal science : towards and argumentative discipline / Jan M. Smits -- Human rights studies : on the dangers of legalistic assumptions / David P. Forsythe -- Methods in legal human rights research / Eva Brems -- The need for evidence-based human rights research / Hans-Otto Sano and Hatla Thelle -- Measure for measure : utilizing legal norms and health data in measuring the right to health / Dabney Evans and Megan Price -- Methods in health and human rights research : towards a spiral of co-learning / Maria Stuttaford -- Telling truth? : the methodological challenges of truth commissions / Paul Gready -- Methodological challenges in country of origin research / Marco Formisano -- Treaty interpretation and the social sciences / Koen de Feyter -- Methods of philosophical research on human rights / Andreas Follesdal.","author":[{"dropping-particle":"","family":"Brems","given":"Eva","non-dropping-particle":"","parse-names":false,"suffix":""}],"container-title":"Methods of Human Rights Research","id":"ITEM-1","issued":{"date-parts":[["2009"]]},"page":"77","title":"Methods in Legal Human Rights Research","type":"article-journal"},"locator":"83-84","uris":["http://www.mendeley.com/documents/?uuid=c9490527-de64-4351-8f0a-c601611e6a27"]}],"mendeley":{"formattedCitation":"(Brems, 2009, pp. 83–84)","plainTextFormattedCitation":"(Brems, 2009, pp. 83–84)","previouslyFormattedCitation":"(Brems, 2009, pp. 83–84)"},"properties":{"noteIndex":0},"schema":"https://github.com/citation-style-language/schema/raw/master/csl-citation.json"}</w:instrText>
      </w:r>
      <w:r w:rsidR="00CE2850" w:rsidRPr="00136F3A">
        <w:rPr>
          <w:rFonts w:ascii="Calibri" w:hAnsi="Calibri" w:cs="Calibri"/>
          <w:sz w:val="22"/>
          <w:szCs w:val="22"/>
        </w:rPr>
        <w:fldChar w:fldCharType="separate"/>
      </w:r>
      <w:r w:rsidR="00CE2850" w:rsidRPr="00136F3A">
        <w:rPr>
          <w:rFonts w:ascii="Calibri" w:hAnsi="Calibri" w:cs="Calibri"/>
          <w:noProof/>
          <w:sz w:val="22"/>
          <w:szCs w:val="22"/>
        </w:rPr>
        <w:t>(Brems, 2009, pp. 83–84)</w:t>
      </w:r>
      <w:r w:rsidR="00CE2850" w:rsidRPr="00136F3A">
        <w:rPr>
          <w:rFonts w:ascii="Calibri" w:hAnsi="Calibri" w:cs="Calibri"/>
          <w:sz w:val="22"/>
          <w:szCs w:val="22"/>
        </w:rPr>
        <w:fldChar w:fldCharType="end"/>
      </w:r>
      <w:r w:rsidR="002A1F57" w:rsidRPr="00136F3A">
        <w:rPr>
          <w:rFonts w:ascii="Calibri" w:hAnsi="Calibri" w:cs="Calibri"/>
          <w:sz w:val="22"/>
          <w:szCs w:val="22"/>
        </w:rPr>
        <w:t xml:space="preserve">. </w:t>
      </w:r>
      <w:r w:rsidR="00FB21A7">
        <w:rPr>
          <w:rFonts w:ascii="Calibri" w:hAnsi="Calibri" w:cs="Calibri"/>
          <w:sz w:val="22"/>
          <w:szCs w:val="22"/>
        </w:rPr>
        <w:t>A</w:t>
      </w:r>
      <w:r w:rsidR="002A1F57" w:rsidRPr="00136F3A">
        <w:rPr>
          <w:rFonts w:ascii="Calibri" w:hAnsi="Calibri" w:cs="Calibri"/>
          <w:sz w:val="22"/>
          <w:szCs w:val="22"/>
        </w:rPr>
        <w:t>s legal study assimilates to a greater extent with other disciplines</w:t>
      </w:r>
      <w:r w:rsidR="00071667">
        <w:rPr>
          <w:rFonts w:ascii="Calibri" w:hAnsi="Calibri" w:cs="Calibri"/>
          <w:sz w:val="22"/>
          <w:szCs w:val="22"/>
        </w:rPr>
        <w:t>,</w:t>
      </w:r>
      <w:r w:rsidR="002A1F57" w:rsidRPr="00136F3A">
        <w:rPr>
          <w:rFonts w:ascii="Calibri" w:hAnsi="Calibri" w:cs="Calibri"/>
          <w:sz w:val="22"/>
          <w:szCs w:val="22"/>
        </w:rPr>
        <w:t xml:space="preserve"> the </w:t>
      </w:r>
      <w:r w:rsidR="00886511">
        <w:rPr>
          <w:rFonts w:ascii="Calibri" w:hAnsi="Calibri" w:cs="Calibri"/>
          <w:sz w:val="22"/>
          <w:szCs w:val="22"/>
        </w:rPr>
        <w:t>need</w:t>
      </w:r>
      <w:r w:rsidR="002A1F57" w:rsidRPr="00136F3A">
        <w:rPr>
          <w:rFonts w:ascii="Calibri" w:hAnsi="Calibri" w:cs="Calibri"/>
          <w:sz w:val="22"/>
          <w:szCs w:val="22"/>
        </w:rPr>
        <w:t xml:space="preserve"> to pay greater attention to research methodology grows</w:t>
      </w:r>
      <w:r w:rsidR="00886511">
        <w:rPr>
          <w:rFonts w:ascii="Calibri" w:hAnsi="Calibri" w:cs="Calibri"/>
          <w:sz w:val="22"/>
          <w:szCs w:val="22"/>
        </w:rPr>
        <w:t xml:space="preserve"> stronger</w:t>
      </w:r>
      <w:r w:rsidR="002A1F57" w:rsidRPr="00136F3A">
        <w:rPr>
          <w:rFonts w:ascii="Calibri" w:hAnsi="Calibri" w:cs="Calibri"/>
          <w:sz w:val="22"/>
          <w:szCs w:val="22"/>
        </w:rPr>
        <w:t>.</w:t>
      </w:r>
      <w:r w:rsidR="000C44C8" w:rsidRPr="00136F3A">
        <w:rPr>
          <w:rFonts w:ascii="Calibri" w:hAnsi="Calibri" w:cs="Calibri"/>
          <w:sz w:val="22"/>
          <w:szCs w:val="22"/>
        </w:rPr>
        <w:t xml:space="preserve"> </w:t>
      </w:r>
      <w:r w:rsidR="00E07B6E">
        <w:rPr>
          <w:rFonts w:ascii="Calibri" w:hAnsi="Calibri" w:cs="Calibri"/>
          <w:sz w:val="22"/>
          <w:szCs w:val="22"/>
        </w:rPr>
        <w:t xml:space="preserve">This is especially the case </w:t>
      </w:r>
      <w:r w:rsidR="00F638D2">
        <w:rPr>
          <w:rFonts w:ascii="Calibri" w:hAnsi="Calibri" w:cs="Calibri"/>
          <w:sz w:val="22"/>
          <w:szCs w:val="22"/>
        </w:rPr>
        <w:t>for</w:t>
      </w:r>
      <w:r w:rsidR="00E07B6E">
        <w:rPr>
          <w:rFonts w:ascii="Calibri" w:hAnsi="Calibri" w:cs="Calibri"/>
          <w:sz w:val="22"/>
          <w:szCs w:val="22"/>
        </w:rPr>
        <w:t xml:space="preserve"> </w:t>
      </w:r>
      <w:r w:rsidR="00072D3A">
        <w:rPr>
          <w:rFonts w:ascii="Calibri" w:hAnsi="Calibri" w:cs="Calibri"/>
          <w:sz w:val="22"/>
          <w:szCs w:val="22"/>
        </w:rPr>
        <w:t xml:space="preserve">human rights studies, which </w:t>
      </w:r>
      <w:r w:rsidR="002644C0">
        <w:rPr>
          <w:rFonts w:ascii="Calibri" w:hAnsi="Calibri" w:cs="Calibri"/>
          <w:sz w:val="22"/>
          <w:szCs w:val="22"/>
        </w:rPr>
        <w:t xml:space="preserve">often intimately </w:t>
      </w:r>
      <w:r w:rsidR="006F6B6C">
        <w:rPr>
          <w:rFonts w:ascii="Calibri" w:hAnsi="Calibri" w:cs="Calibri"/>
          <w:sz w:val="22"/>
          <w:szCs w:val="22"/>
        </w:rPr>
        <w:t>engage</w:t>
      </w:r>
      <w:r w:rsidR="007B64E5">
        <w:rPr>
          <w:rFonts w:ascii="Calibri" w:hAnsi="Calibri" w:cs="Calibri"/>
          <w:sz w:val="22"/>
          <w:szCs w:val="22"/>
        </w:rPr>
        <w:t>s</w:t>
      </w:r>
      <w:r w:rsidR="006F6B6C">
        <w:rPr>
          <w:rFonts w:ascii="Calibri" w:hAnsi="Calibri" w:cs="Calibri"/>
          <w:sz w:val="22"/>
          <w:szCs w:val="22"/>
        </w:rPr>
        <w:t xml:space="preserve"> with the lived experiences of individuals. </w:t>
      </w:r>
      <w:r w:rsidR="007B64E5">
        <w:rPr>
          <w:rFonts w:ascii="Calibri" w:hAnsi="Calibri" w:cs="Calibri"/>
          <w:sz w:val="22"/>
          <w:szCs w:val="22"/>
        </w:rPr>
        <w:t>T</w:t>
      </w:r>
      <w:r w:rsidR="00441B9F">
        <w:rPr>
          <w:rFonts w:ascii="Calibri" w:hAnsi="Calibri" w:cs="Calibri"/>
          <w:sz w:val="22"/>
          <w:szCs w:val="22"/>
        </w:rPr>
        <w:t>his ‘socio-legal’ aspect of human rights often also require</w:t>
      </w:r>
      <w:r w:rsidR="007B64E5">
        <w:rPr>
          <w:rFonts w:ascii="Calibri" w:hAnsi="Calibri" w:cs="Calibri"/>
          <w:sz w:val="22"/>
          <w:szCs w:val="22"/>
        </w:rPr>
        <w:t>s</w:t>
      </w:r>
      <w:r w:rsidR="00441B9F">
        <w:rPr>
          <w:rFonts w:ascii="Calibri" w:hAnsi="Calibri" w:cs="Calibri"/>
          <w:sz w:val="22"/>
          <w:szCs w:val="22"/>
        </w:rPr>
        <w:t xml:space="preserve"> an </w:t>
      </w:r>
      <w:r w:rsidR="00F638D2">
        <w:rPr>
          <w:rFonts w:ascii="Calibri" w:hAnsi="Calibri" w:cs="Calibri"/>
          <w:sz w:val="22"/>
          <w:szCs w:val="22"/>
        </w:rPr>
        <w:t>interdisciplinary</w:t>
      </w:r>
      <w:r w:rsidR="00E07B6E">
        <w:rPr>
          <w:rFonts w:ascii="Calibri" w:hAnsi="Calibri" w:cs="Calibri"/>
          <w:sz w:val="22"/>
          <w:szCs w:val="22"/>
        </w:rPr>
        <w:t xml:space="preserve"> </w:t>
      </w:r>
      <w:r w:rsidR="00441B9F">
        <w:rPr>
          <w:rFonts w:ascii="Calibri" w:hAnsi="Calibri" w:cs="Calibri"/>
          <w:sz w:val="22"/>
          <w:szCs w:val="22"/>
        </w:rPr>
        <w:t xml:space="preserve">approach to </w:t>
      </w:r>
      <w:r w:rsidR="00E07B6E">
        <w:rPr>
          <w:rFonts w:ascii="Calibri" w:hAnsi="Calibri" w:cs="Calibri"/>
          <w:sz w:val="22"/>
          <w:szCs w:val="22"/>
        </w:rPr>
        <w:t>legal scholarship</w:t>
      </w:r>
      <w:r w:rsidR="007B64E5">
        <w:rPr>
          <w:rFonts w:ascii="Calibri" w:hAnsi="Calibri" w:cs="Calibri"/>
          <w:sz w:val="22"/>
          <w:szCs w:val="22"/>
        </w:rPr>
        <w:t xml:space="preserve"> </w:t>
      </w:r>
      <w:r w:rsidR="00394A19">
        <w:rPr>
          <w:rFonts w:ascii="Calibri" w:hAnsi="Calibri" w:cs="Calibri"/>
          <w:sz w:val="22"/>
          <w:szCs w:val="22"/>
        </w:rPr>
        <w:t>to</w:t>
      </w:r>
      <w:r w:rsidR="007B64E5">
        <w:rPr>
          <w:rFonts w:ascii="Calibri" w:hAnsi="Calibri" w:cs="Calibri"/>
          <w:sz w:val="22"/>
          <w:szCs w:val="22"/>
        </w:rPr>
        <w:t xml:space="preserve"> </w:t>
      </w:r>
      <w:r w:rsidR="00394A19">
        <w:rPr>
          <w:rFonts w:ascii="Calibri" w:hAnsi="Calibri" w:cs="Calibri"/>
          <w:sz w:val="22"/>
          <w:szCs w:val="22"/>
        </w:rPr>
        <w:t>engage directly with those elements and actors which exist external to the framework of rights and obligations</w:t>
      </w:r>
      <w:r w:rsidR="007B64E5">
        <w:rPr>
          <w:rFonts w:ascii="Calibri" w:hAnsi="Calibri" w:cs="Calibri"/>
          <w:sz w:val="22"/>
          <w:szCs w:val="22"/>
        </w:rPr>
        <w:t>. One</w:t>
      </w:r>
      <w:r w:rsidR="00F638D2">
        <w:rPr>
          <w:rFonts w:ascii="Calibri" w:hAnsi="Calibri" w:cs="Calibri"/>
          <w:sz w:val="22"/>
          <w:szCs w:val="22"/>
        </w:rPr>
        <w:t xml:space="preserve"> such</w:t>
      </w:r>
      <w:r w:rsidR="00394A19">
        <w:rPr>
          <w:rFonts w:ascii="Calibri" w:hAnsi="Calibri" w:cs="Calibri"/>
          <w:sz w:val="22"/>
          <w:szCs w:val="22"/>
        </w:rPr>
        <w:t xml:space="preserve"> field</w:t>
      </w:r>
      <w:r w:rsidR="00F638D2">
        <w:rPr>
          <w:rFonts w:ascii="Calibri" w:hAnsi="Calibri" w:cs="Calibri"/>
          <w:sz w:val="22"/>
          <w:szCs w:val="22"/>
        </w:rPr>
        <w:t xml:space="preserve"> as</w:t>
      </w:r>
      <w:r w:rsidR="00E07B6E">
        <w:rPr>
          <w:rFonts w:ascii="Calibri" w:hAnsi="Calibri" w:cs="Calibri"/>
          <w:sz w:val="22"/>
          <w:szCs w:val="22"/>
        </w:rPr>
        <w:t xml:space="preserve"> </w:t>
      </w:r>
      <w:r w:rsidR="00F638D2">
        <w:rPr>
          <w:rFonts w:ascii="Calibri" w:hAnsi="Calibri" w:cs="Calibri"/>
          <w:sz w:val="22"/>
          <w:szCs w:val="22"/>
        </w:rPr>
        <w:t xml:space="preserve">that of </w:t>
      </w:r>
      <w:r w:rsidR="00481D86">
        <w:rPr>
          <w:rFonts w:ascii="Calibri" w:hAnsi="Calibri" w:cs="Calibri"/>
          <w:sz w:val="22"/>
          <w:szCs w:val="22"/>
        </w:rPr>
        <w:t>‘Business and Human Rights’</w:t>
      </w:r>
      <w:r w:rsidR="00BB22AE">
        <w:rPr>
          <w:rFonts w:ascii="Calibri" w:hAnsi="Calibri" w:cs="Calibri"/>
          <w:sz w:val="22"/>
          <w:szCs w:val="22"/>
        </w:rPr>
        <w:t xml:space="preserve"> </w:t>
      </w:r>
      <w:r w:rsidR="00BC229B">
        <w:rPr>
          <w:rFonts w:ascii="Calibri" w:hAnsi="Calibri" w:cs="Calibri"/>
          <w:sz w:val="22"/>
          <w:szCs w:val="22"/>
        </w:rPr>
        <w:t xml:space="preserve">(BHR) </w:t>
      </w:r>
      <w:r w:rsidR="00BB22AE">
        <w:rPr>
          <w:rFonts w:ascii="Calibri" w:hAnsi="Calibri" w:cs="Calibri"/>
          <w:sz w:val="22"/>
          <w:szCs w:val="22"/>
        </w:rPr>
        <w:t>research</w:t>
      </w:r>
      <w:r w:rsidR="00561005">
        <w:rPr>
          <w:rFonts w:ascii="Calibri" w:hAnsi="Calibri" w:cs="Calibri"/>
          <w:sz w:val="22"/>
          <w:szCs w:val="22"/>
        </w:rPr>
        <w:t xml:space="preserve"> </w:t>
      </w:r>
      <w:r w:rsidR="00561005" w:rsidRPr="00E07B6E">
        <w:rPr>
          <w:rFonts w:ascii="Calibri" w:hAnsi="Calibri" w:cs="Calibri"/>
          <w:sz w:val="22"/>
          <w:szCs w:val="22"/>
        </w:rPr>
        <w:t>(</w:t>
      </w:r>
      <w:proofErr w:type="spellStart"/>
      <w:r w:rsidR="00561005" w:rsidRPr="00E07B6E">
        <w:rPr>
          <w:rFonts w:ascii="Calibri" w:hAnsi="Calibri" w:cs="Calibri"/>
          <w:sz w:val="22"/>
          <w:szCs w:val="22"/>
        </w:rPr>
        <w:t>Bilchitz</w:t>
      </w:r>
      <w:proofErr w:type="spellEnd"/>
      <w:r w:rsidR="00561005" w:rsidRPr="00E07B6E">
        <w:rPr>
          <w:rFonts w:ascii="Calibri" w:hAnsi="Calibri" w:cs="Calibri"/>
          <w:sz w:val="22"/>
          <w:szCs w:val="22"/>
        </w:rPr>
        <w:t xml:space="preserve">, 2016; Deva and </w:t>
      </w:r>
      <w:proofErr w:type="spellStart"/>
      <w:r w:rsidR="00561005" w:rsidRPr="00E07B6E">
        <w:rPr>
          <w:rFonts w:ascii="Calibri" w:hAnsi="Calibri" w:cs="Calibri"/>
          <w:sz w:val="22"/>
          <w:szCs w:val="22"/>
        </w:rPr>
        <w:t>Bilchitz</w:t>
      </w:r>
      <w:proofErr w:type="spellEnd"/>
      <w:r w:rsidR="00561005" w:rsidRPr="00E07B6E">
        <w:rPr>
          <w:rFonts w:ascii="Calibri" w:hAnsi="Calibri" w:cs="Calibri"/>
          <w:sz w:val="22"/>
          <w:szCs w:val="22"/>
        </w:rPr>
        <w:t>, 2017; McConnell, 2017)</w:t>
      </w:r>
      <w:r w:rsidR="00E07B6E">
        <w:rPr>
          <w:rFonts w:ascii="Calibri" w:hAnsi="Calibri" w:cs="Calibri"/>
          <w:sz w:val="22"/>
          <w:szCs w:val="22"/>
        </w:rPr>
        <w:t xml:space="preserve">. </w:t>
      </w:r>
      <w:r w:rsidR="00C162DB">
        <w:rPr>
          <w:rFonts w:ascii="Calibri" w:hAnsi="Calibri" w:cs="Calibri"/>
          <w:sz w:val="22"/>
          <w:szCs w:val="22"/>
        </w:rPr>
        <w:t xml:space="preserve">The interdisciplinary nature of this research field </w:t>
      </w:r>
      <w:r w:rsidR="00852AB4">
        <w:rPr>
          <w:rFonts w:ascii="Calibri" w:hAnsi="Calibri" w:cs="Calibri"/>
          <w:sz w:val="22"/>
          <w:szCs w:val="22"/>
        </w:rPr>
        <w:t>supplies</w:t>
      </w:r>
      <w:r w:rsidR="00C162DB">
        <w:rPr>
          <w:rFonts w:ascii="Calibri" w:hAnsi="Calibri" w:cs="Calibri"/>
          <w:sz w:val="22"/>
          <w:szCs w:val="22"/>
        </w:rPr>
        <w:t xml:space="preserve"> </w:t>
      </w:r>
      <w:r w:rsidR="002D4B91">
        <w:rPr>
          <w:rFonts w:ascii="Calibri" w:hAnsi="Calibri" w:cs="Calibri"/>
          <w:sz w:val="22"/>
          <w:szCs w:val="22"/>
        </w:rPr>
        <w:t xml:space="preserve">a </w:t>
      </w:r>
      <w:r w:rsidR="00C162DB">
        <w:rPr>
          <w:rFonts w:ascii="Calibri" w:hAnsi="Calibri" w:cs="Calibri"/>
          <w:sz w:val="22"/>
          <w:szCs w:val="22"/>
        </w:rPr>
        <w:t>considerable impetus for the cross-fertilisation of methods and methodologies.</w:t>
      </w:r>
    </w:p>
    <w:p w14:paraId="558C50C4" w14:textId="53B840B1" w:rsidR="00394A19" w:rsidRDefault="00394A19" w:rsidP="00FF525C">
      <w:pPr>
        <w:jc w:val="both"/>
        <w:rPr>
          <w:rFonts w:ascii="Calibri" w:hAnsi="Calibri" w:cs="Calibri"/>
          <w:sz w:val="22"/>
          <w:szCs w:val="22"/>
        </w:rPr>
      </w:pPr>
    </w:p>
    <w:p w14:paraId="20DB9787" w14:textId="5C210C01" w:rsidR="000132E5" w:rsidRDefault="009356D7" w:rsidP="000132E5">
      <w:pPr>
        <w:jc w:val="both"/>
        <w:rPr>
          <w:rFonts w:ascii="Calibri" w:hAnsi="Calibri" w:cs="Calibri"/>
          <w:sz w:val="22"/>
          <w:szCs w:val="22"/>
        </w:rPr>
      </w:pPr>
      <w:r>
        <w:rPr>
          <w:rFonts w:ascii="Calibri" w:hAnsi="Calibri" w:cs="Calibri"/>
          <w:sz w:val="22"/>
          <w:szCs w:val="22"/>
        </w:rPr>
        <w:t>One such</w:t>
      </w:r>
      <w:r w:rsidR="00394A19">
        <w:rPr>
          <w:rFonts w:ascii="Calibri" w:hAnsi="Calibri" w:cs="Calibri"/>
          <w:sz w:val="22"/>
          <w:szCs w:val="22"/>
        </w:rPr>
        <w:t xml:space="preserve"> issue </w:t>
      </w:r>
      <w:r>
        <w:rPr>
          <w:rFonts w:ascii="Calibri" w:hAnsi="Calibri" w:cs="Calibri"/>
          <w:sz w:val="22"/>
          <w:szCs w:val="22"/>
        </w:rPr>
        <w:t>where</w:t>
      </w:r>
      <w:r w:rsidR="00394A19">
        <w:rPr>
          <w:rFonts w:ascii="Calibri" w:hAnsi="Calibri" w:cs="Calibri"/>
          <w:sz w:val="22"/>
          <w:szCs w:val="22"/>
        </w:rPr>
        <w:t xml:space="preserve"> the fields of human rights and business overlap is </w:t>
      </w:r>
      <w:r>
        <w:rPr>
          <w:rFonts w:ascii="Calibri" w:hAnsi="Calibri" w:cs="Calibri"/>
          <w:sz w:val="22"/>
          <w:szCs w:val="22"/>
        </w:rPr>
        <w:t xml:space="preserve">the potential violation of the ‘right to health’ </w:t>
      </w:r>
      <w:r w:rsidR="004624F7">
        <w:rPr>
          <w:rFonts w:ascii="Calibri" w:hAnsi="Calibri" w:cs="Calibri"/>
          <w:sz w:val="22"/>
          <w:szCs w:val="22"/>
        </w:rPr>
        <w:t>by pharmaceutical companies</w:t>
      </w:r>
      <w:r w:rsidR="0099315C">
        <w:rPr>
          <w:rFonts w:ascii="Calibri" w:hAnsi="Calibri" w:cs="Calibri"/>
          <w:sz w:val="22"/>
          <w:szCs w:val="22"/>
        </w:rPr>
        <w:t xml:space="preserve"> through their pricing practices.</w:t>
      </w:r>
      <w:r w:rsidR="004624F7">
        <w:rPr>
          <w:rFonts w:ascii="Calibri" w:hAnsi="Calibri" w:cs="Calibri"/>
          <w:sz w:val="22"/>
          <w:szCs w:val="22"/>
        </w:rPr>
        <w:t xml:space="preserve"> </w:t>
      </w:r>
      <w:r w:rsidR="000132E5" w:rsidRPr="00E07B6E">
        <w:rPr>
          <w:rFonts w:ascii="Calibri" w:hAnsi="Calibri" w:cs="Calibri"/>
          <w:sz w:val="22"/>
          <w:szCs w:val="22"/>
        </w:rPr>
        <w:t>The cost of essential medicines such as insulin (</w:t>
      </w:r>
      <w:proofErr w:type="spellStart"/>
      <w:r w:rsidR="000132E5" w:rsidRPr="00E07B6E">
        <w:rPr>
          <w:rFonts w:ascii="Calibri" w:hAnsi="Calibri" w:cs="Calibri"/>
          <w:sz w:val="22"/>
          <w:szCs w:val="22"/>
        </w:rPr>
        <w:t>Kuchler</w:t>
      </w:r>
      <w:proofErr w:type="spellEnd"/>
      <w:r w:rsidR="000132E5" w:rsidRPr="00E07B6E">
        <w:rPr>
          <w:rFonts w:ascii="Calibri" w:hAnsi="Calibri" w:cs="Calibri"/>
          <w:sz w:val="22"/>
          <w:szCs w:val="22"/>
        </w:rPr>
        <w:t xml:space="preserve">, 2019) and the EpiPen (Rapaport, 2017) continue to grow exponentially (Ward, </w:t>
      </w:r>
      <w:proofErr w:type="spellStart"/>
      <w:r w:rsidR="000132E5" w:rsidRPr="00E07B6E">
        <w:rPr>
          <w:rFonts w:ascii="Calibri" w:hAnsi="Calibri" w:cs="Calibri"/>
          <w:sz w:val="22"/>
          <w:szCs w:val="22"/>
        </w:rPr>
        <w:t>Doos</w:t>
      </w:r>
      <w:proofErr w:type="spellEnd"/>
      <w:r w:rsidR="000132E5" w:rsidRPr="00E07B6E">
        <w:rPr>
          <w:rFonts w:ascii="Calibri" w:hAnsi="Calibri" w:cs="Calibri"/>
          <w:sz w:val="22"/>
          <w:szCs w:val="22"/>
        </w:rPr>
        <w:t xml:space="preserve"> and Stevens, 2019). Although thousands rely on these medicines for their survival, many drug companies rapidly increase prices far </w:t>
      </w:r>
      <w:r w:rsidR="000132E5">
        <w:rPr>
          <w:rFonts w:ascii="Calibri" w:hAnsi="Calibri" w:cs="Calibri"/>
          <w:sz w:val="22"/>
          <w:szCs w:val="22"/>
        </w:rPr>
        <w:t>above</w:t>
      </w:r>
      <w:r w:rsidR="000132E5" w:rsidRPr="00E07B6E">
        <w:rPr>
          <w:rFonts w:ascii="Calibri" w:hAnsi="Calibri" w:cs="Calibri"/>
          <w:sz w:val="22"/>
          <w:szCs w:val="22"/>
        </w:rPr>
        <w:t xml:space="preserve"> individual affordability. Families are faced with unthinkable situations such as sending children to school with expired medication (Richardson Voyles, 2016). Those living in socialized systems such as the </w:t>
      </w:r>
      <w:r w:rsidR="000132E5">
        <w:rPr>
          <w:rFonts w:ascii="Calibri" w:hAnsi="Calibri" w:cs="Calibri"/>
          <w:sz w:val="22"/>
          <w:szCs w:val="22"/>
        </w:rPr>
        <w:t xml:space="preserve">UK’s </w:t>
      </w:r>
      <w:r w:rsidR="000132E5" w:rsidRPr="00E07B6E">
        <w:rPr>
          <w:rFonts w:ascii="Calibri" w:hAnsi="Calibri" w:cs="Calibri"/>
          <w:sz w:val="22"/>
          <w:szCs w:val="22"/>
        </w:rPr>
        <w:t xml:space="preserve">NHS see budgets stretched with increasingly difficult resource allocation decisions made. This has become prominent amidst the Coronavirus pandemic, with price-gouging becoming a common occurrence (Butler and Wood, 2020; O’Callaghan, 2020). Questions must be </w:t>
      </w:r>
      <w:r w:rsidR="000132E5">
        <w:rPr>
          <w:rFonts w:ascii="Calibri" w:hAnsi="Calibri" w:cs="Calibri"/>
          <w:sz w:val="22"/>
          <w:szCs w:val="22"/>
        </w:rPr>
        <w:t>asked</w:t>
      </w:r>
      <w:r w:rsidR="000132E5" w:rsidRPr="00E07B6E">
        <w:rPr>
          <w:rFonts w:ascii="Calibri" w:hAnsi="Calibri" w:cs="Calibri"/>
          <w:sz w:val="22"/>
          <w:szCs w:val="22"/>
        </w:rPr>
        <w:t xml:space="preserve"> as to whether these </w:t>
      </w:r>
      <w:r w:rsidR="000132E5">
        <w:rPr>
          <w:rFonts w:ascii="Calibri" w:hAnsi="Calibri" w:cs="Calibri"/>
          <w:sz w:val="22"/>
          <w:szCs w:val="22"/>
        </w:rPr>
        <w:t>price rises</w:t>
      </w:r>
      <w:r w:rsidR="000132E5" w:rsidRPr="00E07B6E">
        <w:rPr>
          <w:rFonts w:ascii="Calibri" w:hAnsi="Calibri" w:cs="Calibri"/>
          <w:sz w:val="22"/>
          <w:szCs w:val="22"/>
        </w:rPr>
        <w:t xml:space="preserve"> are a violation of the ‘</w:t>
      </w:r>
      <w:r w:rsidR="000132E5">
        <w:rPr>
          <w:rFonts w:ascii="Calibri" w:hAnsi="Calibri" w:cs="Calibri"/>
          <w:sz w:val="22"/>
          <w:szCs w:val="22"/>
        </w:rPr>
        <w:t>Right to Health</w:t>
      </w:r>
      <w:r w:rsidR="000132E5" w:rsidRPr="00E07B6E">
        <w:rPr>
          <w:rFonts w:ascii="Calibri" w:hAnsi="Calibri" w:cs="Calibri"/>
          <w:sz w:val="22"/>
          <w:szCs w:val="22"/>
        </w:rPr>
        <w:t>’ under international human rights law? If so, ways of holding companies accountable for such violations</w:t>
      </w:r>
      <w:r w:rsidR="000132E5">
        <w:rPr>
          <w:rFonts w:ascii="Calibri" w:hAnsi="Calibri" w:cs="Calibri"/>
          <w:sz w:val="22"/>
          <w:szCs w:val="22"/>
        </w:rPr>
        <w:t xml:space="preserve"> must </w:t>
      </w:r>
      <w:proofErr w:type="gramStart"/>
      <w:r w:rsidR="000132E5">
        <w:rPr>
          <w:rFonts w:ascii="Calibri" w:hAnsi="Calibri" w:cs="Calibri"/>
          <w:sz w:val="22"/>
          <w:szCs w:val="22"/>
        </w:rPr>
        <w:t>be sought</w:t>
      </w:r>
      <w:proofErr w:type="gramEnd"/>
      <w:r w:rsidR="000132E5">
        <w:rPr>
          <w:rFonts w:ascii="Calibri" w:hAnsi="Calibri" w:cs="Calibri"/>
          <w:sz w:val="22"/>
          <w:szCs w:val="22"/>
        </w:rPr>
        <w:t xml:space="preserve"> out</w:t>
      </w:r>
      <w:r w:rsidR="000132E5" w:rsidRPr="00E07B6E">
        <w:rPr>
          <w:rFonts w:ascii="Calibri" w:hAnsi="Calibri" w:cs="Calibri"/>
          <w:sz w:val="22"/>
          <w:szCs w:val="22"/>
        </w:rPr>
        <w:t>.</w:t>
      </w:r>
      <w:r w:rsidR="000132E5">
        <w:rPr>
          <w:rFonts w:ascii="Calibri" w:hAnsi="Calibri" w:cs="Calibri"/>
          <w:sz w:val="22"/>
          <w:szCs w:val="22"/>
        </w:rPr>
        <w:t xml:space="preserve"> The issues at hand are multifaceted, with complex questions over the composition of rights, battling against yet more complex questions over the attribution of obligations, responsibility, and an inherent conflict with profit-driven, corporate decision-making. Addressing these issues thus requires an approach which takes into </w:t>
      </w:r>
      <w:r w:rsidR="000132E5">
        <w:rPr>
          <w:rFonts w:ascii="Calibri" w:hAnsi="Calibri" w:cs="Calibri"/>
          <w:sz w:val="22"/>
          <w:szCs w:val="22"/>
        </w:rPr>
        <w:lastRenderedPageBreak/>
        <w:t xml:space="preserve">consideration not only the human rights framework of the right to health, but also directly addresses the ‘business’ element inherent within this problem. </w:t>
      </w:r>
    </w:p>
    <w:p w14:paraId="2350CFAA" w14:textId="77777777" w:rsidR="000132E5" w:rsidRDefault="000132E5" w:rsidP="000132E5">
      <w:pPr>
        <w:jc w:val="both"/>
        <w:rPr>
          <w:rFonts w:ascii="Calibri" w:hAnsi="Calibri" w:cs="Calibri"/>
          <w:sz w:val="22"/>
          <w:szCs w:val="22"/>
        </w:rPr>
      </w:pPr>
    </w:p>
    <w:p w14:paraId="31188AEA" w14:textId="4D04F368" w:rsidR="006A1567" w:rsidRPr="00136F3A" w:rsidRDefault="000132E5" w:rsidP="00FF525C">
      <w:pPr>
        <w:jc w:val="both"/>
        <w:rPr>
          <w:rFonts w:ascii="Calibri" w:hAnsi="Calibri" w:cs="Calibri"/>
          <w:sz w:val="22"/>
          <w:szCs w:val="22"/>
        </w:rPr>
      </w:pPr>
      <w:r w:rsidRPr="00E07B6E">
        <w:rPr>
          <w:rFonts w:ascii="Calibri" w:hAnsi="Calibri" w:cs="Calibri"/>
          <w:sz w:val="22"/>
          <w:szCs w:val="22"/>
        </w:rPr>
        <w:t xml:space="preserve">The field of </w:t>
      </w:r>
      <w:r w:rsidR="00BC229B">
        <w:rPr>
          <w:rFonts w:ascii="Calibri" w:hAnsi="Calibri" w:cs="Calibri"/>
          <w:sz w:val="22"/>
          <w:szCs w:val="22"/>
        </w:rPr>
        <w:t>BHR</w:t>
      </w:r>
      <w:r w:rsidRPr="00E07B6E">
        <w:rPr>
          <w:rFonts w:ascii="Calibri" w:hAnsi="Calibri" w:cs="Calibri"/>
          <w:sz w:val="22"/>
          <w:szCs w:val="22"/>
        </w:rPr>
        <w:t xml:space="preserve"> is a</w:t>
      </w:r>
      <w:r>
        <w:rPr>
          <w:rFonts w:ascii="Calibri" w:hAnsi="Calibri" w:cs="Calibri"/>
          <w:sz w:val="22"/>
          <w:szCs w:val="22"/>
        </w:rPr>
        <w:t xml:space="preserve">n emerging </w:t>
      </w:r>
      <w:r w:rsidRPr="00E07B6E">
        <w:rPr>
          <w:rFonts w:ascii="Calibri" w:hAnsi="Calibri" w:cs="Calibri"/>
          <w:sz w:val="22"/>
          <w:szCs w:val="22"/>
        </w:rPr>
        <w:t>field of research within both law and wider social sciences</w:t>
      </w:r>
      <w:r w:rsidR="00395D26">
        <w:rPr>
          <w:rFonts w:ascii="Calibri" w:hAnsi="Calibri" w:cs="Calibri"/>
          <w:sz w:val="22"/>
          <w:szCs w:val="22"/>
        </w:rPr>
        <w:t xml:space="preserve">, with </w:t>
      </w:r>
      <w:r w:rsidR="00692E81">
        <w:rPr>
          <w:rFonts w:ascii="Calibri" w:hAnsi="Calibri" w:cs="Calibri"/>
          <w:sz w:val="22"/>
          <w:szCs w:val="22"/>
        </w:rPr>
        <w:t>a spectrum of novel</w:t>
      </w:r>
      <w:r w:rsidR="00395D26">
        <w:rPr>
          <w:rFonts w:ascii="Calibri" w:hAnsi="Calibri" w:cs="Calibri"/>
          <w:sz w:val="22"/>
          <w:szCs w:val="22"/>
        </w:rPr>
        <w:t xml:space="preserve"> methodological approaches reflecting </w:t>
      </w:r>
      <w:r w:rsidR="00692E81">
        <w:rPr>
          <w:rFonts w:ascii="Calibri" w:hAnsi="Calibri" w:cs="Calibri"/>
          <w:sz w:val="22"/>
          <w:szCs w:val="22"/>
        </w:rPr>
        <w:t>BHR</w:t>
      </w:r>
      <w:r w:rsidR="00CA7BF1">
        <w:rPr>
          <w:rFonts w:ascii="Calibri" w:hAnsi="Calibri" w:cs="Calibri"/>
          <w:sz w:val="22"/>
          <w:szCs w:val="22"/>
        </w:rPr>
        <w:t>’</w:t>
      </w:r>
      <w:r w:rsidR="00692E81">
        <w:rPr>
          <w:rFonts w:ascii="Calibri" w:hAnsi="Calibri" w:cs="Calibri"/>
          <w:sz w:val="22"/>
          <w:szCs w:val="22"/>
        </w:rPr>
        <w:t>s own novelty</w:t>
      </w:r>
      <w:r w:rsidRPr="00E07B6E">
        <w:rPr>
          <w:rFonts w:ascii="Calibri" w:hAnsi="Calibri" w:cs="Calibri"/>
          <w:sz w:val="22"/>
          <w:szCs w:val="22"/>
        </w:rPr>
        <w:t xml:space="preserve">. </w:t>
      </w:r>
      <w:r w:rsidR="00692E81">
        <w:rPr>
          <w:rFonts w:ascii="Calibri" w:hAnsi="Calibri" w:cs="Calibri"/>
          <w:sz w:val="22"/>
          <w:szCs w:val="22"/>
        </w:rPr>
        <w:t xml:space="preserve">Given the </w:t>
      </w:r>
      <w:r w:rsidR="00CA7BF1">
        <w:rPr>
          <w:rFonts w:ascii="Calibri" w:hAnsi="Calibri" w:cs="Calibri"/>
          <w:sz w:val="22"/>
          <w:szCs w:val="22"/>
        </w:rPr>
        <w:t>dire circumstances and impact of pharmaceutical companies on access to medicines, the</w:t>
      </w:r>
      <w:r>
        <w:rPr>
          <w:rFonts w:ascii="Calibri" w:hAnsi="Calibri" w:cs="Calibri"/>
          <w:sz w:val="22"/>
          <w:szCs w:val="22"/>
        </w:rPr>
        <w:t xml:space="preserve"> intersection </w:t>
      </w:r>
      <w:r w:rsidR="00CA7BF1">
        <w:rPr>
          <w:rFonts w:ascii="Calibri" w:hAnsi="Calibri" w:cs="Calibri"/>
          <w:sz w:val="22"/>
          <w:szCs w:val="22"/>
        </w:rPr>
        <w:t xml:space="preserve">of BHR </w:t>
      </w:r>
      <w:r>
        <w:rPr>
          <w:rFonts w:ascii="Calibri" w:hAnsi="Calibri" w:cs="Calibri"/>
          <w:sz w:val="22"/>
          <w:szCs w:val="22"/>
        </w:rPr>
        <w:t xml:space="preserve">with the right to health has also gained considerable attention from across the </w:t>
      </w:r>
      <w:r w:rsidR="00CA7BF1">
        <w:rPr>
          <w:rFonts w:ascii="Calibri" w:hAnsi="Calibri" w:cs="Calibri"/>
          <w:sz w:val="22"/>
          <w:szCs w:val="22"/>
        </w:rPr>
        <w:t xml:space="preserve">spectrum of </w:t>
      </w:r>
      <w:r>
        <w:rPr>
          <w:rFonts w:ascii="Calibri" w:hAnsi="Calibri" w:cs="Calibri"/>
          <w:sz w:val="22"/>
          <w:szCs w:val="22"/>
        </w:rPr>
        <w:t xml:space="preserve">academic </w:t>
      </w:r>
      <w:r w:rsidR="00810B32">
        <w:rPr>
          <w:rFonts w:ascii="Calibri" w:hAnsi="Calibri" w:cs="Calibri"/>
          <w:sz w:val="22"/>
          <w:szCs w:val="22"/>
        </w:rPr>
        <w:t>disciplines</w:t>
      </w:r>
      <w:r>
        <w:rPr>
          <w:rFonts w:ascii="Calibri" w:hAnsi="Calibri" w:cs="Calibri"/>
          <w:sz w:val="22"/>
          <w:szCs w:val="22"/>
        </w:rPr>
        <w:t xml:space="preserve">. </w:t>
      </w:r>
      <w:r w:rsidR="00CA7BF1">
        <w:rPr>
          <w:rFonts w:ascii="Calibri" w:hAnsi="Calibri" w:cs="Calibri"/>
          <w:sz w:val="22"/>
          <w:szCs w:val="22"/>
        </w:rPr>
        <w:t>Within a human rights context, t</w:t>
      </w:r>
      <w:r>
        <w:rPr>
          <w:rFonts w:ascii="Calibri" w:hAnsi="Calibri" w:cs="Calibri"/>
          <w:sz w:val="22"/>
          <w:szCs w:val="22"/>
        </w:rPr>
        <w:t>he work of the Committee on Economic, Social and Cultural Rights</w:t>
      </w:r>
      <w:r w:rsidR="00D71492">
        <w:rPr>
          <w:rFonts w:ascii="Calibri" w:hAnsi="Calibri" w:cs="Calibri"/>
          <w:sz w:val="22"/>
          <w:szCs w:val="22"/>
        </w:rPr>
        <w:t xml:space="preserve"> and</w:t>
      </w:r>
      <w:r>
        <w:rPr>
          <w:rFonts w:ascii="Calibri" w:hAnsi="Calibri" w:cs="Calibri"/>
          <w:sz w:val="22"/>
          <w:szCs w:val="22"/>
        </w:rPr>
        <w:t xml:space="preserve"> the former Special Rapporteur, Paul Hunt</w:t>
      </w:r>
      <w:r w:rsidR="00D71492">
        <w:rPr>
          <w:rFonts w:ascii="Calibri" w:hAnsi="Calibri" w:cs="Calibri"/>
          <w:sz w:val="22"/>
          <w:szCs w:val="22"/>
        </w:rPr>
        <w:t xml:space="preserve"> have contributed</w:t>
      </w:r>
      <w:r>
        <w:rPr>
          <w:rFonts w:ascii="Calibri" w:hAnsi="Calibri" w:cs="Calibri"/>
          <w:sz w:val="22"/>
          <w:szCs w:val="22"/>
        </w:rPr>
        <w:t xml:space="preserve"> </w:t>
      </w:r>
      <w:proofErr w:type="gramStart"/>
      <w:r>
        <w:rPr>
          <w:rFonts w:ascii="Calibri" w:hAnsi="Calibri" w:cs="Calibri"/>
          <w:sz w:val="22"/>
          <w:szCs w:val="22"/>
        </w:rPr>
        <w:t>considerabl</w:t>
      </w:r>
      <w:r w:rsidR="00D71492">
        <w:rPr>
          <w:rFonts w:ascii="Calibri" w:hAnsi="Calibri" w:cs="Calibri"/>
          <w:sz w:val="22"/>
          <w:szCs w:val="22"/>
        </w:rPr>
        <w:t>y</w:t>
      </w:r>
      <w:r>
        <w:rPr>
          <w:rFonts w:ascii="Calibri" w:hAnsi="Calibri" w:cs="Calibri"/>
          <w:sz w:val="22"/>
          <w:szCs w:val="22"/>
        </w:rPr>
        <w:t xml:space="preserve"> </w:t>
      </w:r>
      <w:r w:rsidR="00D71492">
        <w:rPr>
          <w:rFonts w:ascii="Calibri" w:hAnsi="Calibri" w:cs="Calibri"/>
          <w:sz w:val="22"/>
          <w:szCs w:val="22"/>
        </w:rPr>
        <w:t>to</w:t>
      </w:r>
      <w:proofErr w:type="gramEnd"/>
      <w:r w:rsidR="008D3A4B">
        <w:rPr>
          <w:rFonts w:ascii="Calibri" w:hAnsi="Calibri" w:cs="Calibri"/>
          <w:sz w:val="22"/>
          <w:szCs w:val="22"/>
        </w:rPr>
        <w:t xml:space="preserve"> this field</w:t>
      </w:r>
      <w:r>
        <w:rPr>
          <w:rFonts w:ascii="Calibri" w:hAnsi="Calibri" w:cs="Calibri"/>
          <w:sz w:val="22"/>
          <w:szCs w:val="22"/>
        </w:rPr>
        <w:t xml:space="preserve">. Yet, whilst supplying unquestionably valuable </w:t>
      </w:r>
      <w:r w:rsidRPr="00F409EF">
        <w:rPr>
          <w:rFonts w:ascii="Calibri" w:hAnsi="Calibri" w:cs="Calibri"/>
          <w:i/>
          <w:iCs/>
          <w:sz w:val="22"/>
          <w:szCs w:val="22"/>
        </w:rPr>
        <w:t>substantive</w:t>
      </w:r>
      <w:r>
        <w:rPr>
          <w:rFonts w:ascii="Calibri" w:hAnsi="Calibri" w:cs="Calibri"/>
          <w:sz w:val="22"/>
          <w:szCs w:val="22"/>
        </w:rPr>
        <w:t xml:space="preserve"> </w:t>
      </w:r>
      <w:r w:rsidRPr="00F409EF">
        <w:rPr>
          <w:rFonts w:ascii="Calibri" w:hAnsi="Calibri" w:cs="Calibri"/>
          <w:sz w:val="22"/>
          <w:szCs w:val="22"/>
        </w:rPr>
        <w:t>contributions</w:t>
      </w:r>
      <w:r>
        <w:rPr>
          <w:rFonts w:ascii="Calibri" w:hAnsi="Calibri" w:cs="Calibri"/>
          <w:sz w:val="22"/>
          <w:szCs w:val="22"/>
        </w:rPr>
        <w:t xml:space="preserve"> to the field</w:t>
      </w:r>
      <w:r w:rsidR="008D3A4B">
        <w:rPr>
          <w:rFonts w:ascii="Calibri" w:hAnsi="Calibri" w:cs="Calibri"/>
          <w:sz w:val="22"/>
          <w:szCs w:val="22"/>
        </w:rPr>
        <w:t>, in both a legal and methodological sense</w:t>
      </w:r>
      <w:r>
        <w:rPr>
          <w:rFonts w:ascii="Calibri" w:hAnsi="Calibri" w:cs="Calibri"/>
          <w:sz w:val="22"/>
          <w:szCs w:val="22"/>
        </w:rPr>
        <w:t xml:space="preserve">, they do not </w:t>
      </w:r>
      <w:r w:rsidR="008D3A4B">
        <w:rPr>
          <w:rFonts w:ascii="Calibri" w:hAnsi="Calibri" w:cs="Calibri"/>
          <w:sz w:val="22"/>
          <w:szCs w:val="22"/>
        </w:rPr>
        <w:t>supply</w:t>
      </w:r>
      <w:r>
        <w:rPr>
          <w:rFonts w:ascii="Calibri" w:hAnsi="Calibri" w:cs="Calibri"/>
          <w:sz w:val="22"/>
          <w:szCs w:val="22"/>
        </w:rPr>
        <w:t xml:space="preserve"> insight into </w:t>
      </w:r>
      <w:r>
        <w:rPr>
          <w:rFonts w:ascii="Calibri" w:hAnsi="Calibri" w:cs="Calibri"/>
          <w:i/>
          <w:iCs/>
          <w:sz w:val="22"/>
          <w:szCs w:val="22"/>
        </w:rPr>
        <w:t xml:space="preserve">how </w:t>
      </w:r>
      <w:r>
        <w:rPr>
          <w:rFonts w:ascii="Calibri" w:hAnsi="Calibri" w:cs="Calibri"/>
          <w:sz w:val="22"/>
          <w:szCs w:val="22"/>
        </w:rPr>
        <w:t xml:space="preserve">research can </w:t>
      </w:r>
      <w:proofErr w:type="gramStart"/>
      <w:r>
        <w:rPr>
          <w:rFonts w:ascii="Calibri" w:hAnsi="Calibri" w:cs="Calibri"/>
          <w:sz w:val="22"/>
          <w:szCs w:val="22"/>
        </w:rPr>
        <w:t>be undertaken</w:t>
      </w:r>
      <w:proofErr w:type="gramEnd"/>
      <w:r>
        <w:rPr>
          <w:rFonts w:ascii="Calibri" w:hAnsi="Calibri" w:cs="Calibri"/>
          <w:sz w:val="22"/>
          <w:szCs w:val="22"/>
        </w:rPr>
        <w:t xml:space="preserve"> in a critical and ethical manner. It this work which I hope to begin here.</w:t>
      </w:r>
      <w:r w:rsidR="007718C9">
        <w:rPr>
          <w:rFonts w:ascii="Calibri" w:hAnsi="Calibri" w:cs="Calibri"/>
          <w:sz w:val="22"/>
          <w:szCs w:val="22"/>
        </w:rPr>
        <w:t xml:space="preserve"> </w:t>
      </w:r>
      <w:r w:rsidR="007F0D12">
        <w:rPr>
          <w:rFonts w:ascii="Calibri" w:hAnsi="Calibri" w:cs="Calibri"/>
          <w:sz w:val="22"/>
          <w:szCs w:val="22"/>
        </w:rPr>
        <w:t>Using the example</w:t>
      </w:r>
      <w:r w:rsidR="00E07B6E">
        <w:rPr>
          <w:rFonts w:ascii="Calibri" w:hAnsi="Calibri" w:cs="Calibri"/>
          <w:sz w:val="22"/>
          <w:szCs w:val="22"/>
        </w:rPr>
        <w:t xml:space="preserve"> of research into the relationship between pharmaceutical companies, access to essential medicines and the right to health</w:t>
      </w:r>
      <w:r w:rsidR="004C5242">
        <w:rPr>
          <w:rFonts w:ascii="Calibri" w:hAnsi="Calibri" w:cs="Calibri"/>
          <w:sz w:val="22"/>
          <w:szCs w:val="22"/>
        </w:rPr>
        <w:t>,</w:t>
      </w:r>
      <w:r w:rsidR="00E07B6E">
        <w:rPr>
          <w:rFonts w:ascii="Calibri" w:hAnsi="Calibri" w:cs="Calibri"/>
          <w:sz w:val="22"/>
          <w:szCs w:val="22"/>
        </w:rPr>
        <w:t xml:space="preserve"> </w:t>
      </w:r>
      <w:r w:rsidR="00FB21A7">
        <w:rPr>
          <w:rFonts w:ascii="Calibri" w:hAnsi="Calibri" w:cs="Calibri"/>
          <w:sz w:val="22"/>
          <w:szCs w:val="22"/>
        </w:rPr>
        <w:t>I</w:t>
      </w:r>
      <w:r w:rsidR="006A1567" w:rsidRPr="00136F3A">
        <w:rPr>
          <w:rFonts w:ascii="Calibri" w:hAnsi="Calibri" w:cs="Calibri"/>
          <w:sz w:val="22"/>
          <w:szCs w:val="22"/>
        </w:rPr>
        <w:t xml:space="preserve"> </w:t>
      </w:r>
      <w:proofErr w:type="gramStart"/>
      <w:r w:rsidR="006A1567" w:rsidRPr="00136F3A">
        <w:rPr>
          <w:rFonts w:ascii="Calibri" w:hAnsi="Calibri" w:cs="Calibri"/>
          <w:sz w:val="22"/>
          <w:szCs w:val="22"/>
        </w:rPr>
        <w:t>seek</w:t>
      </w:r>
      <w:proofErr w:type="gramEnd"/>
      <w:r w:rsidR="006A1567" w:rsidRPr="00136F3A">
        <w:rPr>
          <w:rFonts w:ascii="Calibri" w:hAnsi="Calibri" w:cs="Calibri"/>
          <w:sz w:val="22"/>
          <w:szCs w:val="22"/>
        </w:rPr>
        <w:t xml:space="preserve"> to</w:t>
      </w:r>
      <w:r w:rsidR="00E07B6E">
        <w:rPr>
          <w:rFonts w:ascii="Calibri" w:hAnsi="Calibri" w:cs="Calibri"/>
          <w:sz w:val="22"/>
          <w:szCs w:val="22"/>
        </w:rPr>
        <w:t xml:space="preserve"> </w:t>
      </w:r>
      <w:r w:rsidR="007F0D12">
        <w:rPr>
          <w:rFonts w:ascii="Calibri" w:hAnsi="Calibri" w:cs="Calibri"/>
          <w:sz w:val="22"/>
          <w:szCs w:val="22"/>
        </w:rPr>
        <w:t>demonstrate</w:t>
      </w:r>
      <w:r w:rsidR="00E07B6E">
        <w:rPr>
          <w:rFonts w:ascii="Calibri" w:hAnsi="Calibri" w:cs="Calibri"/>
          <w:sz w:val="22"/>
          <w:szCs w:val="22"/>
        </w:rPr>
        <w:t xml:space="preserve"> </w:t>
      </w:r>
      <w:r w:rsidR="00CE4C5D">
        <w:rPr>
          <w:rFonts w:ascii="Calibri" w:hAnsi="Calibri" w:cs="Calibri"/>
          <w:sz w:val="22"/>
          <w:szCs w:val="22"/>
        </w:rPr>
        <w:t xml:space="preserve">how </w:t>
      </w:r>
      <w:r w:rsidR="00E07B6E">
        <w:rPr>
          <w:rFonts w:ascii="Calibri" w:hAnsi="Calibri" w:cs="Calibri"/>
          <w:sz w:val="22"/>
          <w:szCs w:val="22"/>
        </w:rPr>
        <w:t xml:space="preserve">socio-legal </w:t>
      </w:r>
      <w:r w:rsidR="00CE4C5D">
        <w:rPr>
          <w:rFonts w:ascii="Calibri" w:hAnsi="Calibri" w:cs="Calibri"/>
          <w:sz w:val="22"/>
          <w:szCs w:val="22"/>
        </w:rPr>
        <w:t>human rights research can be</w:t>
      </w:r>
      <w:r w:rsidR="00C162DB">
        <w:rPr>
          <w:rFonts w:ascii="Calibri" w:hAnsi="Calibri" w:cs="Calibri"/>
          <w:sz w:val="22"/>
          <w:szCs w:val="22"/>
        </w:rPr>
        <w:t xml:space="preserve"> informed by </w:t>
      </w:r>
      <w:r w:rsidR="00CE4C5D">
        <w:rPr>
          <w:rFonts w:ascii="Calibri" w:hAnsi="Calibri" w:cs="Calibri"/>
          <w:sz w:val="22"/>
          <w:szCs w:val="22"/>
        </w:rPr>
        <w:t xml:space="preserve">methodological </w:t>
      </w:r>
      <w:r w:rsidR="00C162DB">
        <w:rPr>
          <w:rFonts w:ascii="Calibri" w:hAnsi="Calibri" w:cs="Calibri"/>
          <w:sz w:val="22"/>
          <w:szCs w:val="22"/>
        </w:rPr>
        <w:t xml:space="preserve">approaches within the wider </w:t>
      </w:r>
      <w:r w:rsidR="002D4B91">
        <w:rPr>
          <w:rFonts w:ascii="Calibri" w:hAnsi="Calibri" w:cs="Calibri"/>
          <w:sz w:val="22"/>
          <w:szCs w:val="22"/>
        </w:rPr>
        <w:t>social sciences</w:t>
      </w:r>
      <w:r w:rsidR="00E07B6E">
        <w:rPr>
          <w:rFonts w:ascii="Calibri" w:hAnsi="Calibri" w:cs="Calibri"/>
          <w:sz w:val="22"/>
          <w:szCs w:val="22"/>
        </w:rPr>
        <w:t xml:space="preserve"> and </w:t>
      </w:r>
      <w:r w:rsidR="00C00381" w:rsidRPr="00136F3A">
        <w:rPr>
          <w:rFonts w:ascii="Calibri" w:hAnsi="Calibri" w:cs="Calibri"/>
          <w:sz w:val="22"/>
          <w:szCs w:val="22"/>
        </w:rPr>
        <w:t xml:space="preserve">explore </w:t>
      </w:r>
      <w:r w:rsidR="00DE3A9C">
        <w:rPr>
          <w:rFonts w:ascii="Calibri" w:hAnsi="Calibri" w:cs="Calibri"/>
          <w:sz w:val="22"/>
          <w:szCs w:val="22"/>
        </w:rPr>
        <w:t>how</w:t>
      </w:r>
      <w:r w:rsidR="00E07B6E">
        <w:rPr>
          <w:rFonts w:ascii="Calibri" w:hAnsi="Calibri" w:cs="Calibri"/>
          <w:sz w:val="22"/>
          <w:szCs w:val="22"/>
        </w:rPr>
        <w:t xml:space="preserve"> borrowed elements </w:t>
      </w:r>
      <w:r w:rsidR="00C162DB">
        <w:rPr>
          <w:rFonts w:ascii="Calibri" w:hAnsi="Calibri" w:cs="Calibri"/>
          <w:sz w:val="22"/>
          <w:szCs w:val="22"/>
        </w:rPr>
        <w:t>from</w:t>
      </w:r>
      <w:r w:rsidR="00E07B6E">
        <w:rPr>
          <w:rFonts w:ascii="Calibri" w:hAnsi="Calibri" w:cs="Calibri"/>
          <w:sz w:val="22"/>
          <w:szCs w:val="22"/>
        </w:rPr>
        <w:t xml:space="preserve"> </w:t>
      </w:r>
      <w:r w:rsidR="007F22BC">
        <w:rPr>
          <w:rFonts w:ascii="Calibri" w:hAnsi="Calibri" w:cs="Calibri"/>
          <w:sz w:val="22"/>
          <w:szCs w:val="22"/>
        </w:rPr>
        <w:t>social science</w:t>
      </w:r>
      <w:r w:rsidR="00E07B6E">
        <w:rPr>
          <w:rFonts w:ascii="Calibri" w:hAnsi="Calibri" w:cs="Calibri"/>
          <w:sz w:val="22"/>
          <w:szCs w:val="22"/>
        </w:rPr>
        <w:t xml:space="preserve"> research methods</w:t>
      </w:r>
      <w:r w:rsidR="00CC48A6">
        <w:rPr>
          <w:rFonts w:ascii="Calibri" w:hAnsi="Calibri" w:cs="Calibri"/>
          <w:sz w:val="22"/>
          <w:szCs w:val="22"/>
        </w:rPr>
        <w:t>,</w:t>
      </w:r>
      <w:r w:rsidR="00C00381" w:rsidRPr="00136F3A">
        <w:rPr>
          <w:rFonts w:ascii="Calibri" w:hAnsi="Calibri" w:cs="Calibri"/>
          <w:sz w:val="22"/>
          <w:szCs w:val="22"/>
        </w:rPr>
        <w:t xml:space="preserve"> </w:t>
      </w:r>
      <w:r w:rsidR="00E07B6E">
        <w:rPr>
          <w:rFonts w:ascii="Calibri" w:hAnsi="Calibri" w:cs="Calibri"/>
          <w:sz w:val="22"/>
          <w:szCs w:val="22"/>
        </w:rPr>
        <w:t xml:space="preserve">such as </w:t>
      </w:r>
      <w:r w:rsidR="00C00381" w:rsidRPr="00136F3A">
        <w:rPr>
          <w:rFonts w:ascii="Calibri" w:hAnsi="Calibri" w:cs="Calibri"/>
          <w:sz w:val="22"/>
          <w:szCs w:val="22"/>
        </w:rPr>
        <w:t>research ethics</w:t>
      </w:r>
      <w:r w:rsidR="00E07B6E">
        <w:rPr>
          <w:rFonts w:ascii="Calibri" w:hAnsi="Calibri" w:cs="Calibri"/>
          <w:sz w:val="22"/>
          <w:szCs w:val="22"/>
        </w:rPr>
        <w:t>,</w:t>
      </w:r>
      <w:r w:rsidR="00C00381" w:rsidRPr="00136F3A">
        <w:rPr>
          <w:rFonts w:ascii="Calibri" w:hAnsi="Calibri" w:cs="Calibri"/>
          <w:sz w:val="22"/>
          <w:szCs w:val="22"/>
        </w:rPr>
        <w:t xml:space="preserve"> reflexivity </w:t>
      </w:r>
      <w:r w:rsidR="00E07B6E">
        <w:rPr>
          <w:rFonts w:ascii="Calibri" w:hAnsi="Calibri" w:cs="Calibri"/>
          <w:sz w:val="22"/>
          <w:szCs w:val="22"/>
        </w:rPr>
        <w:t>and</w:t>
      </w:r>
      <w:r w:rsidR="00F57092" w:rsidRPr="00136F3A">
        <w:rPr>
          <w:rFonts w:ascii="Calibri" w:hAnsi="Calibri" w:cs="Calibri"/>
          <w:sz w:val="22"/>
          <w:szCs w:val="22"/>
        </w:rPr>
        <w:t xml:space="preserve"> positionality, can be understood and </w:t>
      </w:r>
      <w:r w:rsidR="00CC48A6">
        <w:rPr>
          <w:rFonts w:ascii="Calibri" w:hAnsi="Calibri" w:cs="Calibri"/>
          <w:sz w:val="22"/>
          <w:szCs w:val="22"/>
        </w:rPr>
        <w:t>implemented</w:t>
      </w:r>
      <w:r w:rsidR="00E07B6E">
        <w:rPr>
          <w:rFonts w:ascii="Calibri" w:hAnsi="Calibri" w:cs="Calibri"/>
          <w:sz w:val="22"/>
          <w:szCs w:val="22"/>
        </w:rPr>
        <w:t>.</w:t>
      </w:r>
    </w:p>
    <w:p w14:paraId="26538F2C" w14:textId="6EA84C8B" w:rsidR="0060275E" w:rsidRPr="00136F3A" w:rsidRDefault="0060275E" w:rsidP="00FF525C">
      <w:pPr>
        <w:jc w:val="both"/>
        <w:rPr>
          <w:rFonts w:ascii="Calibri" w:hAnsi="Calibri" w:cs="Calibri"/>
          <w:sz w:val="22"/>
          <w:szCs w:val="22"/>
        </w:rPr>
      </w:pPr>
    </w:p>
    <w:p w14:paraId="287147FF" w14:textId="7074FE4A" w:rsidR="00F36E74" w:rsidRDefault="0060275E" w:rsidP="00FF525C">
      <w:pPr>
        <w:jc w:val="both"/>
        <w:rPr>
          <w:rFonts w:ascii="Calibri" w:hAnsi="Calibri" w:cs="Calibri"/>
          <w:sz w:val="22"/>
          <w:szCs w:val="22"/>
        </w:rPr>
      </w:pPr>
      <w:r w:rsidRPr="00136F3A">
        <w:rPr>
          <w:rFonts w:ascii="Calibri" w:hAnsi="Calibri" w:cs="Calibri"/>
          <w:sz w:val="22"/>
          <w:szCs w:val="22"/>
        </w:rPr>
        <w:t xml:space="preserve">This work </w:t>
      </w:r>
      <w:r w:rsidR="00CC48A6">
        <w:rPr>
          <w:rFonts w:ascii="Calibri" w:hAnsi="Calibri" w:cs="Calibri"/>
          <w:sz w:val="22"/>
          <w:szCs w:val="22"/>
        </w:rPr>
        <w:t>is</w:t>
      </w:r>
      <w:r w:rsidRPr="00136F3A">
        <w:rPr>
          <w:rFonts w:ascii="Calibri" w:hAnsi="Calibri" w:cs="Calibri"/>
          <w:sz w:val="22"/>
          <w:szCs w:val="22"/>
        </w:rPr>
        <w:t xml:space="preserve"> divided into </w:t>
      </w:r>
      <w:r w:rsidR="007718C9">
        <w:rPr>
          <w:rFonts w:ascii="Calibri" w:hAnsi="Calibri" w:cs="Calibri"/>
          <w:sz w:val="22"/>
          <w:szCs w:val="22"/>
        </w:rPr>
        <w:t>four</w:t>
      </w:r>
      <w:r w:rsidR="007718C9">
        <w:rPr>
          <w:rFonts w:ascii="Calibri" w:hAnsi="Calibri" w:cs="Calibri"/>
          <w:sz w:val="22"/>
          <w:szCs w:val="22"/>
        </w:rPr>
        <w:t xml:space="preserve"> </w:t>
      </w:r>
      <w:proofErr w:type="gramStart"/>
      <w:r w:rsidR="005051C4">
        <w:rPr>
          <w:rFonts w:ascii="Calibri" w:hAnsi="Calibri" w:cs="Calibri"/>
          <w:sz w:val="22"/>
          <w:szCs w:val="22"/>
        </w:rPr>
        <w:t>subsequent</w:t>
      </w:r>
      <w:proofErr w:type="gramEnd"/>
      <w:r w:rsidRPr="00136F3A">
        <w:rPr>
          <w:rFonts w:ascii="Calibri" w:hAnsi="Calibri" w:cs="Calibri"/>
          <w:sz w:val="22"/>
          <w:szCs w:val="22"/>
        </w:rPr>
        <w:t xml:space="preserve"> </w:t>
      </w:r>
      <w:r w:rsidR="005051C4">
        <w:rPr>
          <w:rFonts w:ascii="Calibri" w:hAnsi="Calibri" w:cs="Calibri"/>
          <w:sz w:val="22"/>
          <w:szCs w:val="22"/>
        </w:rPr>
        <w:t>sections</w:t>
      </w:r>
      <w:r w:rsidRPr="00136F3A">
        <w:rPr>
          <w:rFonts w:ascii="Calibri" w:hAnsi="Calibri" w:cs="Calibri"/>
          <w:sz w:val="22"/>
          <w:szCs w:val="22"/>
        </w:rPr>
        <w:t xml:space="preserve">. </w:t>
      </w:r>
      <w:r w:rsidR="00CC48A6">
        <w:rPr>
          <w:rFonts w:ascii="Calibri" w:hAnsi="Calibri" w:cs="Calibri"/>
          <w:sz w:val="22"/>
          <w:szCs w:val="22"/>
        </w:rPr>
        <w:t xml:space="preserve">Part </w:t>
      </w:r>
      <w:r w:rsidR="000132E5">
        <w:rPr>
          <w:rFonts w:ascii="Calibri" w:hAnsi="Calibri" w:cs="Calibri"/>
          <w:sz w:val="22"/>
          <w:szCs w:val="22"/>
        </w:rPr>
        <w:t>2</w:t>
      </w:r>
      <w:r w:rsidR="00CC48A6">
        <w:rPr>
          <w:rFonts w:ascii="Calibri" w:hAnsi="Calibri" w:cs="Calibri"/>
          <w:sz w:val="22"/>
          <w:szCs w:val="22"/>
        </w:rPr>
        <w:t xml:space="preserve"> </w:t>
      </w:r>
      <w:r w:rsidR="00443822" w:rsidRPr="00136F3A">
        <w:rPr>
          <w:rFonts w:ascii="Calibri" w:hAnsi="Calibri" w:cs="Calibri"/>
          <w:sz w:val="22"/>
          <w:szCs w:val="22"/>
        </w:rPr>
        <w:t>examine</w:t>
      </w:r>
      <w:r w:rsidR="00CC48A6">
        <w:rPr>
          <w:rFonts w:ascii="Calibri" w:hAnsi="Calibri" w:cs="Calibri"/>
          <w:sz w:val="22"/>
          <w:szCs w:val="22"/>
        </w:rPr>
        <w:t>s</w:t>
      </w:r>
      <w:r w:rsidR="004157FD">
        <w:rPr>
          <w:rFonts w:ascii="Calibri" w:hAnsi="Calibri" w:cs="Calibri"/>
          <w:sz w:val="22"/>
          <w:szCs w:val="22"/>
        </w:rPr>
        <w:t xml:space="preserve"> the broad concept of</w:t>
      </w:r>
      <w:r w:rsidR="00EB32DD" w:rsidRPr="00136F3A">
        <w:rPr>
          <w:rFonts w:ascii="Calibri" w:hAnsi="Calibri" w:cs="Calibri"/>
          <w:sz w:val="22"/>
          <w:szCs w:val="22"/>
        </w:rPr>
        <w:t xml:space="preserve"> </w:t>
      </w:r>
      <w:r w:rsidR="000759EF" w:rsidRPr="00136F3A">
        <w:rPr>
          <w:rFonts w:ascii="Calibri" w:hAnsi="Calibri" w:cs="Calibri"/>
          <w:sz w:val="22"/>
          <w:szCs w:val="22"/>
        </w:rPr>
        <w:t>socio-legal research</w:t>
      </w:r>
      <w:r w:rsidR="00C162DB">
        <w:rPr>
          <w:rFonts w:ascii="Calibri" w:hAnsi="Calibri" w:cs="Calibri"/>
          <w:sz w:val="22"/>
          <w:szCs w:val="22"/>
        </w:rPr>
        <w:t xml:space="preserve"> methods</w:t>
      </w:r>
      <w:r w:rsidR="004157FD">
        <w:rPr>
          <w:rFonts w:ascii="Calibri" w:hAnsi="Calibri" w:cs="Calibri"/>
          <w:sz w:val="22"/>
          <w:szCs w:val="22"/>
        </w:rPr>
        <w:t>, seeking to draw down into a narrower understanding of socio-legal human rights</w:t>
      </w:r>
      <w:r w:rsidR="00545943">
        <w:rPr>
          <w:rFonts w:ascii="Calibri" w:hAnsi="Calibri" w:cs="Calibri"/>
          <w:sz w:val="22"/>
          <w:szCs w:val="22"/>
        </w:rPr>
        <w:t>, placed</w:t>
      </w:r>
      <w:r w:rsidR="000759EF" w:rsidRPr="00136F3A">
        <w:rPr>
          <w:rFonts w:ascii="Calibri" w:hAnsi="Calibri" w:cs="Calibri"/>
          <w:sz w:val="22"/>
          <w:szCs w:val="22"/>
        </w:rPr>
        <w:t xml:space="preserve"> </w:t>
      </w:r>
      <w:r w:rsidR="00E07B6E">
        <w:rPr>
          <w:rFonts w:ascii="Calibri" w:hAnsi="Calibri" w:cs="Calibri"/>
          <w:sz w:val="22"/>
          <w:szCs w:val="22"/>
        </w:rPr>
        <w:t>within the context of</w:t>
      </w:r>
      <w:r w:rsidR="0011597B">
        <w:rPr>
          <w:rFonts w:ascii="Calibri" w:hAnsi="Calibri" w:cs="Calibri"/>
          <w:sz w:val="22"/>
          <w:szCs w:val="22"/>
        </w:rPr>
        <w:t xml:space="preserve"> </w:t>
      </w:r>
      <w:r w:rsidR="00BE6740">
        <w:rPr>
          <w:rFonts w:ascii="Calibri" w:hAnsi="Calibri" w:cs="Calibri"/>
          <w:sz w:val="22"/>
          <w:szCs w:val="22"/>
        </w:rPr>
        <w:t xml:space="preserve">desk-based </w:t>
      </w:r>
      <w:r w:rsidR="0011597B">
        <w:rPr>
          <w:rFonts w:ascii="Calibri" w:hAnsi="Calibri" w:cs="Calibri"/>
          <w:sz w:val="22"/>
          <w:szCs w:val="22"/>
        </w:rPr>
        <w:t>research at the intersection of</w:t>
      </w:r>
      <w:r w:rsidR="00E07B6E">
        <w:rPr>
          <w:rFonts w:ascii="Calibri" w:hAnsi="Calibri" w:cs="Calibri"/>
          <w:sz w:val="22"/>
          <w:szCs w:val="22"/>
        </w:rPr>
        <w:t xml:space="preserve"> </w:t>
      </w:r>
      <w:r w:rsidR="00BC229B">
        <w:rPr>
          <w:rFonts w:ascii="Calibri" w:hAnsi="Calibri" w:cs="Calibri"/>
          <w:sz w:val="22"/>
          <w:szCs w:val="22"/>
        </w:rPr>
        <w:t>BHR</w:t>
      </w:r>
      <w:r w:rsidR="0011597B">
        <w:rPr>
          <w:rFonts w:ascii="Calibri" w:hAnsi="Calibri" w:cs="Calibri"/>
          <w:sz w:val="22"/>
          <w:szCs w:val="22"/>
        </w:rPr>
        <w:t xml:space="preserve"> and the Right to Health</w:t>
      </w:r>
      <w:r w:rsidR="000759EF" w:rsidRPr="00136F3A">
        <w:rPr>
          <w:rFonts w:ascii="Calibri" w:hAnsi="Calibri" w:cs="Calibri"/>
          <w:sz w:val="22"/>
          <w:szCs w:val="22"/>
        </w:rPr>
        <w:t xml:space="preserve">. </w:t>
      </w:r>
      <w:r w:rsidR="00CC48A6">
        <w:rPr>
          <w:rFonts w:ascii="Calibri" w:hAnsi="Calibri" w:cs="Calibri"/>
          <w:sz w:val="22"/>
          <w:szCs w:val="22"/>
        </w:rPr>
        <w:t xml:space="preserve">Part </w:t>
      </w:r>
      <w:r w:rsidR="000132E5">
        <w:rPr>
          <w:rFonts w:ascii="Calibri" w:hAnsi="Calibri" w:cs="Calibri"/>
          <w:sz w:val="22"/>
          <w:szCs w:val="22"/>
        </w:rPr>
        <w:t>3</w:t>
      </w:r>
      <w:r w:rsidR="002E2D24" w:rsidRPr="00136F3A">
        <w:rPr>
          <w:rFonts w:ascii="Calibri" w:hAnsi="Calibri" w:cs="Calibri"/>
          <w:sz w:val="22"/>
          <w:szCs w:val="22"/>
        </w:rPr>
        <w:t xml:space="preserve"> </w:t>
      </w:r>
      <w:r w:rsidR="00545943">
        <w:rPr>
          <w:rFonts w:ascii="Calibri" w:hAnsi="Calibri" w:cs="Calibri"/>
          <w:sz w:val="22"/>
          <w:szCs w:val="22"/>
        </w:rPr>
        <w:t xml:space="preserve">seeks to place </w:t>
      </w:r>
      <w:r w:rsidR="00BE6740">
        <w:rPr>
          <w:rFonts w:ascii="Calibri" w:hAnsi="Calibri" w:cs="Calibri"/>
          <w:sz w:val="22"/>
          <w:szCs w:val="22"/>
        </w:rPr>
        <w:t>desk-based,</w:t>
      </w:r>
      <w:r w:rsidR="00545943">
        <w:rPr>
          <w:rFonts w:ascii="Calibri" w:hAnsi="Calibri" w:cs="Calibri"/>
          <w:sz w:val="22"/>
          <w:szCs w:val="22"/>
        </w:rPr>
        <w:t xml:space="preserve"> socio-legal human rights </w:t>
      </w:r>
      <w:r w:rsidR="002E2D24" w:rsidRPr="00136F3A">
        <w:rPr>
          <w:rFonts w:ascii="Calibri" w:hAnsi="Calibri" w:cs="Calibri"/>
          <w:sz w:val="22"/>
          <w:szCs w:val="22"/>
        </w:rPr>
        <w:t>within the wider framework of qualitative research</w:t>
      </w:r>
      <w:r w:rsidR="00D73D7C">
        <w:rPr>
          <w:rFonts w:ascii="Calibri" w:hAnsi="Calibri" w:cs="Calibri"/>
          <w:sz w:val="22"/>
          <w:szCs w:val="22"/>
        </w:rPr>
        <w:t>. I</w:t>
      </w:r>
      <w:r w:rsidR="00CC48A6">
        <w:rPr>
          <w:rFonts w:ascii="Calibri" w:hAnsi="Calibri" w:cs="Calibri"/>
          <w:sz w:val="22"/>
          <w:szCs w:val="22"/>
        </w:rPr>
        <w:t xml:space="preserve"> </w:t>
      </w:r>
      <w:r w:rsidR="008B3725">
        <w:rPr>
          <w:rFonts w:ascii="Calibri" w:hAnsi="Calibri" w:cs="Calibri"/>
          <w:sz w:val="22"/>
          <w:szCs w:val="22"/>
        </w:rPr>
        <w:t xml:space="preserve">argue </w:t>
      </w:r>
      <w:r w:rsidR="00F84B75" w:rsidRPr="00136F3A">
        <w:rPr>
          <w:rFonts w:ascii="Calibri" w:hAnsi="Calibri" w:cs="Calibri"/>
          <w:sz w:val="22"/>
          <w:szCs w:val="22"/>
        </w:rPr>
        <w:t>that</w:t>
      </w:r>
      <w:r w:rsidR="00416371" w:rsidRPr="00136F3A">
        <w:rPr>
          <w:rFonts w:ascii="Calibri" w:hAnsi="Calibri" w:cs="Calibri"/>
          <w:sz w:val="22"/>
          <w:szCs w:val="22"/>
        </w:rPr>
        <w:t xml:space="preserve"> </w:t>
      </w:r>
      <w:r w:rsidR="00BE6740">
        <w:rPr>
          <w:rFonts w:ascii="Calibri" w:hAnsi="Calibri" w:cs="Calibri"/>
          <w:sz w:val="22"/>
          <w:szCs w:val="22"/>
        </w:rPr>
        <w:t xml:space="preserve">desk-based, </w:t>
      </w:r>
      <w:r w:rsidR="005B5EFD" w:rsidRPr="00136F3A">
        <w:rPr>
          <w:rFonts w:ascii="Calibri" w:hAnsi="Calibri" w:cs="Calibri"/>
          <w:sz w:val="22"/>
          <w:szCs w:val="22"/>
        </w:rPr>
        <w:t>socio-legal</w:t>
      </w:r>
      <w:r w:rsidR="0023321B">
        <w:rPr>
          <w:rFonts w:ascii="Calibri" w:hAnsi="Calibri" w:cs="Calibri"/>
          <w:sz w:val="22"/>
          <w:szCs w:val="22"/>
        </w:rPr>
        <w:t xml:space="preserve"> human rights</w:t>
      </w:r>
      <w:r w:rsidR="005B5EFD" w:rsidRPr="00136F3A">
        <w:rPr>
          <w:rFonts w:ascii="Calibri" w:hAnsi="Calibri" w:cs="Calibri"/>
          <w:sz w:val="22"/>
          <w:szCs w:val="22"/>
        </w:rPr>
        <w:t xml:space="preserve"> research </w:t>
      </w:r>
      <w:r w:rsidR="00BE6740">
        <w:rPr>
          <w:rFonts w:ascii="Calibri" w:hAnsi="Calibri" w:cs="Calibri"/>
          <w:sz w:val="22"/>
          <w:szCs w:val="22"/>
        </w:rPr>
        <w:t>should</w:t>
      </w:r>
      <w:r w:rsidR="00BE6740" w:rsidRPr="00136F3A">
        <w:rPr>
          <w:rFonts w:ascii="Calibri" w:hAnsi="Calibri" w:cs="Calibri"/>
          <w:sz w:val="22"/>
          <w:szCs w:val="22"/>
        </w:rPr>
        <w:t xml:space="preserve"> </w:t>
      </w:r>
      <w:r w:rsidR="00C021A3">
        <w:rPr>
          <w:rFonts w:ascii="Calibri" w:hAnsi="Calibri" w:cs="Calibri"/>
          <w:sz w:val="22"/>
          <w:szCs w:val="22"/>
        </w:rPr>
        <w:t>considered</w:t>
      </w:r>
      <w:r w:rsidR="005B5EFD" w:rsidRPr="00136F3A">
        <w:rPr>
          <w:rFonts w:ascii="Calibri" w:hAnsi="Calibri" w:cs="Calibri"/>
          <w:sz w:val="22"/>
          <w:szCs w:val="22"/>
        </w:rPr>
        <w:t xml:space="preserve"> an extension of qualitative research disciplines</w:t>
      </w:r>
      <w:r w:rsidR="00944345" w:rsidRPr="00136F3A">
        <w:rPr>
          <w:rFonts w:ascii="Calibri" w:hAnsi="Calibri" w:cs="Calibri"/>
          <w:sz w:val="22"/>
          <w:szCs w:val="22"/>
        </w:rPr>
        <w:t>,</w:t>
      </w:r>
      <w:r w:rsidR="005B5EFD" w:rsidRPr="00136F3A">
        <w:rPr>
          <w:rFonts w:ascii="Calibri" w:hAnsi="Calibri" w:cs="Calibri"/>
          <w:sz w:val="22"/>
          <w:szCs w:val="22"/>
        </w:rPr>
        <w:t xml:space="preserve"> rather than a discrete methodological entity.</w:t>
      </w:r>
      <w:r w:rsidR="00FD6629" w:rsidRPr="00136F3A">
        <w:rPr>
          <w:rFonts w:ascii="Calibri" w:hAnsi="Calibri" w:cs="Calibri"/>
          <w:sz w:val="22"/>
          <w:szCs w:val="22"/>
        </w:rPr>
        <w:t xml:space="preserve"> </w:t>
      </w:r>
      <w:r w:rsidR="00487960">
        <w:rPr>
          <w:rFonts w:ascii="Calibri" w:hAnsi="Calibri" w:cs="Calibri"/>
          <w:sz w:val="22"/>
          <w:szCs w:val="22"/>
        </w:rPr>
        <w:t>Using the above research project as an example</w:t>
      </w:r>
      <w:r w:rsidR="00927A44">
        <w:rPr>
          <w:rFonts w:ascii="Calibri" w:hAnsi="Calibri" w:cs="Calibri"/>
          <w:sz w:val="22"/>
          <w:szCs w:val="22"/>
        </w:rPr>
        <w:t xml:space="preserve">, </w:t>
      </w:r>
      <w:r w:rsidR="008B3725">
        <w:rPr>
          <w:rFonts w:ascii="Calibri" w:hAnsi="Calibri" w:cs="Calibri"/>
          <w:sz w:val="22"/>
          <w:szCs w:val="22"/>
        </w:rPr>
        <w:t>I</w:t>
      </w:r>
      <w:r w:rsidR="00FD6629" w:rsidRPr="00136F3A">
        <w:rPr>
          <w:rFonts w:ascii="Calibri" w:hAnsi="Calibri" w:cs="Calibri"/>
          <w:sz w:val="22"/>
          <w:szCs w:val="22"/>
        </w:rPr>
        <w:t xml:space="preserve"> </w:t>
      </w:r>
      <w:r w:rsidR="00944345" w:rsidRPr="00136F3A">
        <w:rPr>
          <w:rFonts w:ascii="Calibri" w:hAnsi="Calibri" w:cs="Calibri"/>
          <w:sz w:val="22"/>
          <w:szCs w:val="22"/>
        </w:rPr>
        <w:t xml:space="preserve">critically </w:t>
      </w:r>
      <w:r w:rsidR="00FD6629" w:rsidRPr="00136F3A">
        <w:rPr>
          <w:rFonts w:ascii="Calibri" w:hAnsi="Calibri" w:cs="Calibri"/>
          <w:sz w:val="22"/>
          <w:szCs w:val="22"/>
        </w:rPr>
        <w:t xml:space="preserve">explore </w:t>
      </w:r>
      <w:r w:rsidR="00927A44">
        <w:rPr>
          <w:rFonts w:ascii="Calibri" w:hAnsi="Calibri" w:cs="Calibri"/>
          <w:sz w:val="22"/>
          <w:szCs w:val="22"/>
        </w:rPr>
        <w:t>how</w:t>
      </w:r>
      <w:r w:rsidR="00722E99">
        <w:rPr>
          <w:rFonts w:ascii="Calibri" w:hAnsi="Calibri" w:cs="Calibri"/>
          <w:sz w:val="22"/>
          <w:szCs w:val="22"/>
        </w:rPr>
        <w:t xml:space="preserve"> these interdisciplinary</w:t>
      </w:r>
      <w:r w:rsidR="00927A44">
        <w:rPr>
          <w:rFonts w:ascii="Calibri" w:hAnsi="Calibri" w:cs="Calibri"/>
          <w:sz w:val="22"/>
          <w:szCs w:val="22"/>
        </w:rPr>
        <w:t xml:space="preserve"> </w:t>
      </w:r>
      <w:r w:rsidR="00722E99">
        <w:rPr>
          <w:rFonts w:ascii="Calibri" w:hAnsi="Calibri" w:cs="Calibri"/>
          <w:sz w:val="22"/>
          <w:szCs w:val="22"/>
        </w:rPr>
        <w:t xml:space="preserve">insights can </w:t>
      </w:r>
      <w:proofErr w:type="gramStart"/>
      <w:r w:rsidR="00722E99">
        <w:rPr>
          <w:rFonts w:ascii="Calibri" w:hAnsi="Calibri" w:cs="Calibri"/>
          <w:sz w:val="22"/>
          <w:szCs w:val="22"/>
        </w:rPr>
        <w:t>be applied</w:t>
      </w:r>
      <w:proofErr w:type="gramEnd"/>
      <w:r w:rsidR="00722E99">
        <w:rPr>
          <w:rFonts w:ascii="Calibri" w:hAnsi="Calibri" w:cs="Calibri"/>
          <w:sz w:val="22"/>
          <w:szCs w:val="22"/>
        </w:rPr>
        <w:t xml:space="preserve"> to research</w:t>
      </w:r>
      <w:r w:rsidR="00FD6629" w:rsidRPr="00136F3A">
        <w:rPr>
          <w:rFonts w:ascii="Calibri" w:hAnsi="Calibri" w:cs="Calibri"/>
          <w:sz w:val="22"/>
          <w:szCs w:val="22"/>
        </w:rPr>
        <w:t xml:space="preserve"> ethics</w:t>
      </w:r>
      <w:r w:rsidR="00722E99">
        <w:rPr>
          <w:rFonts w:ascii="Calibri" w:hAnsi="Calibri" w:cs="Calibri"/>
          <w:sz w:val="22"/>
          <w:szCs w:val="22"/>
        </w:rPr>
        <w:t xml:space="preserve"> (Part </w:t>
      </w:r>
      <w:r w:rsidR="000132E5">
        <w:rPr>
          <w:rFonts w:ascii="Calibri" w:hAnsi="Calibri" w:cs="Calibri"/>
          <w:sz w:val="22"/>
          <w:szCs w:val="22"/>
        </w:rPr>
        <w:t>4</w:t>
      </w:r>
      <w:r w:rsidR="00722E99">
        <w:rPr>
          <w:rFonts w:ascii="Calibri" w:hAnsi="Calibri" w:cs="Calibri"/>
          <w:sz w:val="22"/>
          <w:szCs w:val="22"/>
        </w:rPr>
        <w:t>)</w:t>
      </w:r>
      <w:r w:rsidR="00C7526B">
        <w:rPr>
          <w:rFonts w:ascii="Calibri" w:hAnsi="Calibri" w:cs="Calibri"/>
          <w:sz w:val="22"/>
          <w:szCs w:val="22"/>
        </w:rPr>
        <w:t xml:space="preserve">, as well as positionality and reflexivity (Part </w:t>
      </w:r>
      <w:r w:rsidR="000132E5">
        <w:rPr>
          <w:rFonts w:ascii="Calibri" w:hAnsi="Calibri" w:cs="Calibri"/>
          <w:sz w:val="22"/>
          <w:szCs w:val="22"/>
        </w:rPr>
        <w:t>5</w:t>
      </w:r>
      <w:r w:rsidR="00487960">
        <w:rPr>
          <w:rFonts w:ascii="Calibri" w:hAnsi="Calibri" w:cs="Calibri"/>
          <w:sz w:val="22"/>
          <w:szCs w:val="22"/>
        </w:rPr>
        <w:t>) in the context of desk-based socio-legal human rights research</w:t>
      </w:r>
      <w:r w:rsidR="008373EA">
        <w:rPr>
          <w:rFonts w:ascii="Calibri" w:hAnsi="Calibri" w:cs="Calibri"/>
          <w:sz w:val="22"/>
          <w:szCs w:val="22"/>
        </w:rPr>
        <w:t>.</w:t>
      </w:r>
    </w:p>
    <w:p w14:paraId="07AE0AFF" w14:textId="2A73B61F" w:rsidR="00047EF5" w:rsidRDefault="00047EF5" w:rsidP="00E07B6E">
      <w:pPr>
        <w:jc w:val="both"/>
        <w:rPr>
          <w:rFonts w:ascii="Calibri" w:hAnsi="Calibri" w:cs="Calibri"/>
          <w:sz w:val="22"/>
          <w:szCs w:val="22"/>
        </w:rPr>
      </w:pPr>
    </w:p>
    <w:p w14:paraId="66B3E73F" w14:textId="77777777" w:rsidR="00B22D8C" w:rsidRPr="00136F3A" w:rsidRDefault="00B22D8C" w:rsidP="00FF525C">
      <w:pPr>
        <w:jc w:val="both"/>
        <w:rPr>
          <w:rFonts w:ascii="Calibri" w:hAnsi="Calibri" w:cs="Calibri"/>
          <w:sz w:val="22"/>
          <w:szCs w:val="22"/>
        </w:rPr>
      </w:pPr>
    </w:p>
    <w:p w14:paraId="36753C19" w14:textId="2FC5C7AE" w:rsidR="002C57FB" w:rsidRPr="00536954" w:rsidRDefault="00536954" w:rsidP="00536954">
      <w:pPr>
        <w:pStyle w:val="ListParagraph"/>
        <w:numPr>
          <w:ilvl w:val="0"/>
          <w:numId w:val="6"/>
        </w:numPr>
        <w:spacing w:after="240"/>
        <w:rPr>
          <w:rFonts w:ascii="Calibri" w:hAnsi="Calibri" w:cs="Calibri"/>
          <w:b/>
          <w:bCs/>
          <w:sz w:val="22"/>
          <w:szCs w:val="22"/>
        </w:rPr>
      </w:pPr>
      <w:r w:rsidRPr="00536954">
        <w:rPr>
          <w:rFonts w:ascii="Calibri" w:hAnsi="Calibri" w:cs="Calibri"/>
          <w:b/>
          <w:bCs/>
          <w:sz w:val="22"/>
          <w:szCs w:val="22"/>
        </w:rPr>
        <w:t>Understanding socio-legal</w:t>
      </w:r>
      <w:r w:rsidR="007D32B3">
        <w:rPr>
          <w:rFonts w:ascii="Calibri" w:hAnsi="Calibri" w:cs="Calibri"/>
          <w:b/>
          <w:bCs/>
          <w:sz w:val="22"/>
          <w:szCs w:val="22"/>
        </w:rPr>
        <w:t xml:space="preserve"> human rights</w:t>
      </w:r>
      <w:r w:rsidRPr="00536954">
        <w:rPr>
          <w:rFonts w:ascii="Calibri" w:hAnsi="Calibri" w:cs="Calibri"/>
          <w:b/>
          <w:bCs/>
          <w:sz w:val="22"/>
          <w:szCs w:val="22"/>
        </w:rPr>
        <w:t xml:space="preserve"> research</w:t>
      </w:r>
    </w:p>
    <w:p w14:paraId="2A2439DE" w14:textId="5DA068D5" w:rsidR="00B41A67" w:rsidRPr="00136F3A" w:rsidRDefault="001B652A" w:rsidP="00FF525C">
      <w:pPr>
        <w:jc w:val="both"/>
        <w:rPr>
          <w:rFonts w:ascii="Calibri" w:hAnsi="Calibri" w:cs="Calibri"/>
          <w:sz w:val="22"/>
          <w:szCs w:val="22"/>
        </w:rPr>
      </w:pPr>
      <w:r w:rsidRPr="00136F3A">
        <w:rPr>
          <w:rFonts w:ascii="Calibri" w:hAnsi="Calibri" w:cs="Calibri"/>
          <w:sz w:val="22"/>
          <w:szCs w:val="22"/>
        </w:rPr>
        <w:t xml:space="preserve">Socio-legal research </w:t>
      </w:r>
      <w:r w:rsidR="00D576F5" w:rsidRPr="00136F3A">
        <w:rPr>
          <w:rFonts w:ascii="Calibri" w:hAnsi="Calibri" w:cs="Calibri"/>
          <w:sz w:val="22"/>
          <w:szCs w:val="22"/>
        </w:rPr>
        <w:t xml:space="preserve">is a </w:t>
      </w:r>
      <w:r w:rsidR="00B41A67" w:rsidRPr="00136F3A">
        <w:rPr>
          <w:rFonts w:ascii="Calibri" w:hAnsi="Calibri" w:cs="Calibri"/>
          <w:sz w:val="22"/>
          <w:szCs w:val="22"/>
        </w:rPr>
        <w:t>broad</w:t>
      </w:r>
      <w:r w:rsidR="00D738A4">
        <w:rPr>
          <w:rFonts w:ascii="Calibri" w:hAnsi="Calibri" w:cs="Calibri"/>
          <w:sz w:val="22"/>
          <w:szCs w:val="22"/>
        </w:rPr>
        <w:t xml:space="preserve"> umbrella</w:t>
      </w:r>
      <w:r w:rsidR="00D576F5" w:rsidRPr="00136F3A">
        <w:rPr>
          <w:rFonts w:ascii="Calibri" w:hAnsi="Calibri" w:cs="Calibri"/>
          <w:sz w:val="22"/>
          <w:szCs w:val="22"/>
        </w:rPr>
        <w:t xml:space="preserve"> </w:t>
      </w:r>
      <w:r w:rsidR="000F4FD7" w:rsidRPr="00136F3A">
        <w:rPr>
          <w:rFonts w:ascii="Calibri" w:hAnsi="Calibri" w:cs="Calibri"/>
          <w:sz w:val="22"/>
          <w:szCs w:val="22"/>
        </w:rPr>
        <w:t>term</w:t>
      </w:r>
      <w:r w:rsidR="00D738A4">
        <w:rPr>
          <w:rFonts w:ascii="Calibri" w:hAnsi="Calibri" w:cs="Calibri"/>
          <w:sz w:val="22"/>
          <w:szCs w:val="22"/>
        </w:rPr>
        <w:t>,</w:t>
      </w:r>
      <w:r w:rsidR="005520D1">
        <w:rPr>
          <w:rFonts w:ascii="Calibri" w:hAnsi="Calibri" w:cs="Calibri"/>
          <w:sz w:val="22"/>
          <w:szCs w:val="22"/>
        </w:rPr>
        <w:t xml:space="preserve"> </w:t>
      </w:r>
      <w:r w:rsidR="00207E36">
        <w:rPr>
          <w:rFonts w:ascii="Calibri" w:hAnsi="Calibri" w:cs="Calibri"/>
          <w:sz w:val="22"/>
          <w:szCs w:val="22"/>
        </w:rPr>
        <w:t>un</w:t>
      </w:r>
      <w:r w:rsidR="00D576F5" w:rsidRPr="00136F3A">
        <w:rPr>
          <w:rFonts w:ascii="Calibri" w:hAnsi="Calibri" w:cs="Calibri"/>
          <w:sz w:val="22"/>
          <w:szCs w:val="22"/>
        </w:rPr>
        <w:t xml:space="preserve">confined to a singular method or definition. </w:t>
      </w:r>
      <w:r w:rsidR="0059690B" w:rsidRPr="00136F3A">
        <w:rPr>
          <w:rFonts w:ascii="Calibri" w:hAnsi="Calibri" w:cs="Calibri"/>
          <w:sz w:val="22"/>
          <w:szCs w:val="22"/>
        </w:rPr>
        <w:t xml:space="preserve">The term ‘socio-legal’ derives from the interaction between methodologies </w:t>
      </w:r>
      <w:r w:rsidR="00D268A5" w:rsidRPr="00136F3A">
        <w:rPr>
          <w:rFonts w:ascii="Calibri" w:hAnsi="Calibri" w:cs="Calibri"/>
          <w:sz w:val="22"/>
          <w:szCs w:val="22"/>
        </w:rPr>
        <w:t xml:space="preserve">within both the legal and sociological research fields. It emerged in response to a perceived inadequacy with </w:t>
      </w:r>
      <w:r w:rsidR="00216F27" w:rsidRPr="00136F3A">
        <w:rPr>
          <w:rFonts w:ascii="Calibri" w:hAnsi="Calibri" w:cs="Calibri"/>
          <w:sz w:val="22"/>
          <w:szCs w:val="22"/>
        </w:rPr>
        <w:t xml:space="preserve">contemporary legal methodologies </w:t>
      </w:r>
      <w:r w:rsidR="00CF7E4C" w:rsidRPr="00136F3A">
        <w:rPr>
          <w:rFonts w:ascii="Calibri" w:hAnsi="Calibri" w:cs="Calibri"/>
          <w:sz w:val="22"/>
          <w:szCs w:val="22"/>
        </w:rPr>
        <w:t xml:space="preserve">such as the pure ‘doctrinal’ </w:t>
      </w:r>
      <w:r w:rsidR="000F4FD7" w:rsidRPr="00136F3A">
        <w:rPr>
          <w:rFonts w:ascii="Calibri" w:hAnsi="Calibri" w:cs="Calibri"/>
          <w:sz w:val="22"/>
          <w:szCs w:val="22"/>
        </w:rPr>
        <w:t>approach</w:t>
      </w:r>
      <w:r w:rsidR="00CF7E4C" w:rsidRPr="00136F3A">
        <w:rPr>
          <w:rFonts w:ascii="Calibri" w:hAnsi="Calibri" w:cs="Calibri"/>
          <w:sz w:val="22"/>
          <w:szCs w:val="22"/>
        </w:rPr>
        <w:t xml:space="preserve"> </w:t>
      </w:r>
      <w:r w:rsidR="00252B2C"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{"citationItems":[{"id":"ITEM-1","itemData":{"abstract":"The doctrinal approach to teaching and researching law, focused exclusively on traditionallegal materials and the techniques required to interpret them (what Margaret Thornton has termed the‘ technocentric’ approach to law 1), constituted the dominant mode of law teaching and research until well into the twentieth century. 2 In the early years of the century, most law graduates came from the‘ golden triangle’ of Oxford, Cambridge and London universities, where the use of classic textbooks ensured that the legal education offered was doctrinal in nature. 3 Since it was graduates of these universities who became law teachers, they continued to foster the doctrinal approach to law. In addition, many provincial law schools were founded as a result of activity by local Law Societies, and as a result they were highly sensitive to the needs of the legal profession. 4 The pre-eminence of doctrinal law was also reinforced because, until the major expansion of universities brought about by the Robbins Report, many law school staff were part-time practitioners, whose orientation naturally tended to be towards the vocational aspects of law. It was not until after the mid-1960s that law schools began to employ young lecturers who were full-time academics, whose allegiance was to the development of law as an academic discipline, rather than to law as a vocational subject.","author":[{"dropping-particle":"","family":"Cownie","given":"Fiona","non-dropping-particle":"","parse-names":false,"suffix":""},{"dropping-particle":"","family":"Bradney","given":"Anthony","non-dropping-particle":"","parse-names":false,"suffix":""}],"chapter-number":"2","container-title":"Research Methods in Law","editor":[{"dropping-particle":"","family":"Watkins","given":"Dawn","non-dropping-particle":"","parse-names":false,"suffix":""},{"dropping-particle":"","family":"Burton","given":"Mandy","non-dropping-particle":"","parse-names":false,"suffix":""}],"id":"ITEM-1","issued":{"date-parts":[["2017"]]},"page":"40-65","publisher":"Taylor &amp; Francis Group","title":"Socio-legal studies a challenge to the doctrinal approach","type":"chapter"},"locator":"41","uris":["http://www.mendeley.com/documents/?uuid=6eccdae3-6afc-4c98-8445-d7c69641686d"]}],"mendeley":{"formattedCitation":"(Cownie and Bradney, 2017, p. 41)","plainTextFormattedCitation":"(Cownie and Bradney, 2017, p. 41)","previouslyFormattedCitation":"(Cownie and Bradney, 2017, p. 41)"},"properties":{"noteIndex":0},"schema":"https://github.com/citation-style-language/schema/raw/master/csl-citation.json"}</w:instrText>
      </w:r>
      <w:r w:rsidR="00252B2C" w:rsidRPr="00136F3A">
        <w:rPr>
          <w:rFonts w:ascii="Calibri" w:hAnsi="Calibri" w:cs="Calibri"/>
          <w:sz w:val="22"/>
          <w:szCs w:val="22"/>
        </w:rPr>
        <w:fldChar w:fldCharType="separate"/>
      </w:r>
      <w:r w:rsidR="00252B2C" w:rsidRPr="00136F3A">
        <w:rPr>
          <w:rFonts w:ascii="Calibri" w:hAnsi="Calibri" w:cs="Calibri"/>
          <w:noProof/>
          <w:sz w:val="22"/>
          <w:szCs w:val="22"/>
        </w:rPr>
        <w:t>(Cownie and Bradney, 2017, p. 41)</w:t>
      </w:r>
      <w:r w:rsidR="00252B2C" w:rsidRPr="00136F3A">
        <w:rPr>
          <w:rFonts w:ascii="Calibri" w:hAnsi="Calibri" w:cs="Calibri"/>
          <w:sz w:val="22"/>
          <w:szCs w:val="22"/>
        </w:rPr>
        <w:fldChar w:fldCharType="end"/>
      </w:r>
      <w:r w:rsidR="000F4FD7" w:rsidRPr="00136F3A">
        <w:rPr>
          <w:rFonts w:ascii="Calibri" w:hAnsi="Calibri" w:cs="Calibri"/>
          <w:sz w:val="22"/>
          <w:szCs w:val="22"/>
        </w:rPr>
        <w:t>,</w:t>
      </w:r>
      <w:r w:rsidR="006E159F" w:rsidRPr="00136F3A">
        <w:rPr>
          <w:rFonts w:ascii="Calibri" w:hAnsi="Calibri" w:cs="Calibri"/>
          <w:sz w:val="22"/>
          <w:szCs w:val="22"/>
        </w:rPr>
        <w:t xml:space="preserve"> stemming from a dissatisfaction </w:t>
      </w:r>
      <w:r w:rsidR="000F4FD7" w:rsidRPr="00136F3A">
        <w:rPr>
          <w:rFonts w:ascii="Calibri" w:hAnsi="Calibri" w:cs="Calibri"/>
          <w:sz w:val="22"/>
          <w:szCs w:val="22"/>
        </w:rPr>
        <w:t>with</w:t>
      </w:r>
      <w:r w:rsidR="006E159F" w:rsidRPr="00136F3A">
        <w:rPr>
          <w:rFonts w:ascii="Calibri" w:hAnsi="Calibri" w:cs="Calibri"/>
          <w:sz w:val="22"/>
          <w:szCs w:val="22"/>
        </w:rPr>
        <w:t xml:space="preserve"> the restrictiv</w:t>
      </w:r>
      <w:r w:rsidR="000F4FD7" w:rsidRPr="00136F3A">
        <w:rPr>
          <w:rFonts w:ascii="Calibri" w:hAnsi="Calibri" w:cs="Calibri"/>
          <w:sz w:val="22"/>
          <w:szCs w:val="22"/>
        </w:rPr>
        <w:t xml:space="preserve">eness </w:t>
      </w:r>
      <w:r w:rsidR="006E159F" w:rsidRPr="00136F3A">
        <w:rPr>
          <w:rFonts w:ascii="Calibri" w:hAnsi="Calibri" w:cs="Calibri"/>
          <w:sz w:val="22"/>
          <w:szCs w:val="22"/>
        </w:rPr>
        <w:t xml:space="preserve">of traditional approaches </w:t>
      </w:r>
      <w:r w:rsidR="006E159F" w:rsidRPr="00136F3A">
        <w:rPr>
          <w:rFonts w:ascii="Calibri" w:hAnsi="Calibri" w:cs="Calibri"/>
          <w:sz w:val="22"/>
          <w:szCs w:val="22"/>
        </w:rPr>
        <w:fldChar w:fldCharType="begin" w:fldLock="1"/>
      </w:r>
      <w:r w:rsidR="006E159F" w:rsidRPr="00136F3A">
        <w:rPr>
          <w:rFonts w:ascii="Calibri" w:hAnsi="Calibri" w:cs="Calibri"/>
          <w:sz w:val="22"/>
          <w:szCs w:val="22"/>
        </w:rPr>
        <w:instrText>ADDIN CSL_CITATION {"citationItems":[{"id":"ITEM-1","itemData":{"author":[{"dropping-particle":"","family":"Klink","given":"Bart","non-dropping-particle":"van","parse-names":false,"suffix":""},{"dropping-particle":"","family":"Taekema","given":"Sanne","non-dropping-particle":"","parse-names":false,"suffix":""}],"container-title":"Tilburg University Legal Studies","id":"ITEM-1","issued":{"date-parts":[["2008"]]},"page":"1","title":"A Dynamic Model of Interdisciplinarity: Limits and Possibilities of Interdisciplinary Research into Law","type":"article-journal"},"locator":"2","uris":["http://www.mendeley.com/documents/?uuid=63e7e675-817a-4277-a9da-6b54917d05b0"]}],"mendeley":{"formattedCitation":"(van Klink and Taekema, 2008, p. 2)","plainTextFormattedCitation":"(van Klink and Taekema, 2008, p. 2)","previouslyFormattedCitation":"(van Klink and Taekema, 2008, p. 2)"},"properties":{"noteIndex":0},"schema":"https://github.com/citation-style-language/schema/raw/master/csl-citation.json"}</w:instrText>
      </w:r>
      <w:r w:rsidR="006E159F" w:rsidRPr="00136F3A">
        <w:rPr>
          <w:rFonts w:ascii="Calibri" w:hAnsi="Calibri" w:cs="Calibri"/>
          <w:sz w:val="22"/>
          <w:szCs w:val="22"/>
        </w:rPr>
        <w:fldChar w:fldCharType="separate"/>
      </w:r>
      <w:r w:rsidR="006E159F" w:rsidRPr="00136F3A">
        <w:rPr>
          <w:rFonts w:ascii="Calibri" w:hAnsi="Calibri" w:cs="Calibri"/>
          <w:noProof/>
          <w:sz w:val="22"/>
          <w:szCs w:val="22"/>
        </w:rPr>
        <w:t>(van Klink and Taekema, 2008, p. 2)</w:t>
      </w:r>
      <w:r w:rsidR="006E159F" w:rsidRPr="00136F3A">
        <w:rPr>
          <w:rFonts w:ascii="Calibri" w:hAnsi="Calibri" w:cs="Calibri"/>
          <w:sz w:val="22"/>
          <w:szCs w:val="22"/>
        </w:rPr>
        <w:fldChar w:fldCharType="end"/>
      </w:r>
      <w:r w:rsidR="006E159F" w:rsidRPr="00136F3A">
        <w:rPr>
          <w:rFonts w:ascii="Calibri" w:hAnsi="Calibri" w:cs="Calibri"/>
          <w:sz w:val="22"/>
          <w:szCs w:val="22"/>
        </w:rPr>
        <w:t>.</w:t>
      </w:r>
      <w:r w:rsidR="00CF7E4C" w:rsidRPr="00136F3A">
        <w:rPr>
          <w:rFonts w:ascii="Calibri" w:hAnsi="Calibri" w:cs="Calibri"/>
          <w:sz w:val="22"/>
          <w:szCs w:val="22"/>
        </w:rPr>
        <w:t xml:space="preserve"> </w:t>
      </w:r>
      <w:r w:rsidR="006E159F" w:rsidRPr="00136F3A">
        <w:rPr>
          <w:rFonts w:ascii="Calibri" w:hAnsi="Calibri" w:cs="Calibri"/>
          <w:sz w:val="22"/>
          <w:szCs w:val="22"/>
        </w:rPr>
        <w:t>M</w:t>
      </w:r>
      <w:r w:rsidR="00CF7E4C" w:rsidRPr="00136F3A">
        <w:rPr>
          <w:rFonts w:ascii="Calibri" w:hAnsi="Calibri" w:cs="Calibri"/>
          <w:sz w:val="22"/>
          <w:szCs w:val="22"/>
        </w:rPr>
        <w:t xml:space="preserve">any </w:t>
      </w:r>
      <w:r w:rsidR="003F155E" w:rsidRPr="00136F3A">
        <w:rPr>
          <w:rFonts w:ascii="Calibri" w:hAnsi="Calibri" w:cs="Calibri"/>
          <w:sz w:val="22"/>
          <w:szCs w:val="22"/>
        </w:rPr>
        <w:t>see</w:t>
      </w:r>
      <w:r w:rsidR="00CF7E4C" w:rsidRPr="00136F3A">
        <w:rPr>
          <w:rFonts w:ascii="Calibri" w:hAnsi="Calibri" w:cs="Calibri"/>
          <w:sz w:val="22"/>
          <w:szCs w:val="22"/>
        </w:rPr>
        <w:t xml:space="preserve"> it as a step towards</w:t>
      </w:r>
      <w:r w:rsidR="003C6642" w:rsidRPr="00136F3A">
        <w:rPr>
          <w:rFonts w:ascii="Calibri" w:hAnsi="Calibri" w:cs="Calibri"/>
          <w:sz w:val="22"/>
          <w:szCs w:val="22"/>
        </w:rPr>
        <w:t xml:space="preserve"> a greater ‘academic’ focus</w:t>
      </w:r>
      <w:r w:rsidR="00CB7EDB" w:rsidRPr="00136F3A">
        <w:rPr>
          <w:rFonts w:ascii="Calibri" w:hAnsi="Calibri" w:cs="Calibri"/>
          <w:sz w:val="22"/>
          <w:szCs w:val="22"/>
        </w:rPr>
        <w:t>,</w:t>
      </w:r>
      <w:r w:rsidR="003C6642" w:rsidRPr="00136F3A">
        <w:rPr>
          <w:rFonts w:ascii="Calibri" w:hAnsi="Calibri" w:cs="Calibri"/>
          <w:sz w:val="22"/>
          <w:szCs w:val="22"/>
        </w:rPr>
        <w:t xml:space="preserve"> in line with other disciplines, </w:t>
      </w:r>
      <w:r w:rsidR="001A00DA" w:rsidRPr="00136F3A">
        <w:rPr>
          <w:rFonts w:ascii="Calibri" w:hAnsi="Calibri" w:cs="Calibri"/>
          <w:sz w:val="22"/>
          <w:szCs w:val="22"/>
        </w:rPr>
        <w:t xml:space="preserve">contrasting </w:t>
      </w:r>
      <w:r w:rsidR="003C6642" w:rsidRPr="00136F3A">
        <w:rPr>
          <w:rFonts w:ascii="Calibri" w:hAnsi="Calibri" w:cs="Calibri"/>
          <w:sz w:val="22"/>
          <w:szCs w:val="22"/>
        </w:rPr>
        <w:t xml:space="preserve">classically practice-driven approaches </w:t>
      </w:r>
      <w:r w:rsidR="003C6642"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{"citationItems":[{"id":"ITEM-1","itemData":{"abstract":"The doctrinal approach to teaching and researching law, focused exclusively on traditionallegal materials and the techniques required to interpret them (what Margaret Thornton has termed the‘ technocentric’ approach to law 1), constituted the dominant mode of law teaching and research until well into the twentieth century. 2 In the early years of the century, most law graduates came from the‘ golden triangle’ of Oxford, Cambridge and London universities, where the use of classic textbooks ensured that the legal education offered was doctrinal in nature. 3 Since it was graduates of these universities who became law teachers, they continued to foster the doctrinal approach to law. In addition, many provincial law schools were founded as a result of activity by local Law Societies, and as a result they were highly sensitive to the needs of the legal profession. 4 The pre-eminence of doctrinal law was also reinforced because, until the major expansion of universities brought about by the Robbins Report, many law school staff were part-time practitioners, whose orientation naturally tended to be towards the vocational aspects of law. It was not until after the mid-1960s that law schools began to employ young lecturers who were full-time academics, whose allegiance was to the development of law as an academic discipline, rather than to law as a vocational subject.","author":[{"dropping-particle":"","family":"Cownie","given":"Fiona","non-dropping-particle":"","parse-names":false,"suffix":""},{"dropping-particle":"","family":"Bradney","given":"Anthony","non-dropping-particle":"","parse-names":false,"suffix":""}],"chapter-number":"2","container-title":"Research Methods in Law","editor":[{"dropping-particle":"","family":"Watkins","given":"Dawn","non-dropping-particle":"","parse-names":false,"suffix":""},{"dropping-particle":"","family":"Burton","given":"Mandy","non-dropping-particle":"","parse-names":false,"suffix":""}],"id":"ITEM-1","issued":{"date-parts":[["2017"]]},"page":"40-65","publisher":"Taylor &amp; Francis Group","title":"Socio-legal studies a challenge to the doctrinal approach","type":"chapter"},"locator":"41","uris":["http://www.mendeley.com/documents/?uuid=6eccdae3-6afc-4c98-8445-d7c69641686d"]}],"mendeley":{"formattedCitation":"(Cownie and Bradney, 2017, p. 41)","plainTextFormattedCitation":"(Cownie and Bradney, 2017, p. 41)","previouslyFormattedCitation":"(Cownie and Bradney, 2017, p. 41)"},"properties":{"noteIndex":0},"schema":"https://github.com/citation-style-language/schema/raw/master/csl-citation.json"}</w:instrText>
      </w:r>
      <w:r w:rsidR="003C6642" w:rsidRPr="00136F3A">
        <w:rPr>
          <w:rFonts w:ascii="Calibri" w:hAnsi="Calibri" w:cs="Calibri"/>
          <w:sz w:val="22"/>
          <w:szCs w:val="22"/>
        </w:rPr>
        <w:fldChar w:fldCharType="separate"/>
      </w:r>
      <w:r w:rsidR="003C6642" w:rsidRPr="00136F3A">
        <w:rPr>
          <w:rFonts w:ascii="Calibri" w:hAnsi="Calibri" w:cs="Calibri"/>
          <w:noProof/>
          <w:sz w:val="22"/>
          <w:szCs w:val="22"/>
        </w:rPr>
        <w:t>(Cownie and Bradney, 2017, p. 41)</w:t>
      </w:r>
      <w:r w:rsidR="003C6642" w:rsidRPr="00136F3A">
        <w:rPr>
          <w:rFonts w:ascii="Calibri" w:hAnsi="Calibri" w:cs="Calibri"/>
          <w:sz w:val="22"/>
          <w:szCs w:val="22"/>
        </w:rPr>
        <w:fldChar w:fldCharType="end"/>
      </w:r>
      <w:r w:rsidR="008B46D6" w:rsidRPr="00136F3A">
        <w:rPr>
          <w:rFonts w:ascii="Calibri" w:hAnsi="Calibri" w:cs="Calibri"/>
          <w:sz w:val="22"/>
          <w:szCs w:val="22"/>
        </w:rPr>
        <w:t>.</w:t>
      </w:r>
      <w:r w:rsidR="005E0139" w:rsidRPr="00136F3A">
        <w:rPr>
          <w:rFonts w:ascii="Calibri" w:hAnsi="Calibri" w:cs="Calibri"/>
          <w:sz w:val="22"/>
          <w:szCs w:val="22"/>
        </w:rPr>
        <w:t xml:space="preserve"> </w:t>
      </w:r>
      <w:r w:rsidR="00D738A4">
        <w:rPr>
          <w:rFonts w:ascii="Calibri" w:hAnsi="Calibri" w:cs="Calibri"/>
          <w:sz w:val="22"/>
          <w:szCs w:val="22"/>
        </w:rPr>
        <w:t>S</w:t>
      </w:r>
      <w:r w:rsidR="00B41A67" w:rsidRPr="00136F3A">
        <w:rPr>
          <w:rFonts w:ascii="Calibri" w:hAnsi="Calibri" w:cs="Calibri"/>
          <w:sz w:val="22"/>
          <w:szCs w:val="22"/>
        </w:rPr>
        <w:t>ocio-legal research</w:t>
      </w:r>
      <w:r w:rsidR="00B13A6F" w:rsidRPr="00136F3A">
        <w:rPr>
          <w:rFonts w:ascii="Calibri" w:hAnsi="Calibri" w:cs="Calibri"/>
          <w:sz w:val="22"/>
          <w:szCs w:val="22"/>
        </w:rPr>
        <w:t xml:space="preserve"> </w:t>
      </w:r>
      <w:r w:rsidR="00B41A67" w:rsidRPr="00136F3A">
        <w:rPr>
          <w:rFonts w:ascii="Calibri" w:hAnsi="Calibri" w:cs="Calibri"/>
          <w:sz w:val="22"/>
          <w:szCs w:val="22"/>
        </w:rPr>
        <w:t xml:space="preserve">can </w:t>
      </w:r>
      <w:proofErr w:type="gramStart"/>
      <w:r w:rsidR="00B41A67" w:rsidRPr="00136F3A">
        <w:rPr>
          <w:rFonts w:ascii="Calibri" w:hAnsi="Calibri" w:cs="Calibri"/>
          <w:sz w:val="22"/>
          <w:szCs w:val="22"/>
        </w:rPr>
        <w:t>be seen</w:t>
      </w:r>
      <w:proofErr w:type="gramEnd"/>
      <w:r w:rsidR="00B41A67" w:rsidRPr="00136F3A">
        <w:rPr>
          <w:rFonts w:ascii="Calibri" w:hAnsi="Calibri" w:cs="Calibri"/>
          <w:sz w:val="22"/>
          <w:szCs w:val="22"/>
        </w:rPr>
        <w:t xml:space="preserve"> as </w:t>
      </w:r>
      <w:r w:rsidR="00397203" w:rsidRPr="00136F3A">
        <w:rPr>
          <w:rFonts w:ascii="Calibri" w:hAnsi="Calibri" w:cs="Calibri"/>
          <w:sz w:val="22"/>
          <w:szCs w:val="22"/>
        </w:rPr>
        <w:t>law placed in its social context</w:t>
      </w:r>
      <w:r w:rsidR="001A00DA" w:rsidRPr="00136F3A">
        <w:rPr>
          <w:rFonts w:ascii="Calibri" w:hAnsi="Calibri" w:cs="Calibri"/>
          <w:sz w:val="22"/>
          <w:szCs w:val="22"/>
        </w:rPr>
        <w:t>,</w:t>
      </w:r>
      <w:r w:rsidR="00397203" w:rsidRPr="00136F3A">
        <w:rPr>
          <w:rFonts w:ascii="Calibri" w:hAnsi="Calibri" w:cs="Calibri"/>
          <w:sz w:val="22"/>
          <w:szCs w:val="22"/>
        </w:rPr>
        <w:t xml:space="preserve"> from which it is indivisible. </w:t>
      </w:r>
      <w:r w:rsidR="00234D7D" w:rsidRPr="00136F3A">
        <w:rPr>
          <w:rFonts w:ascii="Calibri" w:hAnsi="Calibri" w:cs="Calibri"/>
          <w:sz w:val="22"/>
          <w:szCs w:val="22"/>
        </w:rPr>
        <w:t xml:space="preserve">It </w:t>
      </w:r>
      <w:r w:rsidR="00BE49D6" w:rsidRPr="00136F3A">
        <w:rPr>
          <w:rFonts w:ascii="Calibri" w:hAnsi="Calibri" w:cs="Calibri"/>
          <w:sz w:val="22"/>
          <w:szCs w:val="22"/>
        </w:rPr>
        <w:t>is</w:t>
      </w:r>
      <w:r w:rsidR="00234D7D" w:rsidRPr="00136F3A">
        <w:rPr>
          <w:rFonts w:ascii="Calibri" w:hAnsi="Calibri" w:cs="Calibri"/>
          <w:sz w:val="22"/>
          <w:szCs w:val="22"/>
        </w:rPr>
        <w:t xml:space="preserve"> the study of the interactions between the law and the social, historical and economic </w:t>
      </w:r>
      <w:r w:rsidR="005E0139" w:rsidRPr="00136F3A">
        <w:rPr>
          <w:rFonts w:ascii="Calibri" w:hAnsi="Calibri" w:cs="Calibri"/>
          <w:sz w:val="22"/>
          <w:szCs w:val="22"/>
        </w:rPr>
        <w:t xml:space="preserve">contexts within which it operates. </w:t>
      </w:r>
      <w:r w:rsidR="00321F06" w:rsidRPr="00136F3A">
        <w:rPr>
          <w:rFonts w:ascii="Calibri" w:hAnsi="Calibri" w:cs="Calibri"/>
          <w:sz w:val="22"/>
          <w:szCs w:val="22"/>
        </w:rPr>
        <w:t xml:space="preserve">It is a heterogeneous </w:t>
      </w:r>
      <w:r w:rsidR="00F220E6">
        <w:rPr>
          <w:rFonts w:ascii="Calibri" w:hAnsi="Calibri" w:cs="Calibri"/>
          <w:sz w:val="22"/>
          <w:szCs w:val="22"/>
        </w:rPr>
        <w:t>‘</w:t>
      </w:r>
      <w:r w:rsidR="003849E0" w:rsidRPr="00136F3A">
        <w:rPr>
          <w:rFonts w:ascii="Calibri" w:hAnsi="Calibri" w:cs="Calibri"/>
          <w:sz w:val="22"/>
          <w:szCs w:val="22"/>
        </w:rPr>
        <w:t>toolbox</w:t>
      </w:r>
      <w:r w:rsidR="00F220E6">
        <w:rPr>
          <w:rFonts w:ascii="Calibri" w:hAnsi="Calibri" w:cs="Calibri"/>
          <w:sz w:val="22"/>
          <w:szCs w:val="22"/>
        </w:rPr>
        <w:t>’</w:t>
      </w:r>
      <w:r w:rsidR="003849E0" w:rsidRPr="00136F3A">
        <w:rPr>
          <w:rFonts w:ascii="Calibri" w:hAnsi="Calibri" w:cs="Calibri"/>
          <w:sz w:val="22"/>
          <w:szCs w:val="22"/>
        </w:rPr>
        <w:t xml:space="preserve"> </w:t>
      </w:r>
      <w:r w:rsidR="00D73BA5"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{"citationItems":[{"id":"ITEM-1","itemData":{"author":[{"dropping-particle":"","family":"Langford","given":"Malcolm","non-dropping-particle":"","parse-names":false,"suffix":""}],"chapter-number":"8","container-title":"Research Methods in Human Rights: A Handbook","editor":[{"dropping-particle":"","family":"Andreassen","given":"Bård A.","non-dropping-particle":"","parse-names":false,"suffix":""},{"dropping-particle":"","family":"Sano","given":"Hans Otto","non-dropping-particle":"","parse-names":false,"suffix":""},{"dropping-particle":"","family":"McInerney-Lankford","given":"Siobhán","non-dropping-particle":"","parse-names":false,"suffix":""}],"id":"ITEM-1","issue":"1997","issued":{"date-parts":[["2017"]]},"page":"161-191","title":"Interdisciplinarity and multimethod research","type":"chapter","volume":"34"},"locator":"165","uris":["http://www.mendeley.com/documents/?uuid=058d0e0c-654d-4862-88d3-55c7ec119360"]}],"mendeley":{"formattedCitation":"(Langford, 2017, p. 165)","plainTextFormattedCitation":"(Langford, 2017, p. 165)","previouslyFormattedCitation":"(Langford, 2017, p. 165)"},"properties":{"noteIndex":0},"schema":"https://github.com/citation-style-language/schema/raw/master/csl-citation.json"}</w:instrText>
      </w:r>
      <w:r w:rsidR="00D73BA5" w:rsidRPr="00136F3A">
        <w:rPr>
          <w:rFonts w:ascii="Calibri" w:hAnsi="Calibri" w:cs="Calibri"/>
          <w:sz w:val="22"/>
          <w:szCs w:val="22"/>
        </w:rPr>
        <w:fldChar w:fldCharType="separate"/>
      </w:r>
      <w:r w:rsidR="00D73BA5" w:rsidRPr="00136F3A">
        <w:rPr>
          <w:rFonts w:ascii="Calibri" w:hAnsi="Calibri" w:cs="Calibri"/>
          <w:noProof/>
          <w:sz w:val="22"/>
          <w:szCs w:val="22"/>
        </w:rPr>
        <w:t>(Langford, 2017, p. 165)</w:t>
      </w:r>
      <w:r w:rsidR="00D73BA5" w:rsidRPr="00136F3A">
        <w:rPr>
          <w:rFonts w:ascii="Calibri" w:hAnsi="Calibri" w:cs="Calibri"/>
          <w:sz w:val="22"/>
          <w:szCs w:val="22"/>
        </w:rPr>
        <w:fldChar w:fldCharType="end"/>
      </w:r>
      <w:r w:rsidR="003849E0" w:rsidRPr="00136F3A">
        <w:rPr>
          <w:rFonts w:ascii="Calibri" w:hAnsi="Calibri" w:cs="Calibri"/>
          <w:sz w:val="22"/>
          <w:szCs w:val="22"/>
        </w:rPr>
        <w:t xml:space="preserve"> </w:t>
      </w:r>
      <w:r w:rsidR="00321F06" w:rsidRPr="00136F3A">
        <w:rPr>
          <w:rFonts w:ascii="Calibri" w:hAnsi="Calibri" w:cs="Calibri"/>
          <w:sz w:val="22"/>
          <w:szCs w:val="22"/>
        </w:rPr>
        <w:t xml:space="preserve">of </w:t>
      </w:r>
      <w:r w:rsidR="00DF78AD" w:rsidRPr="00136F3A">
        <w:rPr>
          <w:rFonts w:ascii="Calibri" w:hAnsi="Calibri" w:cs="Calibri"/>
          <w:sz w:val="22"/>
          <w:szCs w:val="22"/>
        </w:rPr>
        <w:t xml:space="preserve">methodological possibilities which can be drawn upon </w:t>
      </w:r>
      <w:r w:rsidR="00DE3A9C">
        <w:rPr>
          <w:rFonts w:ascii="Calibri" w:hAnsi="Calibri" w:cs="Calibri"/>
          <w:sz w:val="22"/>
          <w:szCs w:val="22"/>
        </w:rPr>
        <w:t>to</w:t>
      </w:r>
      <w:r w:rsidR="00DF78AD" w:rsidRPr="00136F3A">
        <w:rPr>
          <w:rFonts w:ascii="Calibri" w:hAnsi="Calibri" w:cs="Calibri"/>
          <w:sz w:val="22"/>
          <w:szCs w:val="22"/>
        </w:rPr>
        <w:t xml:space="preserve"> best adapt to the context of the research project.</w:t>
      </w:r>
      <w:r w:rsidR="00D2637D" w:rsidRPr="00136F3A">
        <w:rPr>
          <w:rFonts w:ascii="Calibri" w:hAnsi="Calibri" w:cs="Calibri"/>
          <w:sz w:val="22"/>
          <w:szCs w:val="22"/>
        </w:rPr>
        <w:t xml:space="preserve"> In this way, it represents a</w:t>
      </w:r>
      <w:r w:rsidR="00321AD0">
        <w:rPr>
          <w:rFonts w:ascii="Calibri" w:hAnsi="Calibri" w:cs="Calibri"/>
          <w:sz w:val="22"/>
          <w:szCs w:val="22"/>
        </w:rPr>
        <w:t xml:space="preserve"> </w:t>
      </w:r>
      <w:r w:rsidR="00715138" w:rsidRPr="00136F3A">
        <w:rPr>
          <w:rFonts w:ascii="Calibri" w:hAnsi="Calibri" w:cs="Calibri"/>
          <w:sz w:val="22"/>
          <w:szCs w:val="22"/>
        </w:rPr>
        <w:t xml:space="preserve">multiplicity of approaches </w:t>
      </w:r>
      <w:r w:rsidR="002D4B91">
        <w:rPr>
          <w:rFonts w:ascii="Calibri" w:hAnsi="Calibri" w:cs="Calibri"/>
          <w:sz w:val="22"/>
          <w:szCs w:val="22"/>
        </w:rPr>
        <w:t>that</w:t>
      </w:r>
      <w:r w:rsidR="00715138" w:rsidRPr="00136F3A">
        <w:rPr>
          <w:rFonts w:ascii="Calibri" w:hAnsi="Calibri" w:cs="Calibri"/>
          <w:sz w:val="22"/>
          <w:szCs w:val="22"/>
        </w:rPr>
        <w:t xml:space="preserve"> can broadly be understood as </w:t>
      </w:r>
      <w:r w:rsidR="00F220E6">
        <w:rPr>
          <w:rFonts w:ascii="Calibri" w:hAnsi="Calibri" w:cs="Calibri"/>
          <w:sz w:val="22"/>
          <w:szCs w:val="22"/>
        </w:rPr>
        <w:t>‘</w:t>
      </w:r>
      <w:r w:rsidR="00715138" w:rsidRPr="00136F3A">
        <w:rPr>
          <w:rFonts w:ascii="Calibri" w:hAnsi="Calibri" w:cs="Calibri"/>
          <w:sz w:val="22"/>
          <w:szCs w:val="22"/>
        </w:rPr>
        <w:t>law in context</w:t>
      </w:r>
      <w:r w:rsidR="00F220E6">
        <w:rPr>
          <w:rFonts w:ascii="Calibri" w:hAnsi="Calibri" w:cs="Calibri"/>
          <w:sz w:val="22"/>
          <w:szCs w:val="22"/>
        </w:rPr>
        <w:t>’</w:t>
      </w:r>
      <w:r w:rsidR="001731B3" w:rsidRPr="00136F3A">
        <w:rPr>
          <w:rFonts w:ascii="Calibri" w:hAnsi="Calibri" w:cs="Calibri"/>
          <w:sz w:val="22"/>
          <w:szCs w:val="22"/>
        </w:rPr>
        <w:t xml:space="preserve"> </w:t>
      </w:r>
      <w:r w:rsidR="001731B3" w:rsidRPr="00136F3A">
        <w:rPr>
          <w:rFonts w:ascii="Calibri" w:hAnsi="Calibri" w:cs="Calibri"/>
          <w:sz w:val="22"/>
          <w:szCs w:val="22"/>
        </w:rPr>
        <w:fldChar w:fldCharType="begin" w:fldLock="1"/>
      </w:r>
      <w:r w:rsidR="00066339" w:rsidRPr="00136F3A">
        <w:rPr>
          <w:rFonts w:ascii="Calibri" w:hAnsi="Calibri" w:cs="Calibri"/>
          <w:sz w:val="22"/>
          <w:szCs w:val="22"/>
        </w:rPr>
        <w:instrText>ADDIN CSL_CITATION {"citationItems":[{"id":"ITEM-1","itemData":{"author":[{"dropping-particle":"","family":"Cownie","given":"Fiona","non-dropping-particle":"","parse-names":false,"suffix":""}],"id":"ITEM-1","issued":{"date-parts":[["2004"]]},"number-of-pages":"1","publisher":"Hart Publishing","title":"Legal Academics: Culture and Identities","type":"book"},"locator":"58","uris":["http://www.mendeley.com/documents/?uuid=fd2e7fd0-6da3-4310-8e95-c476971c70fc"]}],"mendeley":{"formattedCitation":"(Cownie, 2004, p. 58)","plainTextFormattedCitation":"(Cownie, 2004, p. 58)","previouslyFormattedCitation":"(Cownie, 2004, p. 58)"},"properties":{"noteIndex":0},"schema":"https://github.com/citation-style-language/schema/raw/master/csl-citation.json"}</w:instrText>
      </w:r>
      <w:r w:rsidR="001731B3" w:rsidRPr="00136F3A">
        <w:rPr>
          <w:rFonts w:ascii="Calibri" w:hAnsi="Calibri" w:cs="Calibri"/>
          <w:sz w:val="22"/>
          <w:szCs w:val="22"/>
        </w:rPr>
        <w:fldChar w:fldCharType="separate"/>
      </w:r>
      <w:r w:rsidR="001731B3" w:rsidRPr="00136F3A">
        <w:rPr>
          <w:rFonts w:ascii="Calibri" w:hAnsi="Calibri" w:cs="Calibri"/>
          <w:noProof/>
          <w:sz w:val="22"/>
          <w:szCs w:val="22"/>
        </w:rPr>
        <w:t>(Cownie, 2004, p. 58)</w:t>
      </w:r>
      <w:r w:rsidR="001731B3" w:rsidRPr="00136F3A">
        <w:rPr>
          <w:rFonts w:ascii="Calibri" w:hAnsi="Calibri" w:cs="Calibri"/>
          <w:sz w:val="22"/>
          <w:szCs w:val="22"/>
        </w:rPr>
        <w:fldChar w:fldCharType="end"/>
      </w:r>
      <w:r w:rsidR="00143FA6" w:rsidRPr="00136F3A">
        <w:rPr>
          <w:rFonts w:ascii="Calibri" w:hAnsi="Calibri" w:cs="Calibri"/>
          <w:sz w:val="22"/>
          <w:szCs w:val="22"/>
        </w:rPr>
        <w:t>.</w:t>
      </w:r>
    </w:p>
    <w:p w14:paraId="420E3EC0" w14:textId="378A3626" w:rsidR="007F4FB0" w:rsidRPr="00136F3A" w:rsidRDefault="007F4FB0" w:rsidP="00FF525C">
      <w:pPr>
        <w:jc w:val="both"/>
        <w:rPr>
          <w:rFonts w:ascii="Calibri" w:hAnsi="Calibri" w:cs="Calibri"/>
          <w:sz w:val="22"/>
          <w:szCs w:val="22"/>
        </w:rPr>
      </w:pPr>
    </w:p>
    <w:p w14:paraId="47CD0C30" w14:textId="2C217A40" w:rsidR="00BE1E3F" w:rsidRDefault="00321AD0" w:rsidP="00FF525C">
      <w:pPr>
        <w:jc w:val="both"/>
        <w:rPr>
          <w:rFonts w:ascii="Calibri" w:hAnsi="Calibri" w:cs="Calibri"/>
          <w:sz w:val="22"/>
          <w:szCs w:val="22"/>
        </w:rPr>
      </w:pPr>
      <w:r>
        <w:rPr>
          <w:rFonts w:ascii="Calibri" w:hAnsi="Calibri" w:cs="Calibri"/>
          <w:sz w:val="22"/>
          <w:szCs w:val="22"/>
        </w:rPr>
        <w:t xml:space="preserve">In the context of human rights research, </w:t>
      </w:r>
      <w:r w:rsidR="007F4FB0" w:rsidRPr="00136F3A">
        <w:rPr>
          <w:rFonts w:ascii="Calibri" w:hAnsi="Calibri" w:cs="Calibri"/>
          <w:sz w:val="22"/>
          <w:szCs w:val="22"/>
        </w:rPr>
        <w:t xml:space="preserve">this indivisibility and interdependence </w:t>
      </w:r>
      <w:r w:rsidR="00F723DC">
        <w:rPr>
          <w:rFonts w:ascii="Calibri" w:hAnsi="Calibri" w:cs="Calibri"/>
          <w:sz w:val="22"/>
          <w:szCs w:val="22"/>
        </w:rPr>
        <w:t>are</w:t>
      </w:r>
      <w:r w:rsidR="007F4FB0" w:rsidRPr="00136F3A">
        <w:rPr>
          <w:rFonts w:ascii="Calibri" w:hAnsi="Calibri" w:cs="Calibri"/>
          <w:sz w:val="22"/>
          <w:szCs w:val="22"/>
        </w:rPr>
        <w:t xml:space="preserve"> </w:t>
      </w:r>
      <w:r w:rsidR="0044136D" w:rsidRPr="00136F3A">
        <w:rPr>
          <w:rFonts w:ascii="Calibri" w:hAnsi="Calibri" w:cs="Calibri"/>
          <w:sz w:val="22"/>
          <w:szCs w:val="22"/>
        </w:rPr>
        <w:t>clear.</w:t>
      </w:r>
      <w:r w:rsidR="00C650A2" w:rsidRPr="00136F3A">
        <w:rPr>
          <w:rFonts w:ascii="Calibri" w:hAnsi="Calibri" w:cs="Calibri"/>
          <w:sz w:val="22"/>
          <w:szCs w:val="22"/>
        </w:rPr>
        <w:t xml:space="preserve"> </w:t>
      </w:r>
      <w:r w:rsidR="00FD1D6D">
        <w:rPr>
          <w:rFonts w:ascii="Calibri" w:hAnsi="Calibri" w:cs="Calibri"/>
          <w:sz w:val="22"/>
          <w:szCs w:val="22"/>
        </w:rPr>
        <w:t>T</w:t>
      </w:r>
      <w:r w:rsidR="00FD1D6D" w:rsidRPr="00136F3A">
        <w:rPr>
          <w:rFonts w:ascii="Calibri" w:hAnsi="Calibri" w:cs="Calibri"/>
          <w:sz w:val="22"/>
          <w:szCs w:val="22"/>
        </w:rPr>
        <w:t xml:space="preserve">he complex problems presented by </w:t>
      </w:r>
      <w:r w:rsidR="00FD1D6D">
        <w:rPr>
          <w:rFonts w:ascii="Calibri" w:hAnsi="Calibri" w:cs="Calibri"/>
          <w:sz w:val="22"/>
          <w:szCs w:val="22"/>
        </w:rPr>
        <w:t>international human rights law</w:t>
      </w:r>
      <w:r w:rsidR="00FD1D6D" w:rsidRPr="00136F3A">
        <w:rPr>
          <w:rFonts w:ascii="Calibri" w:hAnsi="Calibri" w:cs="Calibri"/>
          <w:sz w:val="22"/>
          <w:szCs w:val="22"/>
        </w:rPr>
        <w:t xml:space="preserve"> issues cannot be solved within </w:t>
      </w:r>
      <w:r w:rsidR="00FD1D6D">
        <w:rPr>
          <w:rFonts w:ascii="Calibri" w:hAnsi="Calibri" w:cs="Calibri"/>
          <w:sz w:val="22"/>
          <w:szCs w:val="22"/>
        </w:rPr>
        <w:t xml:space="preserve">the </w:t>
      </w:r>
      <w:r w:rsidR="00FD1D6D" w:rsidRPr="00136F3A">
        <w:rPr>
          <w:rFonts w:ascii="Calibri" w:hAnsi="Calibri" w:cs="Calibri"/>
          <w:sz w:val="22"/>
          <w:szCs w:val="22"/>
        </w:rPr>
        <w:t xml:space="preserve">traditional boundaries of mono-disciplinary research </w:t>
      </w:r>
      <w:r w:rsidR="00FD1D6D" w:rsidRPr="00136F3A">
        <w:rPr>
          <w:rFonts w:ascii="Calibri" w:hAnsi="Calibri" w:cs="Calibri"/>
          <w:sz w:val="22"/>
          <w:szCs w:val="22"/>
        </w:rPr>
        <w:fldChar w:fldCharType="begin" w:fldLock="1"/>
      </w:r>
      <w:r w:rsidR="00FD1D6D" w:rsidRPr="00136F3A">
        <w:rPr>
          <w:rFonts w:ascii="Calibri" w:hAnsi="Calibri" w:cs="Calibri"/>
          <w:sz w:val="22"/>
          <w:szCs w:val="22"/>
        </w:rPr>
        <w:instrText>ADDIN CSL_CITATION {"citationItems":[{"id":"ITEM-1","itemData":{"author":[{"dropping-particle":"","family":"Langford","given":"Malcolm","non-dropping-particle":"","parse-names":false,"suffix":""}],"chapter-number":"8","container-title":"Research Methods in Human Rights: A Handbook","editor":[{"dropping-particle":"","family":"Andreassen","given":"Bård A.","non-dropping-particle":"","parse-names":false,"suffix":""},{"dropping-particle":"","family":"Sano","given":"Hans Otto","non-dropping-particle":"","parse-names":false,"suffix":""},{"dropping-particle":"","family":"McInerney-Lankford","given":"Siobhán","non-dropping-particle":"","parse-names":false,"suffix":""}],"id":"ITEM-1","issue":"1997","issued":{"date-parts":[["2017"]]},"page":"161-191","title":"Interdisciplinarity and multimethod research","type":"chapter","volume":"34"},"locator":"164","uris":["http://www.mendeley.com/documents/?uuid=058d0e0c-654d-4862-88d3-55c7ec119360"]}],"mendeley":{"formattedCitation":"(Langford, 2017, p. 164)","plainTextFormattedCitation":"(Langford, 2017, p. 164)","previouslyFormattedCitation":"(Langford, 2017, p. 164)"},"properties":{"noteIndex":0},"schema":"https://github.com/citation-style-language/schema/raw/master/csl-citation.json"}</w:instrText>
      </w:r>
      <w:r w:rsidR="00FD1D6D" w:rsidRPr="00136F3A">
        <w:rPr>
          <w:rFonts w:ascii="Calibri" w:hAnsi="Calibri" w:cs="Calibri"/>
          <w:sz w:val="22"/>
          <w:szCs w:val="22"/>
        </w:rPr>
        <w:fldChar w:fldCharType="separate"/>
      </w:r>
      <w:r w:rsidR="00FD1D6D" w:rsidRPr="00136F3A">
        <w:rPr>
          <w:rFonts w:ascii="Calibri" w:hAnsi="Calibri" w:cs="Calibri"/>
          <w:noProof/>
          <w:sz w:val="22"/>
          <w:szCs w:val="22"/>
        </w:rPr>
        <w:t>(Langford, 2017, p. 164)</w:t>
      </w:r>
      <w:r w:rsidR="00FD1D6D" w:rsidRPr="00136F3A">
        <w:rPr>
          <w:rFonts w:ascii="Calibri" w:hAnsi="Calibri" w:cs="Calibri"/>
          <w:sz w:val="22"/>
          <w:szCs w:val="22"/>
        </w:rPr>
        <w:fldChar w:fldCharType="end"/>
      </w:r>
      <w:r w:rsidR="00FD1D6D" w:rsidRPr="00136F3A">
        <w:rPr>
          <w:rFonts w:ascii="Calibri" w:hAnsi="Calibri" w:cs="Calibri"/>
          <w:sz w:val="22"/>
          <w:szCs w:val="22"/>
        </w:rPr>
        <w:t>.</w:t>
      </w:r>
      <w:r w:rsidR="00FD1D6D">
        <w:rPr>
          <w:rFonts w:ascii="Calibri" w:hAnsi="Calibri" w:cs="Calibri"/>
          <w:sz w:val="22"/>
          <w:szCs w:val="22"/>
        </w:rPr>
        <w:t xml:space="preserve"> </w:t>
      </w:r>
      <w:r w:rsidR="00E45E3C">
        <w:rPr>
          <w:rFonts w:ascii="Calibri" w:hAnsi="Calibri" w:cs="Calibri"/>
          <w:sz w:val="22"/>
          <w:szCs w:val="22"/>
        </w:rPr>
        <w:t>Whilst legally substantiated within international treaties and documents, h</w:t>
      </w:r>
      <w:r w:rsidR="00216222">
        <w:rPr>
          <w:rFonts w:ascii="Calibri" w:hAnsi="Calibri" w:cs="Calibri"/>
          <w:sz w:val="22"/>
          <w:szCs w:val="22"/>
        </w:rPr>
        <w:t>uman rights research derives much of its meaning</w:t>
      </w:r>
      <w:r w:rsidR="00E45E3C">
        <w:rPr>
          <w:rFonts w:ascii="Calibri" w:hAnsi="Calibri" w:cs="Calibri"/>
          <w:sz w:val="22"/>
          <w:szCs w:val="22"/>
        </w:rPr>
        <w:t xml:space="preserve"> from </w:t>
      </w:r>
      <w:r w:rsidR="00E5222F">
        <w:rPr>
          <w:rFonts w:ascii="Calibri" w:hAnsi="Calibri" w:cs="Calibri"/>
          <w:sz w:val="22"/>
          <w:szCs w:val="22"/>
        </w:rPr>
        <w:t>its inseparability from human nature and the human condition. People, not laws sit at its heart.</w:t>
      </w:r>
      <w:r w:rsidR="005438BF">
        <w:rPr>
          <w:rFonts w:ascii="Calibri" w:hAnsi="Calibri" w:cs="Calibri"/>
          <w:sz w:val="22"/>
          <w:szCs w:val="22"/>
        </w:rPr>
        <w:t xml:space="preserve"> </w:t>
      </w:r>
      <w:r w:rsidR="00B73FDA">
        <w:rPr>
          <w:rFonts w:ascii="Calibri" w:hAnsi="Calibri" w:cs="Calibri"/>
          <w:sz w:val="22"/>
          <w:szCs w:val="22"/>
        </w:rPr>
        <w:t xml:space="preserve">They are the ‘context’ within which analysis must </w:t>
      </w:r>
      <w:proofErr w:type="gramStart"/>
      <w:r w:rsidR="00B73FDA">
        <w:rPr>
          <w:rFonts w:ascii="Calibri" w:hAnsi="Calibri" w:cs="Calibri"/>
          <w:sz w:val="22"/>
          <w:szCs w:val="22"/>
        </w:rPr>
        <w:t>be taken</w:t>
      </w:r>
      <w:proofErr w:type="gramEnd"/>
      <w:r w:rsidR="00BE1E3F">
        <w:rPr>
          <w:rFonts w:ascii="Calibri" w:hAnsi="Calibri" w:cs="Calibri"/>
          <w:sz w:val="22"/>
          <w:szCs w:val="22"/>
        </w:rPr>
        <w:t xml:space="preserve"> within a socio-legal human rights study. </w:t>
      </w:r>
    </w:p>
    <w:p w14:paraId="79292EDE" w14:textId="77777777" w:rsidR="00BE1E3F" w:rsidRDefault="00BE1E3F" w:rsidP="00FF525C">
      <w:pPr>
        <w:jc w:val="both"/>
        <w:rPr>
          <w:rFonts w:ascii="Calibri" w:hAnsi="Calibri" w:cs="Calibri"/>
          <w:sz w:val="22"/>
          <w:szCs w:val="22"/>
        </w:rPr>
      </w:pPr>
    </w:p>
    <w:p w14:paraId="4C4C26F2" w14:textId="74A6BEC0" w:rsidR="007F4FB0" w:rsidRDefault="005438BF" w:rsidP="00FF525C">
      <w:pPr>
        <w:jc w:val="both"/>
        <w:rPr>
          <w:rFonts w:ascii="Calibri" w:hAnsi="Calibri" w:cs="Calibri"/>
          <w:sz w:val="22"/>
          <w:szCs w:val="22"/>
        </w:rPr>
      </w:pPr>
      <w:r>
        <w:rPr>
          <w:rFonts w:ascii="Calibri" w:hAnsi="Calibri" w:cs="Calibri"/>
          <w:sz w:val="22"/>
          <w:szCs w:val="22"/>
        </w:rPr>
        <w:lastRenderedPageBreak/>
        <w:t xml:space="preserve">The interaction of human rights with business practices </w:t>
      </w:r>
      <w:r w:rsidR="00A20CA3">
        <w:rPr>
          <w:rFonts w:ascii="Calibri" w:hAnsi="Calibri" w:cs="Calibri"/>
          <w:sz w:val="22"/>
          <w:szCs w:val="22"/>
        </w:rPr>
        <w:t xml:space="preserve">takes this further. </w:t>
      </w:r>
      <w:r w:rsidR="005E0139" w:rsidRPr="00136F3A">
        <w:rPr>
          <w:rFonts w:ascii="Calibri" w:hAnsi="Calibri" w:cs="Calibri"/>
          <w:sz w:val="22"/>
          <w:szCs w:val="22"/>
        </w:rPr>
        <w:t>A</w:t>
      </w:r>
      <w:r w:rsidR="00386F7C" w:rsidRPr="00136F3A">
        <w:rPr>
          <w:rFonts w:ascii="Calibri" w:hAnsi="Calibri" w:cs="Calibri"/>
          <w:sz w:val="22"/>
          <w:szCs w:val="22"/>
        </w:rPr>
        <w:t xml:space="preserve">s </w:t>
      </w:r>
      <w:proofErr w:type="spellStart"/>
      <w:r w:rsidR="00386F7C" w:rsidRPr="00136F3A">
        <w:rPr>
          <w:rFonts w:ascii="Calibri" w:hAnsi="Calibri" w:cs="Calibri"/>
          <w:sz w:val="22"/>
          <w:szCs w:val="22"/>
        </w:rPr>
        <w:t>Buhmann</w:t>
      </w:r>
      <w:proofErr w:type="spellEnd"/>
      <w:r w:rsidR="00386F7C" w:rsidRPr="00136F3A">
        <w:rPr>
          <w:rFonts w:ascii="Calibri" w:hAnsi="Calibri" w:cs="Calibri"/>
          <w:sz w:val="22"/>
          <w:szCs w:val="22"/>
        </w:rPr>
        <w:t xml:space="preserve"> notes, </w:t>
      </w:r>
      <w:r w:rsidR="00BC229B">
        <w:rPr>
          <w:rFonts w:ascii="Calibri" w:hAnsi="Calibri" w:cs="Calibri"/>
          <w:sz w:val="22"/>
          <w:szCs w:val="22"/>
        </w:rPr>
        <w:t>BHR</w:t>
      </w:r>
      <w:r w:rsidR="00BB22AE">
        <w:rPr>
          <w:rFonts w:ascii="Calibri" w:hAnsi="Calibri" w:cs="Calibri"/>
          <w:sz w:val="22"/>
          <w:szCs w:val="22"/>
        </w:rPr>
        <w:t xml:space="preserve"> research</w:t>
      </w:r>
      <w:r w:rsidR="00840A02">
        <w:rPr>
          <w:rFonts w:ascii="Calibri" w:hAnsi="Calibri" w:cs="Calibri"/>
          <w:sz w:val="22"/>
          <w:szCs w:val="22"/>
        </w:rPr>
        <w:t xml:space="preserve"> </w:t>
      </w:r>
      <w:r w:rsidR="00386F7C" w:rsidRPr="00136F3A">
        <w:rPr>
          <w:rFonts w:ascii="Calibri" w:hAnsi="Calibri" w:cs="Calibri"/>
          <w:sz w:val="22"/>
          <w:szCs w:val="22"/>
        </w:rPr>
        <w:t xml:space="preserve">is inherently interdisciplinary </w:t>
      </w:r>
      <w:r w:rsidR="00840A02">
        <w:rPr>
          <w:rFonts w:ascii="Calibri" w:hAnsi="Calibri" w:cs="Calibri"/>
          <w:sz w:val="22"/>
          <w:szCs w:val="22"/>
        </w:rPr>
        <w:t xml:space="preserve">and </w:t>
      </w:r>
      <w:r w:rsidR="00386F7C" w:rsidRPr="00136F3A">
        <w:rPr>
          <w:rFonts w:ascii="Calibri" w:hAnsi="Calibri" w:cs="Calibri"/>
          <w:sz w:val="22"/>
          <w:szCs w:val="22"/>
        </w:rPr>
        <w:t xml:space="preserve">requires </w:t>
      </w:r>
      <w:r w:rsidR="008D757C" w:rsidRPr="00136F3A">
        <w:rPr>
          <w:rFonts w:ascii="Calibri" w:hAnsi="Calibri" w:cs="Calibri"/>
          <w:sz w:val="22"/>
          <w:szCs w:val="22"/>
        </w:rPr>
        <w:t xml:space="preserve">knowledge production </w:t>
      </w:r>
      <w:r w:rsidR="00F723DC">
        <w:rPr>
          <w:rFonts w:ascii="Calibri" w:hAnsi="Calibri" w:cs="Calibri"/>
          <w:sz w:val="22"/>
          <w:szCs w:val="22"/>
        </w:rPr>
        <w:t xml:space="preserve">to </w:t>
      </w:r>
      <w:r w:rsidR="008D757C" w:rsidRPr="00136F3A">
        <w:rPr>
          <w:rFonts w:ascii="Calibri" w:hAnsi="Calibri" w:cs="Calibri"/>
          <w:sz w:val="22"/>
          <w:szCs w:val="22"/>
        </w:rPr>
        <w:t xml:space="preserve">take place through an exchange between </w:t>
      </w:r>
      <w:r w:rsidR="00E70FFA" w:rsidRPr="00136F3A">
        <w:rPr>
          <w:rFonts w:ascii="Calibri" w:hAnsi="Calibri" w:cs="Calibri"/>
          <w:sz w:val="22"/>
          <w:szCs w:val="22"/>
        </w:rPr>
        <w:t>disciplines</w:t>
      </w:r>
      <w:r w:rsidR="008D757C" w:rsidRPr="00136F3A">
        <w:rPr>
          <w:rFonts w:ascii="Calibri" w:hAnsi="Calibri" w:cs="Calibri"/>
          <w:sz w:val="22"/>
          <w:szCs w:val="22"/>
        </w:rPr>
        <w:t xml:space="preserve"> </w:t>
      </w:r>
      <w:r w:rsidR="00E70FFA"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uthor":[{"dropping-particle":"","family":"Buhmann","given":"Karin","non-dropping-particle":"","parse-names":false,"suffix":""},{"dropping-particle":"","family":"Fasterling","given":"Björn","non-dropping-particle":"","parse-names":false,"suffix":""},{"dropping-particle":"","family":"Voiculescu","given":"Aurora","non-dropping-particle":"","parse-names":false,"suffix":""}],"container-title":"Nordic Journal of Human Rights","id":"ITEM-1","issue":"4","issued":{"date-parts":[["2018"]]},"page":"323-332","title":"Business &amp; human rights research methods","type":"article-journal","volume":"36"},"locator":"323","uris":["http://www.mendeley.com/documents/?uuid=611c5d01-0046-343a-9103-90b760da6db1"]}],"mendeley":{"formattedCitation":"(Buhmann, Fasterling and Voiculescu, 2018, p. 323)","plainTextFormattedCitation":"(Buhmann, Fasterling and Voiculescu, 2018, p. 323)","previouslyFormattedCitation":"(Buhmann, Fasterling and Voiculescu, 2018, p. 323)"},"properties":{"noteIndex":0},"schema":"https://github.com/citation-style-language/schema/raw/master/csl-citation.json"}</w:instrText>
      </w:r>
      <w:r w:rsidR="00E70FFA" w:rsidRPr="00136F3A">
        <w:rPr>
          <w:rFonts w:ascii="Calibri" w:hAnsi="Calibri" w:cs="Calibri"/>
          <w:sz w:val="22"/>
          <w:szCs w:val="22"/>
        </w:rPr>
        <w:fldChar w:fldCharType="separate"/>
      </w:r>
      <w:r w:rsidR="00E70FFA" w:rsidRPr="00136F3A">
        <w:rPr>
          <w:rFonts w:ascii="Calibri" w:hAnsi="Calibri" w:cs="Calibri"/>
          <w:noProof/>
          <w:sz w:val="22"/>
          <w:szCs w:val="22"/>
        </w:rPr>
        <w:t>(Buhmann, Fasterling and Voiculescu, 2018, p. 323)</w:t>
      </w:r>
      <w:r w:rsidR="00E70FFA" w:rsidRPr="00136F3A">
        <w:rPr>
          <w:rFonts w:ascii="Calibri" w:hAnsi="Calibri" w:cs="Calibri"/>
          <w:sz w:val="22"/>
          <w:szCs w:val="22"/>
        </w:rPr>
        <w:fldChar w:fldCharType="end"/>
      </w:r>
      <w:r w:rsidR="00E70FFA" w:rsidRPr="00136F3A">
        <w:rPr>
          <w:rFonts w:ascii="Calibri" w:hAnsi="Calibri" w:cs="Calibri"/>
          <w:sz w:val="22"/>
          <w:szCs w:val="22"/>
        </w:rPr>
        <w:t>.</w:t>
      </w:r>
      <w:r w:rsidR="00881FDB" w:rsidRPr="00136F3A">
        <w:rPr>
          <w:rFonts w:ascii="Calibri" w:hAnsi="Calibri" w:cs="Calibri"/>
          <w:sz w:val="22"/>
          <w:szCs w:val="22"/>
        </w:rPr>
        <w:t xml:space="preserve"> </w:t>
      </w:r>
      <w:r w:rsidR="00BC229B">
        <w:rPr>
          <w:rFonts w:ascii="Calibri" w:hAnsi="Calibri" w:cs="Calibri"/>
          <w:sz w:val="22"/>
          <w:szCs w:val="22"/>
        </w:rPr>
        <w:t>BHR</w:t>
      </w:r>
      <w:r w:rsidR="00BB22AE">
        <w:rPr>
          <w:rFonts w:ascii="Calibri" w:hAnsi="Calibri" w:cs="Calibri"/>
          <w:sz w:val="22"/>
          <w:szCs w:val="22"/>
        </w:rPr>
        <w:t xml:space="preserve"> research</w:t>
      </w:r>
      <w:r w:rsidR="00881FDB" w:rsidRPr="00136F3A">
        <w:rPr>
          <w:rFonts w:ascii="Calibri" w:hAnsi="Calibri" w:cs="Calibri"/>
          <w:sz w:val="22"/>
          <w:szCs w:val="22"/>
        </w:rPr>
        <w:t xml:space="preserve"> </w:t>
      </w:r>
      <w:r w:rsidR="008E69BE" w:rsidRPr="00136F3A">
        <w:rPr>
          <w:rFonts w:ascii="Calibri" w:hAnsi="Calibri" w:cs="Calibri"/>
          <w:sz w:val="22"/>
          <w:szCs w:val="22"/>
        </w:rPr>
        <w:t xml:space="preserve">demands an approach </w:t>
      </w:r>
      <w:r w:rsidR="00F723DC">
        <w:rPr>
          <w:rFonts w:ascii="Calibri" w:hAnsi="Calibri" w:cs="Calibri"/>
          <w:sz w:val="22"/>
          <w:szCs w:val="22"/>
        </w:rPr>
        <w:t>that</w:t>
      </w:r>
      <w:r w:rsidR="008E69BE" w:rsidRPr="00136F3A">
        <w:rPr>
          <w:rFonts w:ascii="Calibri" w:hAnsi="Calibri" w:cs="Calibri"/>
          <w:sz w:val="22"/>
          <w:szCs w:val="22"/>
        </w:rPr>
        <w:t xml:space="preserve"> goes beyond</w:t>
      </w:r>
      <w:r w:rsidR="007340CE">
        <w:rPr>
          <w:rFonts w:ascii="Calibri" w:hAnsi="Calibri" w:cs="Calibri"/>
          <w:sz w:val="22"/>
          <w:szCs w:val="22"/>
        </w:rPr>
        <w:t xml:space="preserve"> purely doctrinal</w:t>
      </w:r>
      <w:r w:rsidR="008E69BE" w:rsidRPr="00136F3A">
        <w:rPr>
          <w:rFonts w:ascii="Calibri" w:hAnsi="Calibri" w:cs="Calibri"/>
          <w:sz w:val="22"/>
          <w:szCs w:val="22"/>
        </w:rPr>
        <w:t xml:space="preserve"> </w:t>
      </w:r>
      <w:r w:rsidR="007340CE">
        <w:rPr>
          <w:rFonts w:ascii="Calibri" w:hAnsi="Calibri" w:cs="Calibri"/>
          <w:sz w:val="22"/>
          <w:szCs w:val="22"/>
        </w:rPr>
        <w:t>legal methods.</w:t>
      </w:r>
      <w:r w:rsidR="008E69BE" w:rsidRPr="00136F3A">
        <w:rPr>
          <w:rFonts w:ascii="Calibri" w:hAnsi="Calibri" w:cs="Calibri"/>
          <w:sz w:val="22"/>
          <w:szCs w:val="22"/>
        </w:rPr>
        <w:t xml:space="preserve"> </w:t>
      </w:r>
      <w:r w:rsidR="007340CE">
        <w:rPr>
          <w:rFonts w:ascii="Calibri" w:hAnsi="Calibri" w:cs="Calibri"/>
          <w:sz w:val="22"/>
          <w:szCs w:val="22"/>
        </w:rPr>
        <w:t>T</w:t>
      </w:r>
      <w:r w:rsidR="008E69BE" w:rsidRPr="00136F3A">
        <w:rPr>
          <w:rFonts w:ascii="Calibri" w:hAnsi="Calibri" w:cs="Calibri"/>
          <w:sz w:val="22"/>
          <w:szCs w:val="22"/>
        </w:rPr>
        <w:t xml:space="preserve">he majority of initiatives </w:t>
      </w:r>
      <w:r w:rsidR="00F723DC">
        <w:rPr>
          <w:rFonts w:ascii="Calibri" w:hAnsi="Calibri" w:cs="Calibri"/>
          <w:sz w:val="22"/>
          <w:szCs w:val="22"/>
        </w:rPr>
        <w:t>that</w:t>
      </w:r>
      <w:r w:rsidR="008E69BE" w:rsidRPr="00136F3A">
        <w:rPr>
          <w:rFonts w:ascii="Calibri" w:hAnsi="Calibri" w:cs="Calibri"/>
          <w:sz w:val="22"/>
          <w:szCs w:val="22"/>
        </w:rPr>
        <w:t xml:space="preserve"> </w:t>
      </w:r>
      <w:r w:rsidR="0085683D" w:rsidRPr="00136F3A">
        <w:rPr>
          <w:rFonts w:ascii="Calibri" w:hAnsi="Calibri" w:cs="Calibri"/>
          <w:sz w:val="22"/>
          <w:szCs w:val="22"/>
        </w:rPr>
        <w:t xml:space="preserve">work towards corporate accountability </w:t>
      </w:r>
      <w:r w:rsidR="007340CE">
        <w:rPr>
          <w:rFonts w:ascii="Calibri" w:hAnsi="Calibri" w:cs="Calibri"/>
          <w:sz w:val="22"/>
          <w:szCs w:val="22"/>
        </w:rPr>
        <w:t>stem</w:t>
      </w:r>
      <w:r w:rsidR="007340CE" w:rsidRPr="00136F3A">
        <w:rPr>
          <w:rFonts w:ascii="Calibri" w:hAnsi="Calibri" w:cs="Calibri"/>
          <w:sz w:val="22"/>
          <w:szCs w:val="22"/>
        </w:rPr>
        <w:t xml:space="preserve"> </w:t>
      </w:r>
      <w:r w:rsidR="00AA40B8" w:rsidRPr="00136F3A">
        <w:rPr>
          <w:rFonts w:ascii="Calibri" w:hAnsi="Calibri" w:cs="Calibri"/>
          <w:sz w:val="22"/>
          <w:szCs w:val="22"/>
        </w:rPr>
        <w:t xml:space="preserve">from so-called </w:t>
      </w:r>
      <w:r w:rsidR="00F220E6">
        <w:rPr>
          <w:rFonts w:ascii="Calibri" w:hAnsi="Calibri" w:cs="Calibri"/>
          <w:sz w:val="22"/>
          <w:szCs w:val="22"/>
        </w:rPr>
        <w:t>‘</w:t>
      </w:r>
      <w:r w:rsidR="00AA40B8" w:rsidRPr="00136F3A">
        <w:rPr>
          <w:rFonts w:ascii="Calibri" w:hAnsi="Calibri" w:cs="Calibri"/>
          <w:sz w:val="22"/>
          <w:szCs w:val="22"/>
        </w:rPr>
        <w:t>external-drivers</w:t>
      </w:r>
      <w:r w:rsidR="00F220E6">
        <w:rPr>
          <w:rFonts w:ascii="Calibri" w:hAnsi="Calibri" w:cs="Calibri"/>
          <w:sz w:val="22"/>
          <w:szCs w:val="22"/>
        </w:rPr>
        <w:t>’</w:t>
      </w:r>
      <w:r w:rsidR="00AA40B8" w:rsidRPr="00136F3A">
        <w:rPr>
          <w:rFonts w:ascii="Calibri" w:hAnsi="Calibri" w:cs="Calibri"/>
          <w:sz w:val="22"/>
          <w:szCs w:val="22"/>
        </w:rPr>
        <w:t xml:space="preserve"> </w:t>
      </w:r>
      <w:r w:rsidR="007A6ACA"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{"citationItems":[{"id":"ITEM-1","itemData":{"abstract":"The adoption of Corporate Social Responsibility (CSR) policies is no longer a matter of voluntary practice on the part of business. In one sense it was never really voluntary, being in most cases a response to market pressures and reputational risk. But increasingly CSR is also subject to legal pressure and legal enforcement, not necessarily in the form of conventional state regulation but rather through indirect state pressure and through the use of private law by private actors, sometimes through highly innovative uses of law. This paper analyses and critically assesses the market forces pressing for CSR. It then demonstrates the range of mechanisms being used to foster and enforce 'voluntary' CSR through law. However it also shows a two way relationship between CSR and law with market pressures being used to press for a new sense of responsibility in how business approaches legal compliance, with the emphasis on compliance with the spirit, not just the letter of the law. The paper demonstrates a widening range of governance methods being brought into play to form a new corporate accountability.","author":[{"dropping-particle":"","family":"McBarnet","given":"Doreen","non-dropping-particle":"","parse-names":false,"suffix":""}],"container-title":"SSRN Electronic Journal","id":"ITEM-1","issued":{"date-parts":[["2009"]]},"title":"Corporate Social Responsibility Beyond Law, Through Law, for Law","type":"article-journal"},"locator":"5","uris":["http://www.mendeley.com/documents/?uuid=5e970769-af66-4649-8268-7555a98cd737"]}],"mendeley":{"formattedCitation":"(McBarnet, 2009, p. 5)","plainTextFormattedCitation":"(McBarnet, 2009, p. 5)","previouslyFormattedCitation":"(McBarnet, 2009, p. 5)"},"properties":{"noteIndex":0},"schema":"https://github.com/citation-style-language/schema/raw/master/csl-citation.json"}</w:instrText>
      </w:r>
      <w:r w:rsidR="007A6ACA" w:rsidRPr="00136F3A">
        <w:rPr>
          <w:rFonts w:ascii="Calibri" w:hAnsi="Calibri" w:cs="Calibri"/>
          <w:sz w:val="22"/>
          <w:szCs w:val="22"/>
        </w:rPr>
        <w:fldChar w:fldCharType="separate"/>
      </w:r>
      <w:r w:rsidR="007A6ACA" w:rsidRPr="00136F3A">
        <w:rPr>
          <w:rFonts w:ascii="Calibri" w:hAnsi="Calibri" w:cs="Calibri"/>
          <w:noProof/>
          <w:sz w:val="22"/>
          <w:szCs w:val="22"/>
        </w:rPr>
        <w:t>(McBarnet, 2009, p. 5)</w:t>
      </w:r>
      <w:r w:rsidR="007A6ACA" w:rsidRPr="00136F3A">
        <w:rPr>
          <w:rFonts w:ascii="Calibri" w:hAnsi="Calibri" w:cs="Calibri"/>
          <w:sz w:val="22"/>
          <w:szCs w:val="22"/>
        </w:rPr>
        <w:fldChar w:fldCharType="end"/>
      </w:r>
      <w:r w:rsidR="007A6ACA" w:rsidRPr="00136F3A">
        <w:rPr>
          <w:rFonts w:ascii="Calibri" w:hAnsi="Calibri" w:cs="Calibri"/>
          <w:sz w:val="22"/>
          <w:szCs w:val="22"/>
        </w:rPr>
        <w:t xml:space="preserve"> </w:t>
      </w:r>
      <w:r w:rsidR="00AA40B8" w:rsidRPr="00136F3A">
        <w:rPr>
          <w:rFonts w:ascii="Calibri" w:hAnsi="Calibri" w:cs="Calibri"/>
          <w:sz w:val="22"/>
          <w:szCs w:val="22"/>
        </w:rPr>
        <w:t xml:space="preserve">such as societal pressure and non-governmental </w:t>
      </w:r>
      <w:r w:rsidR="007A6ACA" w:rsidRPr="00136F3A">
        <w:rPr>
          <w:rFonts w:ascii="Calibri" w:hAnsi="Calibri" w:cs="Calibri"/>
          <w:sz w:val="22"/>
          <w:szCs w:val="22"/>
        </w:rPr>
        <w:t xml:space="preserve">organizations </w:t>
      </w:r>
      <w:r w:rsidR="00C03A5E"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{"citationItems":[{"id":"ITEM-1","itemData":{"abstract":"The adoption of Corporate Social Responsibility (CSR) policies is no longer a matter of voluntary practice on the part of business. In one sense it was never really voluntary, being in most cases a response to market pressures and reputational risk. But increasingly CSR is also subject to legal pressure and legal enforcement, not necessarily in the form of conventional state regulation but rather through indirect state pressure and through the use of private law by private actors, sometimes through highly innovative uses of law. This paper analyses and critically assesses the market forces pressing for CSR. It then demonstrates the range of mechanisms being used to foster and enforce 'voluntary' CSR through law. However it also shows a two way relationship between CSR and law with market pressures being used to press for a new sense of responsibility in how business approaches legal compliance, with the emphasis on compliance with the spirit, not just the letter of the law. The paper demonstrates a widening range of governance methods being brought into play to form a new corporate accountability.","author":[{"dropping-particle":"","family":"McBarnet","given":"Doreen","non-dropping-particle":"","parse-names":false,"suffix":""}],"container-title":"SSRN Electronic Journal","id":"ITEM-1","issued":{"date-parts":[["2009"]]},"title":"Corporate Social Responsibility Beyond Law, Through Law, for Law","type":"article-journal"},"locator":"6","uris":["http://www.mendeley.com/documents/?uuid=5e970769-af66-4649-8268-7555a98cd737"]}],"mendeley":{"formattedCitation":"(McBarnet, 2009, p. 6)","plainTextFormattedCitation":"(McBarnet, 2009, p. 6)","previouslyFormattedCitation":"(McBarnet, 2009, p. 6)"},"properties":{"noteIndex":0},"schema":"https://github.com/citation-style-language/schema/raw/master/csl-citation.json"}</w:instrText>
      </w:r>
      <w:r w:rsidR="00C03A5E" w:rsidRPr="00136F3A">
        <w:rPr>
          <w:rFonts w:ascii="Calibri" w:hAnsi="Calibri" w:cs="Calibri"/>
          <w:sz w:val="22"/>
          <w:szCs w:val="22"/>
        </w:rPr>
        <w:fldChar w:fldCharType="separate"/>
      </w:r>
      <w:r w:rsidR="00C03A5E" w:rsidRPr="00136F3A">
        <w:rPr>
          <w:rFonts w:ascii="Calibri" w:hAnsi="Calibri" w:cs="Calibri"/>
          <w:noProof/>
          <w:sz w:val="22"/>
          <w:szCs w:val="22"/>
        </w:rPr>
        <w:t>(McBarnet, 2009, p. 6)</w:t>
      </w:r>
      <w:r w:rsidR="00C03A5E" w:rsidRPr="00136F3A">
        <w:rPr>
          <w:rFonts w:ascii="Calibri" w:hAnsi="Calibri" w:cs="Calibri"/>
          <w:sz w:val="22"/>
          <w:szCs w:val="22"/>
        </w:rPr>
        <w:fldChar w:fldCharType="end"/>
      </w:r>
      <w:r w:rsidR="00C03A5E" w:rsidRPr="00136F3A">
        <w:rPr>
          <w:rFonts w:ascii="Calibri" w:hAnsi="Calibri" w:cs="Calibri"/>
          <w:sz w:val="22"/>
          <w:szCs w:val="22"/>
        </w:rPr>
        <w:t>.</w:t>
      </w:r>
      <w:r w:rsidR="00100F5F" w:rsidRPr="00136F3A">
        <w:rPr>
          <w:rFonts w:ascii="Calibri" w:hAnsi="Calibri" w:cs="Calibri"/>
          <w:sz w:val="22"/>
          <w:szCs w:val="22"/>
        </w:rPr>
        <w:t xml:space="preserve"> Th</w:t>
      </w:r>
      <w:r w:rsidR="00D43A50">
        <w:rPr>
          <w:rFonts w:ascii="Calibri" w:hAnsi="Calibri" w:cs="Calibri"/>
          <w:sz w:val="22"/>
          <w:szCs w:val="22"/>
        </w:rPr>
        <w:t>e</w:t>
      </w:r>
      <w:r w:rsidR="00100F5F" w:rsidRPr="00136F3A">
        <w:rPr>
          <w:rFonts w:ascii="Calibri" w:hAnsi="Calibri" w:cs="Calibri"/>
          <w:sz w:val="22"/>
          <w:szCs w:val="22"/>
        </w:rPr>
        <w:t xml:space="preserve"> practical interaction of these groups </w:t>
      </w:r>
      <w:r w:rsidR="00D43A50">
        <w:rPr>
          <w:rFonts w:ascii="Calibri" w:hAnsi="Calibri" w:cs="Calibri"/>
          <w:sz w:val="22"/>
          <w:szCs w:val="22"/>
        </w:rPr>
        <w:t>with human rights norms produces</w:t>
      </w:r>
      <w:r w:rsidR="00BA4607" w:rsidRPr="00136F3A">
        <w:rPr>
          <w:rFonts w:ascii="Calibri" w:hAnsi="Calibri" w:cs="Calibri"/>
          <w:sz w:val="22"/>
          <w:szCs w:val="22"/>
        </w:rPr>
        <w:t xml:space="preserve"> a distinctly socio-legal requirement</w:t>
      </w:r>
      <w:r w:rsidR="00D43A50">
        <w:rPr>
          <w:rFonts w:ascii="Calibri" w:hAnsi="Calibri" w:cs="Calibri"/>
          <w:sz w:val="22"/>
          <w:szCs w:val="22"/>
        </w:rPr>
        <w:t xml:space="preserve"> for the research</w:t>
      </w:r>
      <w:r w:rsidR="007340CE">
        <w:rPr>
          <w:rFonts w:ascii="Calibri" w:hAnsi="Calibri" w:cs="Calibri"/>
          <w:sz w:val="22"/>
          <w:szCs w:val="22"/>
        </w:rPr>
        <w:t xml:space="preserve"> </w:t>
      </w:r>
      <w:r w:rsidR="00E20D7B"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uthor":[{"dropping-particle":"","family":"Buhmann","given":"Karin","non-dropping-particle":"","parse-names":false,"suffix":""},{"dropping-particle":"","family":"Fasterling","given":"Björn","non-dropping-particle":"","parse-names":false,"suffix":""},{"dropping-particle":"","family":"Voiculescu","given":"Aurora","non-dropping-particle":"","parse-names":false,"suffix":""}],"container-title":"Nordic Journal of Human Rights","id":"ITEM-1","issue":"4","issued":{"date-parts":[["2018"]]},"page":"323-332","title":"Business &amp; human rights research methods","type":"article-journal","volume":"36"},"locator":"324","uris":["http://www.mendeley.com/documents/?uuid=611c5d01-0046-343a-9103-90b760da6db1"]}],"mendeley":{"formattedCitation":"(Buhmann, Fasterling and Voiculescu, 2018, p. 324)","plainTextFormattedCitation":"(Buhmann, Fasterling and Voiculescu, 2018, p. 324)","previouslyFormattedCitation":"(Buhmann, Fasterling and Voiculescu, 2018, p. 324)"},"properties":{"noteIndex":0},"schema":"https://github.com/citation-style-language/schema/raw/master/csl-citation.json"}</w:instrText>
      </w:r>
      <w:r w:rsidR="00E20D7B" w:rsidRPr="00136F3A">
        <w:rPr>
          <w:rFonts w:ascii="Calibri" w:hAnsi="Calibri" w:cs="Calibri"/>
          <w:sz w:val="22"/>
          <w:szCs w:val="22"/>
        </w:rPr>
        <w:fldChar w:fldCharType="separate"/>
      </w:r>
      <w:r w:rsidR="00E20D7B" w:rsidRPr="00136F3A">
        <w:rPr>
          <w:rFonts w:ascii="Calibri" w:hAnsi="Calibri" w:cs="Calibri"/>
          <w:noProof/>
          <w:sz w:val="22"/>
          <w:szCs w:val="22"/>
        </w:rPr>
        <w:t>(Buhmann, Fasterling and Voiculescu, 2018, p. 324)</w:t>
      </w:r>
      <w:r w:rsidR="00E20D7B" w:rsidRPr="00136F3A">
        <w:rPr>
          <w:rFonts w:ascii="Calibri" w:hAnsi="Calibri" w:cs="Calibri"/>
          <w:sz w:val="22"/>
          <w:szCs w:val="22"/>
        </w:rPr>
        <w:fldChar w:fldCharType="end"/>
      </w:r>
      <w:r w:rsidR="00E20D7B" w:rsidRPr="00136F3A">
        <w:rPr>
          <w:rFonts w:ascii="Calibri" w:hAnsi="Calibri" w:cs="Calibri"/>
          <w:sz w:val="22"/>
          <w:szCs w:val="22"/>
        </w:rPr>
        <w:t>.</w:t>
      </w:r>
      <w:r w:rsidR="00E56682" w:rsidRPr="00136F3A">
        <w:rPr>
          <w:rFonts w:ascii="Calibri" w:hAnsi="Calibri" w:cs="Calibri"/>
          <w:sz w:val="22"/>
          <w:szCs w:val="22"/>
        </w:rPr>
        <w:t xml:space="preserve"> </w:t>
      </w:r>
      <w:r w:rsidR="00B13A6F" w:rsidRPr="00136F3A">
        <w:rPr>
          <w:rFonts w:ascii="Calibri" w:hAnsi="Calibri" w:cs="Calibri"/>
          <w:sz w:val="22"/>
          <w:szCs w:val="22"/>
        </w:rPr>
        <w:t>This</w:t>
      </w:r>
      <w:r w:rsidR="00E56682" w:rsidRPr="00136F3A">
        <w:rPr>
          <w:rFonts w:ascii="Calibri" w:hAnsi="Calibri" w:cs="Calibri"/>
          <w:sz w:val="22"/>
          <w:szCs w:val="22"/>
        </w:rPr>
        <w:t xml:space="preserve"> is not surprising, since as Langford notes, human rights research itself </w:t>
      </w:r>
      <w:r w:rsidR="00F220E6">
        <w:rPr>
          <w:rFonts w:ascii="Calibri" w:hAnsi="Calibri" w:cs="Calibri"/>
          <w:sz w:val="22"/>
          <w:szCs w:val="22"/>
        </w:rPr>
        <w:t>‘</w:t>
      </w:r>
      <w:r w:rsidR="00477F1A" w:rsidRPr="00136F3A">
        <w:rPr>
          <w:rFonts w:ascii="Calibri" w:hAnsi="Calibri" w:cs="Calibri"/>
          <w:sz w:val="22"/>
          <w:szCs w:val="22"/>
        </w:rPr>
        <w:t xml:space="preserve">necessitated the erosion of </w:t>
      </w:r>
      <w:r w:rsidR="003520B0" w:rsidRPr="00136F3A">
        <w:rPr>
          <w:rFonts w:ascii="Calibri" w:hAnsi="Calibri" w:cs="Calibri"/>
          <w:sz w:val="22"/>
          <w:szCs w:val="22"/>
        </w:rPr>
        <w:t>disciplinary</w:t>
      </w:r>
      <w:r w:rsidR="00477F1A" w:rsidRPr="00136F3A">
        <w:rPr>
          <w:rFonts w:ascii="Calibri" w:hAnsi="Calibri" w:cs="Calibri"/>
          <w:sz w:val="22"/>
          <w:szCs w:val="22"/>
        </w:rPr>
        <w:t xml:space="preserve"> barriers</w:t>
      </w:r>
      <w:r w:rsidR="00F220E6">
        <w:rPr>
          <w:rFonts w:ascii="Calibri" w:hAnsi="Calibri" w:cs="Calibri"/>
          <w:sz w:val="22"/>
          <w:szCs w:val="22"/>
        </w:rPr>
        <w:t>’</w:t>
      </w:r>
      <w:r w:rsidR="00477F1A" w:rsidRPr="00136F3A">
        <w:rPr>
          <w:rFonts w:ascii="Calibri" w:hAnsi="Calibri" w:cs="Calibri"/>
          <w:sz w:val="22"/>
          <w:szCs w:val="22"/>
        </w:rPr>
        <w:t xml:space="preserve"> resulting in </w:t>
      </w:r>
      <w:r w:rsidR="00F220E6">
        <w:rPr>
          <w:rFonts w:ascii="Calibri" w:hAnsi="Calibri" w:cs="Calibri"/>
          <w:sz w:val="22"/>
          <w:szCs w:val="22"/>
        </w:rPr>
        <w:t>‘</w:t>
      </w:r>
      <w:r w:rsidR="00477F1A" w:rsidRPr="00136F3A">
        <w:rPr>
          <w:rFonts w:ascii="Calibri" w:hAnsi="Calibri" w:cs="Calibri"/>
          <w:sz w:val="22"/>
          <w:szCs w:val="22"/>
        </w:rPr>
        <w:t xml:space="preserve">the spawning of </w:t>
      </w:r>
      <w:r w:rsidR="003520B0" w:rsidRPr="00136F3A">
        <w:rPr>
          <w:rFonts w:ascii="Calibri" w:hAnsi="Calibri" w:cs="Calibri"/>
          <w:sz w:val="22"/>
          <w:szCs w:val="22"/>
        </w:rPr>
        <w:t>intellectual synergies and new approaches to knowledge accumulation</w:t>
      </w:r>
      <w:r w:rsidR="00F220E6">
        <w:rPr>
          <w:rFonts w:ascii="Calibri" w:hAnsi="Calibri" w:cs="Calibri"/>
          <w:sz w:val="22"/>
          <w:szCs w:val="22"/>
        </w:rPr>
        <w:t>’</w:t>
      </w:r>
      <w:r w:rsidR="003520B0" w:rsidRPr="00136F3A">
        <w:rPr>
          <w:rFonts w:ascii="Calibri" w:hAnsi="Calibri" w:cs="Calibri"/>
          <w:sz w:val="22"/>
          <w:szCs w:val="22"/>
        </w:rPr>
        <w:t xml:space="preserve"> </w:t>
      </w:r>
      <w:r w:rsidR="001A5108"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{"citationItems":[{"id":"ITEM-1","itemData":{"author":[{"dropping-particle":"","family":"Langford","given":"Malcolm","non-dropping-particle":"","parse-names":false,"suffix":""}],"chapter-number":"8","container-title":"Research Methods in Human Rights: A Handbook","editor":[{"dropping-particle":"","family":"Andreassen","given":"Bård A.","non-dropping-particle":"","parse-names":false,"suffix":""},{"dropping-particle":"","family":"Sano","given":"Hans Otto","non-dropping-particle":"","parse-names":false,"suffix":""},{"dropping-particle":"","family":"McInerney-Lankford","given":"Siobhán","non-dropping-particle":"","parse-names":false,"suffix":""}],"id":"ITEM-1","issue":"1997","issued":{"date-parts":[["2017"]]},"page":"161-191","title":"Interdisciplinarity and multimethod research","type":"chapter","volume":"34"},"locator":"161","uris":["http://www.mendeley.com/documents/?uuid=058d0e0c-654d-4862-88d3-55c7ec119360"]}],"mendeley":{"formattedCitation":"(Langford, 2017, p. 161)","plainTextFormattedCitation":"(Langford, 2017, p. 161)","previouslyFormattedCitation":"(Langford, 2017, p. 161)"},"properties":{"noteIndex":0},"schema":"https://github.com/citation-style-language/schema/raw/master/csl-citation.json"}</w:instrText>
      </w:r>
      <w:r w:rsidR="001A5108" w:rsidRPr="00136F3A">
        <w:rPr>
          <w:rFonts w:ascii="Calibri" w:hAnsi="Calibri" w:cs="Calibri"/>
          <w:sz w:val="22"/>
          <w:szCs w:val="22"/>
        </w:rPr>
        <w:fldChar w:fldCharType="separate"/>
      </w:r>
      <w:r w:rsidR="001A5108" w:rsidRPr="00136F3A">
        <w:rPr>
          <w:rFonts w:ascii="Calibri" w:hAnsi="Calibri" w:cs="Calibri"/>
          <w:noProof/>
          <w:sz w:val="22"/>
          <w:szCs w:val="22"/>
        </w:rPr>
        <w:t>(Langford, 2017, p. 161)</w:t>
      </w:r>
      <w:r w:rsidR="001A5108" w:rsidRPr="00136F3A">
        <w:rPr>
          <w:rFonts w:ascii="Calibri" w:hAnsi="Calibri" w:cs="Calibri"/>
          <w:sz w:val="22"/>
          <w:szCs w:val="22"/>
        </w:rPr>
        <w:fldChar w:fldCharType="end"/>
      </w:r>
      <w:r w:rsidR="009E6EA9">
        <w:rPr>
          <w:rFonts w:ascii="Calibri" w:hAnsi="Calibri" w:cs="Calibri"/>
          <w:sz w:val="22"/>
          <w:szCs w:val="22"/>
        </w:rPr>
        <w:t xml:space="preserve">. </w:t>
      </w:r>
      <w:r w:rsidR="00416EB7">
        <w:rPr>
          <w:rFonts w:ascii="Calibri" w:hAnsi="Calibri" w:cs="Calibri"/>
          <w:sz w:val="22"/>
          <w:szCs w:val="22"/>
        </w:rPr>
        <w:t xml:space="preserve">Just as human rights </w:t>
      </w:r>
      <w:proofErr w:type="gramStart"/>
      <w:r w:rsidR="00416EB7">
        <w:rPr>
          <w:rFonts w:ascii="Calibri" w:hAnsi="Calibri" w:cs="Calibri"/>
          <w:sz w:val="22"/>
          <w:szCs w:val="22"/>
        </w:rPr>
        <w:t>has</w:t>
      </w:r>
      <w:proofErr w:type="gramEnd"/>
      <w:r w:rsidR="00416EB7">
        <w:rPr>
          <w:rFonts w:ascii="Calibri" w:hAnsi="Calibri" w:cs="Calibri"/>
          <w:sz w:val="22"/>
          <w:szCs w:val="22"/>
        </w:rPr>
        <w:t xml:space="preserve"> pushed legal methods forward, so too will BHR. </w:t>
      </w:r>
    </w:p>
    <w:p w14:paraId="7053BB0D" w14:textId="77777777" w:rsidR="007B6DC7" w:rsidRPr="00136F3A" w:rsidRDefault="007B6DC7" w:rsidP="00FF525C">
      <w:pPr>
        <w:jc w:val="both"/>
        <w:rPr>
          <w:rFonts w:ascii="Calibri" w:hAnsi="Calibri" w:cs="Calibri"/>
          <w:sz w:val="22"/>
          <w:szCs w:val="22"/>
        </w:rPr>
      </w:pPr>
    </w:p>
    <w:p w14:paraId="0FC97B4E" w14:textId="77777777" w:rsidR="005051C4" w:rsidRPr="00136F3A" w:rsidRDefault="005051C4" w:rsidP="00FF525C">
      <w:pPr>
        <w:jc w:val="both"/>
        <w:rPr>
          <w:rFonts w:ascii="Calibri" w:hAnsi="Calibri" w:cs="Calibri"/>
          <w:sz w:val="22"/>
          <w:szCs w:val="22"/>
        </w:rPr>
      </w:pPr>
    </w:p>
    <w:p w14:paraId="73E172ED" w14:textId="463C8B1A" w:rsidR="00C1492B" w:rsidRPr="00536954" w:rsidRDefault="00536954" w:rsidP="00536954">
      <w:pPr>
        <w:pStyle w:val="ListParagraph"/>
        <w:numPr>
          <w:ilvl w:val="0"/>
          <w:numId w:val="6"/>
        </w:numPr>
        <w:spacing w:after="240"/>
        <w:rPr>
          <w:rFonts w:ascii="Calibri" w:hAnsi="Calibri" w:cs="Calibri"/>
          <w:b/>
          <w:bCs/>
          <w:sz w:val="22"/>
          <w:szCs w:val="22"/>
        </w:rPr>
      </w:pPr>
      <w:r w:rsidRPr="00536954">
        <w:rPr>
          <w:rFonts w:ascii="Calibri" w:hAnsi="Calibri" w:cs="Calibri"/>
          <w:b/>
          <w:bCs/>
          <w:sz w:val="22"/>
          <w:szCs w:val="22"/>
        </w:rPr>
        <w:t xml:space="preserve">Positioning </w:t>
      </w:r>
      <w:r w:rsidR="007D32B3">
        <w:rPr>
          <w:rFonts w:ascii="Calibri" w:hAnsi="Calibri" w:cs="Calibri"/>
          <w:b/>
          <w:bCs/>
          <w:sz w:val="22"/>
          <w:szCs w:val="22"/>
        </w:rPr>
        <w:t xml:space="preserve">desk-based </w:t>
      </w:r>
      <w:r w:rsidRPr="00536954">
        <w:rPr>
          <w:rFonts w:ascii="Calibri" w:hAnsi="Calibri" w:cs="Calibri"/>
          <w:b/>
          <w:bCs/>
          <w:sz w:val="22"/>
          <w:szCs w:val="22"/>
        </w:rPr>
        <w:t>socio-legal</w:t>
      </w:r>
      <w:r w:rsidR="00CC7D9F">
        <w:rPr>
          <w:rFonts w:ascii="Calibri" w:hAnsi="Calibri" w:cs="Calibri"/>
          <w:b/>
          <w:bCs/>
          <w:sz w:val="22"/>
          <w:szCs w:val="22"/>
        </w:rPr>
        <w:t xml:space="preserve"> human rights</w:t>
      </w:r>
      <w:r w:rsidRPr="00536954">
        <w:rPr>
          <w:rFonts w:ascii="Calibri" w:hAnsi="Calibri" w:cs="Calibri"/>
          <w:b/>
          <w:bCs/>
          <w:sz w:val="22"/>
          <w:szCs w:val="22"/>
        </w:rPr>
        <w:t xml:space="preserve"> research within </w:t>
      </w:r>
      <w:r>
        <w:rPr>
          <w:rFonts w:ascii="Calibri" w:hAnsi="Calibri" w:cs="Calibri"/>
          <w:b/>
          <w:bCs/>
          <w:sz w:val="22"/>
          <w:szCs w:val="22"/>
        </w:rPr>
        <w:t>a</w:t>
      </w:r>
      <w:r w:rsidRPr="00536954">
        <w:rPr>
          <w:rFonts w:ascii="Calibri" w:hAnsi="Calibri" w:cs="Calibri"/>
          <w:b/>
          <w:bCs/>
          <w:sz w:val="22"/>
          <w:szCs w:val="22"/>
        </w:rPr>
        <w:t xml:space="preserve"> qualitative research methods framework</w:t>
      </w:r>
    </w:p>
    <w:p w14:paraId="78E20215" w14:textId="77777777" w:rsidR="005E47A3" w:rsidRDefault="00CC7D9F" w:rsidP="00FF525C">
      <w:pPr>
        <w:jc w:val="both"/>
        <w:rPr>
          <w:rFonts w:ascii="Calibri" w:hAnsi="Calibri" w:cs="Calibri"/>
          <w:sz w:val="22"/>
          <w:szCs w:val="22"/>
        </w:rPr>
      </w:pPr>
      <w:r>
        <w:rPr>
          <w:rFonts w:ascii="Calibri" w:hAnsi="Calibri" w:cs="Calibri"/>
          <w:sz w:val="22"/>
          <w:szCs w:val="22"/>
        </w:rPr>
        <w:t>S</w:t>
      </w:r>
      <w:r w:rsidR="00EB6513" w:rsidRPr="00136F3A">
        <w:rPr>
          <w:rFonts w:ascii="Calibri" w:hAnsi="Calibri" w:cs="Calibri"/>
          <w:sz w:val="22"/>
          <w:szCs w:val="22"/>
        </w:rPr>
        <w:t>ocio-legal</w:t>
      </w:r>
      <w:r w:rsidR="00C1492B" w:rsidRPr="00136F3A">
        <w:rPr>
          <w:rFonts w:ascii="Calibri" w:hAnsi="Calibri" w:cs="Calibri"/>
          <w:sz w:val="22"/>
          <w:szCs w:val="22"/>
        </w:rPr>
        <w:t xml:space="preserve"> </w:t>
      </w:r>
      <w:r>
        <w:rPr>
          <w:rFonts w:ascii="Calibri" w:hAnsi="Calibri" w:cs="Calibri"/>
          <w:sz w:val="22"/>
          <w:szCs w:val="22"/>
        </w:rPr>
        <w:t>human rights research</w:t>
      </w:r>
      <w:r w:rsidR="00D377EC" w:rsidRPr="00136F3A">
        <w:rPr>
          <w:rFonts w:ascii="Calibri" w:hAnsi="Calibri" w:cs="Calibri"/>
          <w:sz w:val="22"/>
          <w:szCs w:val="22"/>
        </w:rPr>
        <w:t xml:space="preserve"> </w:t>
      </w:r>
      <w:r>
        <w:rPr>
          <w:rFonts w:ascii="Calibri" w:hAnsi="Calibri" w:cs="Calibri"/>
          <w:sz w:val="22"/>
          <w:szCs w:val="22"/>
        </w:rPr>
        <w:t>engages</w:t>
      </w:r>
      <w:r w:rsidRPr="00136F3A">
        <w:rPr>
          <w:rFonts w:ascii="Calibri" w:hAnsi="Calibri" w:cs="Calibri"/>
          <w:sz w:val="22"/>
          <w:szCs w:val="22"/>
        </w:rPr>
        <w:t xml:space="preserve"> </w:t>
      </w:r>
      <w:r w:rsidR="005E47A3">
        <w:rPr>
          <w:rFonts w:ascii="Calibri" w:hAnsi="Calibri" w:cs="Calibri"/>
          <w:sz w:val="22"/>
          <w:szCs w:val="22"/>
        </w:rPr>
        <w:t xml:space="preserve">with </w:t>
      </w:r>
      <w:r w:rsidR="00C1492B" w:rsidRPr="00136F3A">
        <w:rPr>
          <w:rFonts w:ascii="Calibri" w:hAnsi="Calibri" w:cs="Calibri"/>
          <w:sz w:val="22"/>
          <w:szCs w:val="22"/>
        </w:rPr>
        <w:t>a theoretical and analytical framework of legal knowledge and enquiry</w:t>
      </w:r>
      <w:r w:rsidR="0054467E" w:rsidRPr="00136F3A">
        <w:rPr>
          <w:rFonts w:ascii="Calibri" w:hAnsi="Calibri" w:cs="Calibri"/>
          <w:sz w:val="22"/>
          <w:szCs w:val="22"/>
        </w:rPr>
        <w:t xml:space="preserve"> set in the social context of the research.</w:t>
      </w:r>
      <w:r w:rsidR="00C1492B" w:rsidRPr="00136F3A">
        <w:rPr>
          <w:rFonts w:ascii="Calibri" w:hAnsi="Calibri" w:cs="Calibri"/>
          <w:sz w:val="22"/>
          <w:szCs w:val="22"/>
        </w:rPr>
        <w:t xml:space="preserve"> </w:t>
      </w:r>
      <w:r w:rsidR="003A7AC9" w:rsidRPr="00136F3A">
        <w:rPr>
          <w:rFonts w:ascii="Calibri" w:hAnsi="Calibri" w:cs="Calibri"/>
          <w:sz w:val="22"/>
          <w:szCs w:val="22"/>
        </w:rPr>
        <w:t xml:space="preserve">Whilst arguably distinct in its combination of the legal and social </w:t>
      </w:r>
      <w:r w:rsidR="00FC2A5C" w:rsidRPr="00136F3A">
        <w:rPr>
          <w:rFonts w:ascii="Calibri" w:hAnsi="Calibri" w:cs="Calibri"/>
          <w:sz w:val="22"/>
          <w:szCs w:val="22"/>
        </w:rPr>
        <w:t>disciplines</w:t>
      </w:r>
      <w:r w:rsidR="0008145E" w:rsidRPr="00136F3A">
        <w:rPr>
          <w:rFonts w:ascii="Calibri" w:hAnsi="Calibri" w:cs="Calibri"/>
          <w:sz w:val="22"/>
          <w:szCs w:val="22"/>
        </w:rPr>
        <w:t xml:space="preserve">, the practical element of the research differs little from other qualitative-based </w:t>
      </w:r>
      <w:r w:rsidR="00FE54F4" w:rsidRPr="00136F3A">
        <w:rPr>
          <w:rFonts w:ascii="Calibri" w:hAnsi="Calibri" w:cs="Calibri"/>
          <w:sz w:val="22"/>
          <w:szCs w:val="22"/>
        </w:rPr>
        <w:t xml:space="preserve">areas of </w:t>
      </w:r>
      <w:r w:rsidR="005E47A3">
        <w:rPr>
          <w:rFonts w:ascii="Calibri" w:hAnsi="Calibri" w:cs="Calibri"/>
          <w:sz w:val="22"/>
          <w:szCs w:val="22"/>
        </w:rPr>
        <w:t xml:space="preserve">research and </w:t>
      </w:r>
      <w:r w:rsidR="00640CE8">
        <w:rPr>
          <w:rFonts w:ascii="Calibri" w:hAnsi="Calibri" w:cs="Calibri"/>
          <w:sz w:val="22"/>
          <w:szCs w:val="22"/>
        </w:rPr>
        <w:t>scholarship</w:t>
      </w:r>
      <w:r w:rsidR="00250EFD" w:rsidRPr="00136F3A">
        <w:rPr>
          <w:rFonts w:ascii="Calibri" w:hAnsi="Calibri" w:cs="Calibri"/>
          <w:sz w:val="22"/>
          <w:szCs w:val="22"/>
        </w:rPr>
        <w:t xml:space="preserve"> </w:t>
      </w:r>
      <w:r w:rsidR="00250EFD"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{"citationItems":[{"id":"ITEM-1","itemData":{"abstract":"The doctrinal approach to teaching and researching law, focused exclusively on traditionallegal materials and the techniques required to interpret them (what Margaret Thornton has termed the‘ technocentric’ approach to law 1), constituted the dominant mode of law teaching and research until well into the twentieth century. 2 In the early years of the century, most law graduates came from the‘ golden triangle’ of Oxford, Cambridge and London universities, where the use of classic textbooks ensured that the legal education offered was doctrinal in nature. 3 Since it was graduates of these universities who became law teachers, they continued to foster the doctrinal approach to law. In addition, many provincial law schools were founded as a result of activity by local Law Societies, and as a result they were highly sensitive to the needs of the legal profession. 4 The pre-eminence of doctrinal law was also reinforced because, until the major expansion of universities brought about by the Robbins Report, many law school staff were part-time practitioners, whose orientation naturally tended to be towards the vocational aspects of law. It was not until after the mid-1960s that law schools began to employ young lecturers who were full-time academics, whose allegiance was to the development of law as an academic discipline, rather than to law as a vocational subject.","author":[{"dropping-particle":"","family":"Cownie","given":"Fiona","non-dropping-particle":"","parse-names":false,"suffix":""},{"dropping-particle":"","family":"Bradney","given":"Anthony","non-dropping-particle":"","parse-names":false,"suffix":""}],"chapter-number":"2","container-title":"Research Methods in Law","editor":[{"dropping-particle":"","family":"Watkins","given":"Dawn","non-dropping-particle":"","parse-names":false,"suffix":""},{"dropping-particle":"","family":"Burton","given":"Mandy","non-dropping-particle":"","parse-names":false,"suffix":""}],"id":"ITEM-1","issued":{"date-parts":[["2017"]]},"page":"40-65","publisher":"Taylor &amp; Francis Group","title":"Socio-legal studies a challenge to the doctrinal approach","type":"chapter"},"locator":"46","uris":["http://www.mendeley.com/documents/?uuid=6eccdae3-6afc-4c98-8445-d7c69641686d"]}],"mendeley":{"formattedCitation":"(Cownie and Bradney, 2017, p. 46)","plainTextFormattedCitation":"(Cownie and Bradney, 2017, p. 46)","previouslyFormattedCitation":"(Cownie and Bradney, 2017, p. 46)"},"properties":{"noteIndex":0},"schema":"https://github.com/citation-style-language/schema/raw/master/csl-citation.json"}</w:instrText>
      </w:r>
      <w:r w:rsidR="00250EFD" w:rsidRPr="00136F3A">
        <w:rPr>
          <w:rFonts w:ascii="Calibri" w:hAnsi="Calibri" w:cs="Calibri"/>
          <w:sz w:val="22"/>
          <w:szCs w:val="22"/>
        </w:rPr>
        <w:fldChar w:fldCharType="separate"/>
      </w:r>
      <w:r w:rsidR="00250EFD" w:rsidRPr="00136F3A">
        <w:rPr>
          <w:rFonts w:ascii="Calibri" w:hAnsi="Calibri" w:cs="Calibri"/>
          <w:noProof/>
          <w:sz w:val="22"/>
          <w:szCs w:val="22"/>
        </w:rPr>
        <w:t>(Cownie and Bradney, 2017, p. 46)</w:t>
      </w:r>
      <w:r w:rsidR="00250EFD" w:rsidRPr="00136F3A">
        <w:rPr>
          <w:rFonts w:ascii="Calibri" w:hAnsi="Calibri" w:cs="Calibri"/>
          <w:sz w:val="22"/>
          <w:szCs w:val="22"/>
        </w:rPr>
        <w:fldChar w:fldCharType="end"/>
      </w:r>
      <w:r w:rsidR="00FE54F4" w:rsidRPr="00136F3A">
        <w:rPr>
          <w:rFonts w:ascii="Calibri" w:hAnsi="Calibri" w:cs="Calibri"/>
          <w:sz w:val="22"/>
          <w:szCs w:val="22"/>
        </w:rPr>
        <w:t xml:space="preserve">. </w:t>
      </w:r>
    </w:p>
    <w:p w14:paraId="16EBF1EC" w14:textId="77777777" w:rsidR="005E47A3" w:rsidRDefault="005E47A3" w:rsidP="00FF525C">
      <w:pPr>
        <w:jc w:val="both"/>
        <w:rPr>
          <w:rFonts w:ascii="Calibri" w:hAnsi="Calibri" w:cs="Calibri"/>
          <w:sz w:val="22"/>
          <w:szCs w:val="22"/>
        </w:rPr>
      </w:pPr>
    </w:p>
    <w:p w14:paraId="27523631" w14:textId="5BABB7F2" w:rsidR="00C1492B" w:rsidRPr="00136F3A" w:rsidRDefault="00526015" w:rsidP="00FF525C">
      <w:pPr>
        <w:jc w:val="both"/>
        <w:rPr>
          <w:rFonts w:ascii="Calibri" w:hAnsi="Calibri" w:cs="Calibri"/>
          <w:sz w:val="22"/>
          <w:szCs w:val="22"/>
        </w:rPr>
      </w:pPr>
      <w:r w:rsidRPr="00136F3A">
        <w:rPr>
          <w:rFonts w:ascii="Calibri" w:hAnsi="Calibri" w:cs="Calibri"/>
          <w:sz w:val="22"/>
          <w:szCs w:val="22"/>
        </w:rPr>
        <w:t xml:space="preserve">Socio-legal research </w:t>
      </w:r>
      <w:r w:rsidR="00D13EEA">
        <w:rPr>
          <w:rFonts w:ascii="Calibri" w:hAnsi="Calibri" w:cs="Calibri"/>
          <w:sz w:val="22"/>
          <w:szCs w:val="22"/>
        </w:rPr>
        <w:t>has</w:t>
      </w:r>
      <w:r w:rsidRPr="00136F3A">
        <w:rPr>
          <w:rFonts w:ascii="Calibri" w:hAnsi="Calibri" w:cs="Calibri"/>
          <w:sz w:val="22"/>
          <w:szCs w:val="22"/>
        </w:rPr>
        <w:t xml:space="preserve"> two </w:t>
      </w:r>
      <w:r w:rsidR="00D13EEA">
        <w:rPr>
          <w:rFonts w:ascii="Calibri" w:hAnsi="Calibri" w:cs="Calibri"/>
          <w:sz w:val="22"/>
          <w:szCs w:val="22"/>
        </w:rPr>
        <w:t>main components</w:t>
      </w:r>
      <w:r w:rsidRPr="00136F3A">
        <w:rPr>
          <w:rFonts w:ascii="Calibri" w:hAnsi="Calibri" w:cs="Calibri"/>
          <w:sz w:val="22"/>
          <w:szCs w:val="22"/>
        </w:rPr>
        <w:t>. The first is a doctrinal step, comprising</w:t>
      </w:r>
      <w:r w:rsidR="000F3F9A" w:rsidRPr="00136F3A">
        <w:rPr>
          <w:rFonts w:ascii="Calibri" w:hAnsi="Calibri" w:cs="Calibri"/>
          <w:sz w:val="22"/>
          <w:szCs w:val="22"/>
        </w:rPr>
        <w:t xml:space="preserve"> of locating legal sources and then </w:t>
      </w:r>
      <w:r w:rsidR="0016108A">
        <w:rPr>
          <w:rFonts w:ascii="Calibri" w:hAnsi="Calibri" w:cs="Calibri"/>
          <w:sz w:val="22"/>
          <w:szCs w:val="22"/>
        </w:rPr>
        <w:t>analysing</w:t>
      </w:r>
      <w:r w:rsidR="000F3F9A" w:rsidRPr="00136F3A">
        <w:rPr>
          <w:rFonts w:ascii="Calibri" w:hAnsi="Calibri" w:cs="Calibri"/>
          <w:sz w:val="22"/>
          <w:szCs w:val="22"/>
        </w:rPr>
        <w:t xml:space="preserve"> the text </w:t>
      </w:r>
      <w:r w:rsidR="00CE74BE" w:rsidRPr="00136F3A">
        <w:rPr>
          <w:rFonts w:ascii="Calibri" w:hAnsi="Calibri" w:cs="Calibri"/>
          <w:sz w:val="22"/>
          <w:szCs w:val="22"/>
        </w:rPr>
        <w:fldChar w:fldCharType="begin" w:fldLock="1"/>
      </w:r>
      <w:r w:rsidR="00045236" w:rsidRPr="00136F3A">
        <w:rPr>
          <w:rFonts w:ascii="Calibri" w:hAnsi="Calibri" w:cs="Calibri"/>
          <w:sz w:val="22"/>
          <w:szCs w:val="22"/>
        </w:rPr>
        <w:instrText>ADDIN CSL_CITATION {"citationItems":[{"id":"ITEM-1","itemData":{"ISBN":"1872-8952 (Electronic)\\n1388-2457 (Linking)","author":[{"dropping-particle":"","family":"Hutchinson","given":"Terry","non-dropping-particle":"","parse-names":false,"suffix":""},{"dropping-particle":"","family":"Duncan","given":"Nigel","non-dropping-particle":"","parse-names":false,"suffix":""}],"container-title":"Deakin Law Review","id":"ITEM-1","issue":"1","issued":{"date-parts":[["2012"]]},"page":"83-120","title":"Defining and Describing What We Do: Doctrinal Legal Research","type":"article-journal","volume":"17"},"locator":"110","uris":["http://www.mendeley.com/documents/?uuid=0bb1de12-e9fb-45dc-897e-076cb30e39d5"]}],"mendeley":{"formattedCitation":"(Hutchinson and Duncan, 2012, p. 110)","plainTextFormattedCitation":"(Hutchinson and Duncan, 2012, p. 110)","previouslyFormattedCitation":"(Hutchinson and Duncan, 2012, p. 110)"},"properties":{"noteIndex":0},"schema":"https://github.com/citation-style-language/schema/raw/master/csl-citation.json"}</w:instrText>
      </w:r>
      <w:r w:rsidR="00CE74BE" w:rsidRPr="00136F3A">
        <w:rPr>
          <w:rFonts w:ascii="Calibri" w:hAnsi="Calibri" w:cs="Calibri"/>
          <w:sz w:val="22"/>
          <w:szCs w:val="22"/>
        </w:rPr>
        <w:fldChar w:fldCharType="separate"/>
      </w:r>
      <w:r w:rsidR="00CE74BE" w:rsidRPr="00136F3A">
        <w:rPr>
          <w:rFonts w:ascii="Calibri" w:hAnsi="Calibri" w:cs="Calibri"/>
          <w:noProof/>
          <w:sz w:val="22"/>
          <w:szCs w:val="22"/>
        </w:rPr>
        <w:t>(Hutchinson and Duncan, 2012, p. 110)</w:t>
      </w:r>
      <w:r w:rsidR="00CE74BE" w:rsidRPr="00136F3A">
        <w:rPr>
          <w:rFonts w:ascii="Calibri" w:hAnsi="Calibri" w:cs="Calibri"/>
          <w:sz w:val="22"/>
          <w:szCs w:val="22"/>
        </w:rPr>
        <w:fldChar w:fldCharType="end"/>
      </w:r>
      <w:r w:rsidR="00CE74BE" w:rsidRPr="00136F3A">
        <w:rPr>
          <w:rFonts w:ascii="Calibri" w:hAnsi="Calibri" w:cs="Calibri"/>
          <w:sz w:val="22"/>
          <w:szCs w:val="22"/>
        </w:rPr>
        <w:t>.</w:t>
      </w:r>
      <w:r w:rsidR="00FE54F4" w:rsidRPr="00136F3A">
        <w:rPr>
          <w:rFonts w:ascii="Calibri" w:hAnsi="Calibri" w:cs="Calibri"/>
          <w:sz w:val="22"/>
          <w:szCs w:val="22"/>
        </w:rPr>
        <w:t xml:space="preserve"> </w:t>
      </w:r>
      <w:r w:rsidR="00CE74BE" w:rsidRPr="00136F3A">
        <w:rPr>
          <w:rFonts w:ascii="Calibri" w:hAnsi="Calibri" w:cs="Calibri"/>
          <w:sz w:val="22"/>
          <w:szCs w:val="22"/>
        </w:rPr>
        <w:t>T</w:t>
      </w:r>
      <w:r w:rsidR="00FE54F4" w:rsidRPr="00136F3A">
        <w:rPr>
          <w:rFonts w:ascii="Calibri" w:hAnsi="Calibri" w:cs="Calibri"/>
          <w:sz w:val="22"/>
          <w:szCs w:val="22"/>
        </w:rPr>
        <w:t>he</w:t>
      </w:r>
      <w:r w:rsidR="00CE74BE" w:rsidRPr="00136F3A">
        <w:rPr>
          <w:rFonts w:ascii="Calibri" w:hAnsi="Calibri" w:cs="Calibri"/>
          <w:sz w:val="22"/>
          <w:szCs w:val="22"/>
        </w:rPr>
        <w:t>se</w:t>
      </w:r>
      <w:r w:rsidR="00FE54F4" w:rsidRPr="00136F3A">
        <w:rPr>
          <w:rFonts w:ascii="Calibri" w:hAnsi="Calibri" w:cs="Calibri"/>
          <w:sz w:val="22"/>
          <w:szCs w:val="22"/>
        </w:rPr>
        <w:t xml:space="preserve"> methods </w:t>
      </w:r>
      <w:r w:rsidR="00C1492B" w:rsidRPr="00136F3A">
        <w:rPr>
          <w:rFonts w:ascii="Calibri" w:hAnsi="Calibri" w:cs="Calibri"/>
          <w:sz w:val="22"/>
          <w:szCs w:val="22"/>
        </w:rPr>
        <w:t>can otherwise be described as document and content analysis</w:t>
      </w:r>
      <w:r w:rsidR="00697C67" w:rsidRPr="00136F3A">
        <w:rPr>
          <w:rFonts w:ascii="Calibri" w:hAnsi="Calibri" w:cs="Calibri"/>
          <w:sz w:val="22"/>
          <w:szCs w:val="22"/>
        </w:rPr>
        <w:t xml:space="preserve">, albeit </w:t>
      </w:r>
      <w:r w:rsidR="00D538BE" w:rsidRPr="00136F3A">
        <w:rPr>
          <w:rFonts w:ascii="Calibri" w:hAnsi="Calibri" w:cs="Calibri"/>
          <w:sz w:val="22"/>
          <w:szCs w:val="22"/>
        </w:rPr>
        <w:t>utili</w:t>
      </w:r>
      <w:r w:rsidR="00B30197">
        <w:rPr>
          <w:rFonts w:ascii="Calibri" w:hAnsi="Calibri" w:cs="Calibri"/>
          <w:sz w:val="22"/>
          <w:szCs w:val="22"/>
        </w:rPr>
        <w:t>s</w:t>
      </w:r>
      <w:r w:rsidR="00D538BE" w:rsidRPr="00136F3A">
        <w:rPr>
          <w:rFonts w:ascii="Calibri" w:hAnsi="Calibri" w:cs="Calibri"/>
          <w:sz w:val="22"/>
          <w:szCs w:val="22"/>
        </w:rPr>
        <w:t>ing legal sources and analysis tools</w:t>
      </w:r>
      <w:r w:rsidR="00CE74BE" w:rsidRPr="00136F3A">
        <w:rPr>
          <w:rFonts w:ascii="Calibri" w:hAnsi="Calibri" w:cs="Calibri"/>
          <w:sz w:val="22"/>
          <w:szCs w:val="22"/>
        </w:rPr>
        <w:t>. The second step is a sociological one, where the law is then</w:t>
      </w:r>
      <w:r w:rsidR="00FE54F4" w:rsidRPr="00136F3A">
        <w:rPr>
          <w:rFonts w:ascii="Calibri" w:hAnsi="Calibri" w:cs="Calibri"/>
          <w:sz w:val="22"/>
          <w:szCs w:val="22"/>
        </w:rPr>
        <w:t xml:space="preserve"> viewed</w:t>
      </w:r>
      <w:r w:rsidR="00CE74BE" w:rsidRPr="00136F3A">
        <w:rPr>
          <w:rFonts w:ascii="Calibri" w:hAnsi="Calibri" w:cs="Calibri"/>
          <w:sz w:val="22"/>
          <w:szCs w:val="22"/>
        </w:rPr>
        <w:t xml:space="preserve"> and interpreted</w:t>
      </w:r>
      <w:r w:rsidR="00FE54F4" w:rsidRPr="00136F3A">
        <w:rPr>
          <w:rFonts w:ascii="Calibri" w:hAnsi="Calibri" w:cs="Calibri"/>
          <w:sz w:val="22"/>
          <w:szCs w:val="22"/>
        </w:rPr>
        <w:t xml:space="preserve"> through the lens of </w:t>
      </w:r>
      <w:r w:rsidR="00FC2A5C" w:rsidRPr="00136F3A">
        <w:rPr>
          <w:rFonts w:ascii="Calibri" w:hAnsi="Calibri" w:cs="Calibri"/>
          <w:sz w:val="22"/>
          <w:szCs w:val="22"/>
        </w:rPr>
        <w:t>the research topic’s context and theoretical framework</w:t>
      </w:r>
      <w:r w:rsidR="00C1492B" w:rsidRPr="00136F3A">
        <w:rPr>
          <w:rFonts w:ascii="Calibri" w:hAnsi="Calibri" w:cs="Calibri"/>
          <w:sz w:val="22"/>
          <w:szCs w:val="22"/>
        </w:rPr>
        <w:t>.</w:t>
      </w:r>
      <w:r w:rsidR="00034140" w:rsidRPr="00136F3A">
        <w:rPr>
          <w:rFonts w:ascii="Calibri" w:hAnsi="Calibri" w:cs="Calibri"/>
          <w:sz w:val="22"/>
          <w:szCs w:val="22"/>
        </w:rPr>
        <w:t xml:space="preserve"> </w:t>
      </w:r>
      <w:r w:rsidR="00992A57" w:rsidRPr="00136F3A">
        <w:rPr>
          <w:rFonts w:ascii="Calibri" w:hAnsi="Calibri" w:cs="Calibri"/>
          <w:sz w:val="22"/>
          <w:szCs w:val="22"/>
        </w:rPr>
        <w:t>There is clear parity between methods employed within the qualitative research spectrum of the wider social sciences</w:t>
      </w:r>
      <w:r w:rsidR="008B4A20" w:rsidRPr="00136F3A">
        <w:rPr>
          <w:rFonts w:ascii="Calibri" w:hAnsi="Calibri" w:cs="Calibri"/>
          <w:sz w:val="22"/>
          <w:szCs w:val="22"/>
        </w:rPr>
        <w:t xml:space="preserve"> and socio-legal</w:t>
      </w:r>
      <w:r w:rsidR="00C2407F">
        <w:rPr>
          <w:rFonts w:ascii="Calibri" w:hAnsi="Calibri" w:cs="Calibri"/>
          <w:sz w:val="22"/>
          <w:szCs w:val="22"/>
        </w:rPr>
        <w:t xml:space="preserve"> human rights</w:t>
      </w:r>
      <w:r w:rsidR="008B4A20" w:rsidRPr="00136F3A">
        <w:rPr>
          <w:rFonts w:ascii="Calibri" w:hAnsi="Calibri" w:cs="Calibri"/>
          <w:sz w:val="22"/>
          <w:szCs w:val="22"/>
        </w:rPr>
        <w:t xml:space="preserve"> </w:t>
      </w:r>
      <w:r w:rsidR="00062A4C" w:rsidRPr="00136F3A">
        <w:rPr>
          <w:rFonts w:ascii="Calibri" w:hAnsi="Calibri" w:cs="Calibri"/>
          <w:sz w:val="22"/>
          <w:szCs w:val="22"/>
        </w:rPr>
        <w:t>research</w:t>
      </w:r>
      <w:r w:rsidR="008B4A20" w:rsidRPr="00136F3A">
        <w:rPr>
          <w:rFonts w:ascii="Calibri" w:hAnsi="Calibri" w:cs="Calibri"/>
          <w:sz w:val="22"/>
          <w:szCs w:val="22"/>
        </w:rPr>
        <w:t>.</w:t>
      </w:r>
      <w:r w:rsidR="00992A57" w:rsidRPr="00136F3A">
        <w:rPr>
          <w:rFonts w:ascii="Calibri" w:hAnsi="Calibri" w:cs="Calibri"/>
          <w:sz w:val="22"/>
          <w:szCs w:val="22"/>
        </w:rPr>
        <w:t xml:space="preserve"> </w:t>
      </w:r>
      <w:r w:rsidR="008B4A20" w:rsidRPr="00136F3A">
        <w:rPr>
          <w:rFonts w:ascii="Calibri" w:hAnsi="Calibri" w:cs="Calibri"/>
          <w:sz w:val="22"/>
          <w:szCs w:val="22"/>
        </w:rPr>
        <w:t>Thus, w</w:t>
      </w:r>
      <w:r w:rsidR="009537C1" w:rsidRPr="00136F3A">
        <w:rPr>
          <w:rFonts w:ascii="Calibri" w:hAnsi="Calibri" w:cs="Calibri"/>
          <w:sz w:val="22"/>
          <w:szCs w:val="22"/>
        </w:rPr>
        <w:t xml:space="preserve">hile some argue that legal research sits apart from other social science </w:t>
      </w:r>
      <w:r w:rsidR="007C7610" w:rsidRPr="00136F3A">
        <w:rPr>
          <w:rFonts w:ascii="Calibri" w:hAnsi="Calibri" w:cs="Calibri"/>
          <w:sz w:val="22"/>
          <w:szCs w:val="22"/>
        </w:rPr>
        <w:t>disciplines</w:t>
      </w:r>
      <w:r w:rsidR="00045236" w:rsidRPr="00136F3A">
        <w:rPr>
          <w:rFonts w:ascii="Calibri" w:hAnsi="Calibri" w:cs="Calibri"/>
          <w:sz w:val="22"/>
          <w:szCs w:val="22"/>
        </w:rPr>
        <w:t xml:space="preserve"> and thus does not require an explicitly outlined methodology</w:t>
      </w:r>
      <w:r w:rsidR="002113AE" w:rsidRPr="00136F3A">
        <w:rPr>
          <w:rFonts w:ascii="Calibri" w:hAnsi="Calibri" w:cs="Calibri"/>
          <w:sz w:val="22"/>
          <w:szCs w:val="22"/>
        </w:rPr>
        <w:t xml:space="preserve"> </w:t>
      </w:r>
      <w:r w:rsidR="002113AE" w:rsidRPr="00136F3A">
        <w:rPr>
          <w:rFonts w:ascii="Calibri" w:hAnsi="Calibri" w:cs="Calibri"/>
          <w:sz w:val="22"/>
          <w:szCs w:val="22"/>
        </w:rPr>
        <w:fldChar w:fldCharType="begin" w:fldLock="1"/>
      </w:r>
      <w:r w:rsidR="001731B3" w:rsidRPr="00136F3A">
        <w:rPr>
          <w:rFonts w:ascii="Calibri" w:hAnsi="Calibri" w:cs="Calibri"/>
          <w:sz w:val="22"/>
          <w:szCs w:val="22"/>
        </w:rPr>
        <w:instrText>ADDIN CSL_CITATION {"citationItems":[{"id":"ITEM-1","itemData":{"author":[{"dropping-particle":"","family":"Chynoweth","given":"Paul","non-dropping-particle":"","parse-names":false,"suffix":""}],"container-title":"Advanced Research Methods in the Built Environment","editor":[{"dropping-particle":"","family":"Knight","given":"Andrew","non-dropping-particle":"","parse-names":false,"suffix":""},{"dropping-particle":"","family":"Ruddock","given":"Les","non-dropping-particle":"","parse-names":false,"suffix":""}],"id":"ITEM-1","issued":{"date-parts":[["2008"]]},"page":"1","publisher":"Wiley Blackwell","title":"Legal Research","type":"chapter"},"locator":"37","uris":["http://www.mendeley.com/documents/?uuid=cda50ac4-2441-4b8b-87fe-335b408030c5"]}],"mendeley":{"formattedCitation":"(Chynoweth, 2008, p. 37)","plainTextFormattedCitation":"(Chynoweth, 2008, p. 37)","previouslyFormattedCitation":"(Chynoweth, 2008, p. 37)"},"properties":{"noteIndex":0},"schema":"https://github.com/citation-style-language/schema/raw/master/csl-citation.json"}</w:instrText>
      </w:r>
      <w:r w:rsidR="002113AE" w:rsidRPr="00136F3A">
        <w:rPr>
          <w:rFonts w:ascii="Calibri" w:hAnsi="Calibri" w:cs="Calibri"/>
          <w:sz w:val="22"/>
          <w:szCs w:val="22"/>
        </w:rPr>
        <w:fldChar w:fldCharType="separate"/>
      </w:r>
      <w:r w:rsidR="002113AE" w:rsidRPr="00136F3A">
        <w:rPr>
          <w:rFonts w:ascii="Calibri" w:hAnsi="Calibri" w:cs="Calibri"/>
          <w:noProof/>
          <w:sz w:val="22"/>
          <w:szCs w:val="22"/>
        </w:rPr>
        <w:t>(Chynoweth, 2008, p. 37)</w:t>
      </w:r>
      <w:r w:rsidR="002113AE" w:rsidRPr="00136F3A">
        <w:rPr>
          <w:rFonts w:ascii="Calibri" w:hAnsi="Calibri" w:cs="Calibri"/>
          <w:sz w:val="22"/>
          <w:szCs w:val="22"/>
        </w:rPr>
        <w:fldChar w:fldCharType="end"/>
      </w:r>
      <w:r w:rsidR="00D30282" w:rsidRPr="00136F3A">
        <w:rPr>
          <w:rFonts w:ascii="Calibri" w:hAnsi="Calibri" w:cs="Calibri"/>
          <w:sz w:val="22"/>
          <w:szCs w:val="22"/>
        </w:rPr>
        <w:t xml:space="preserve">; this is arguably a reflection of a kind of </w:t>
      </w:r>
      <w:r w:rsidR="0011045F">
        <w:rPr>
          <w:rFonts w:ascii="Calibri" w:hAnsi="Calibri" w:cs="Calibri"/>
          <w:sz w:val="22"/>
          <w:szCs w:val="22"/>
        </w:rPr>
        <w:t xml:space="preserve">purported </w:t>
      </w:r>
      <w:r w:rsidR="00D30282" w:rsidRPr="00136F3A">
        <w:rPr>
          <w:rFonts w:ascii="Calibri" w:hAnsi="Calibri" w:cs="Calibri"/>
          <w:sz w:val="22"/>
          <w:szCs w:val="22"/>
        </w:rPr>
        <w:t xml:space="preserve">legal exceptionalism on the one hand; and perhaps </w:t>
      </w:r>
      <w:r w:rsidR="007C7610" w:rsidRPr="00136F3A">
        <w:rPr>
          <w:rFonts w:ascii="Calibri" w:hAnsi="Calibri" w:cs="Calibri"/>
          <w:sz w:val="22"/>
          <w:szCs w:val="22"/>
        </w:rPr>
        <w:t xml:space="preserve">ignorance of the taxonomically qualitative reality of their employed methods </w:t>
      </w:r>
      <w:r w:rsidR="008B4A20" w:rsidRPr="00136F3A">
        <w:rPr>
          <w:rFonts w:ascii="Calibri" w:hAnsi="Calibri" w:cs="Calibri"/>
          <w:sz w:val="22"/>
          <w:szCs w:val="22"/>
        </w:rPr>
        <w:t xml:space="preserve">on the other </w:t>
      </w:r>
      <w:r w:rsidR="00F11363" w:rsidRPr="00136F3A">
        <w:rPr>
          <w:rFonts w:ascii="Calibri" w:hAnsi="Calibri" w:cs="Calibri"/>
          <w:sz w:val="22"/>
          <w:szCs w:val="22"/>
        </w:rPr>
        <w:fldChar w:fldCharType="begin" w:fldLock="1"/>
      </w:r>
      <w:r w:rsidR="00136F3A" w:rsidRPr="00136F3A">
        <w:rPr>
          <w:rFonts w:ascii="Calibri" w:hAnsi="Calibri" w:cs="Calibri"/>
          <w:sz w:val="22"/>
          <w:szCs w:val="22"/>
        </w:rPr>
        <w:instrText>ADDIN CSL_CITATION {"citationItems":[{"id":"ITEM-1","itemData":{"abstract":"This article deals with the qualitative approach to empirical studies. This approach is presumed to be closer to the social sciences. Data collection in the qualitative approach follows a combination of these three methods-direct observations, in-depth interviews, and document analysis. It typically starts with the identification of methodology, data collection, analysis, ethical concerns, and adapt to the dynamics if working in a team. Well-compiled qualitative research enhances comprehensibility of social phenomenon. The technique used in the selection of data collection depends on the research question, leading to the research strategy that best fits the research objective, availability/access to particular data sources, and available resources. While various beliefs are held in common between the quantitative and the qualitative, a researcher must first assert the purpose and nature of the project, in order to come to a deterministic conclusion as to which approach is best suited for the research to be conducted.","author":[{"dropping-particle":"","family":"Webley","given":"Lisa","non-dropping-particle":"","parse-names":false,"suffix":""}],"chapter-number":"38","container-title":"The Oxford Handbook of Empirical Legal Research","editor":[{"dropping-particle":"","family":"Cane","given":"Peter","non-dropping-particle":"","parse-names":false,"suffix":""},{"dropping-particle":"","family":"Kritzer","given":"Herbert","non-dropping-particle":"","parse-names":false,"suffix":""}],"id":"ITEM-1","issued":{"date-parts":[["2012"]]},"page":"927-942","publisher":"Oxford University Press","title":"Qualitative Approaches to Empirical Legal Research","type":"chapter"},"locator":"927","uris":["http://www.mendeley.com/documents/?uuid=9e1ae66d-4009-4567-9d60-749ebcbdc17d"]}],"mendeley":{"formattedCitation":"(Webley, 2012, p. 927)","plainTextFormattedCitation":"(Webley, 2012, p. 927)","previouslyFormattedCitation":"(Webley, 2012, p. 927)"},"properties":{"noteIndex":0},"schema":"https://github.com/citation-style-language/schema/raw/master/csl-citation.json"}</w:instrText>
      </w:r>
      <w:r w:rsidR="00F11363" w:rsidRPr="00136F3A">
        <w:rPr>
          <w:rFonts w:ascii="Calibri" w:hAnsi="Calibri" w:cs="Calibri"/>
          <w:sz w:val="22"/>
          <w:szCs w:val="22"/>
        </w:rPr>
        <w:fldChar w:fldCharType="separate"/>
      </w:r>
      <w:r w:rsidR="00F11363" w:rsidRPr="00136F3A">
        <w:rPr>
          <w:rFonts w:ascii="Calibri" w:hAnsi="Calibri" w:cs="Calibri"/>
          <w:noProof/>
          <w:sz w:val="22"/>
          <w:szCs w:val="22"/>
        </w:rPr>
        <w:t>(Webley, 2012, p. 927)</w:t>
      </w:r>
      <w:r w:rsidR="00F11363" w:rsidRPr="00136F3A">
        <w:rPr>
          <w:rFonts w:ascii="Calibri" w:hAnsi="Calibri" w:cs="Calibri"/>
          <w:sz w:val="22"/>
          <w:szCs w:val="22"/>
        </w:rPr>
        <w:fldChar w:fldCharType="end"/>
      </w:r>
      <w:r w:rsidR="008B4A20" w:rsidRPr="00136F3A">
        <w:rPr>
          <w:rFonts w:ascii="Calibri" w:hAnsi="Calibri" w:cs="Calibri"/>
          <w:sz w:val="22"/>
          <w:szCs w:val="22"/>
        </w:rPr>
        <w:t>.</w:t>
      </w:r>
    </w:p>
    <w:p w14:paraId="7655AFA6" w14:textId="77777777" w:rsidR="00B33E32" w:rsidRPr="00136F3A" w:rsidRDefault="00B33E32" w:rsidP="00FF525C">
      <w:pPr>
        <w:jc w:val="both"/>
        <w:rPr>
          <w:rFonts w:ascii="Calibri" w:hAnsi="Calibri" w:cs="Calibri"/>
          <w:sz w:val="22"/>
          <w:szCs w:val="22"/>
        </w:rPr>
      </w:pPr>
    </w:p>
    <w:p w14:paraId="1F10BC4A" w14:textId="5F79AE65" w:rsidR="00F82FE8" w:rsidRPr="00136F3A" w:rsidRDefault="00745626" w:rsidP="00FF525C">
      <w:pPr>
        <w:jc w:val="both"/>
        <w:rPr>
          <w:rFonts w:ascii="Calibri" w:hAnsi="Calibri" w:cs="Calibri"/>
          <w:sz w:val="22"/>
          <w:szCs w:val="22"/>
        </w:rPr>
      </w:pPr>
      <w:r w:rsidRPr="00136F3A">
        <w:rPr>
          <w:rFonts w:ascii="Calibri" w:hAnsi="Calibri" w:cs="Calibri"/>
          <w:sz w:val="22"/>
          <w:szCs w:val="22"/>
        </w:rPr>
        <w:t>S</w:t>
      </w:r>
      <w:r w:rsidR="007C6FD4" w:rsidRPr="00136F3A">
        <w:rPr>
          <w:rFonts w:ascii="Calibri" w:hAnsi="Calibri" w:cs="Calibri"/>
          <w:sz w:val="22"/>
          <w:szCs w:val="22"/>
        </w:rPr>
        <w:t xml:space="preserve">ome have questioned whether the exact </w:t>
      </w:r>
      <w:r w:rsidR="006E2831" w:rsidRPr="00136F3A">
        <w:rPr>
          <w:rFonts w:ascii="Calibri" w:hAnsi="Calibri" w:cs="Calibri"/>
          <w:sz w:val="22"/>
          <w:szCs w:val="22"/>
        </w:rPr>
        <w:t>composition</w:t>
      </w:r>
      <w:r w:rsidR="007C6FD4" w:rsidRPr="00136F3A">
        <w:rPr>
          <w:rFonts w:ascii="Calibri" w:hAnsi="Calibri" w:cs="Calibri"/>
          <w:sz w:val="22"/>
          <w:szCs w:val="22"/>
        </w:rPr>
        <w:t xml:space="preserve"> of </w:t>
      </w:r>
      <w:r w:rsidRPr="00136F3A">
        <w:rPr>
          <w:rFonts w:ascii="Calibri" w:hAnsi="Calibri" w:cs="Calibri"/>
          <w:sz w:val="22"/>
          <w:szCs w:val="22"/>
        </w:rPr>
        <w:t xml:space="preserve">legal research </w:t>
      </w:r>
      <w:r w:rsidR="007C6FD4" w:rsidRPr="00136F3A">
        <w:rPr>
          <w:rFonts w:ascii="Calibri" w:hAnsi="Calibri" w:cs="Calibri"/>
          <w:sz w:val="22"/>
          <w:szCs w:val="22"/>
        </w:rPr>
        <w:t>method</w:t>
      </w:r>
      <w:r w:rsidRPr="00136F3A">
        <w:rPr>
          <w:rFonts w:ascii="Calibri" w:hAnsi="Calibri" w:cs="Calibri"/>
          <w:sz w:val="22"/>
          <w:szCs w:val="22"/>
        </w:rPr>
        <w:t>s</w:t>
      </w:r>
      <w:r w:rsidR="007C6FD4" w:rsidRPr="00136F3A">
        <w:rPr>
          <w:rFonts w:ascii="Calibri" w:hAnsi="Calibri" w:cs="Calibri"/>
          <w:sz w:val="22"/>
          <w:szCs w:val="22"/>
        </w:rPr>
        <w:t xml:space="preserve"> can or should be explored </w:t>
      </w:r>
      <w:r w:rsidRPr="00136F3A">
        <w:rPr>
          <w:rFonts w:ascii="Calibri" w:hAnsi="Calibri" w:cs="Calibri"/>
          <w:sz w:val="22"/>
          <w:szCs w:val="22"/>
        </w:rPr>
        <w:t>within research</w:t>
      </w:r>
      <w:r w:rsidR="007C6FD4" w:rsidRPr="00136F3A">
        <w:rPr>
          <w:rFonts w:ascii="Calibri" w:hAnsi="Calibri" w:cs="Calibri"/>
          <w:sz w:val="22"/>
          <w:szCs w:val="22"/>
        </w:rPr>
        <w:t xml:space="preserve"> papers</w:t>
      </w:r>
      <w:r w:rsidR="00845ACA" w:rsidRPr="00136F3A">
        <w:rPr>
          <w:rFonts w:ascii="Calibri" w:hAnsi="Calibri" w:cs="Calibri"/>
          <w:sz w:val="22"/>
          <w:szCs w:val="22"/>
        </w:rPr>
        <w:t xml:space="preserve">, arguing that there is no </w:t>
      </w:r>
      <w:r w:rsidR="00692F3F" w:rsidRPr="00136F3A">
        <w:rPr>
          <w:rFonts w:ascii="Calibri" w:hAnsi="Calibri" w:cs="Calibri"/>
          <w:sz w:val="22"/>
          <w:szCs w:val="22"/>
        </w:rPr>
        <w:t>discernible</w:t>
      </w:r>
      <w:r w:rsidR="00845ACA" w:rsidRPr="00136F3A">
        <w:rPr>
          <w:rFonts w:ascii="Calibri" w:hAnsi="Calibri" w:cs="Calibri"/>
          <w:sz w:val="22"/>
          <w:szCs w:val="22"/>
        </w:rPr>
        <w:t xml:space="preserve"> benefit from doing so</w:t>
      </w:r>
      <w:r w:rsidRPr="00136F3A">
        <w:rPr>
          <w:rFonts w:ascii="Calibri" w:hAnsi="Calibri" w:cs="Calibri"/>
          <w:sz w:val="22"/>
          <w:szCs w:val="22"/>
        </w:rPr>
        <w:t xml:space="preserve"> </w:t>
      </w:r>
      <w:r w:rsidR="007C6FD4" w:rsidRPr="00136F3A">
        <w:rPr>
          <w:rFonts w:ascii="Calibri" w:hAnsi="Calibri" w:cs="Calibri"/>
          <w:sz w:val="22"/>
          <w:szCs w:val="22"/>
        </w:rPr>
        <w:fldChar w:fldCharType="begin" w:fldLock="1"/>
      </w:r>
      <w:r w:rsidR="00C25238" w:rsidRPr="00136F3A">
        <w:rPr>
          <w:rFonts w:ascii="Calibri" w:hAnsi="Calibri" w:cs="Calibri"/>
          <w:sz w:val="22"/>
          <w:szCs w:val="22"/>
        </w:rPr>
        <w:instrText>ADDIN CSL_CITATION {"citationItems":[{"id":"ITEM-1","itemData":{"ISBN":"1872-8952 (Electronic)\\n1388-2457 (Linking)","author":[{"dropping-particle":"","family":"Hutchinson","given":"Terry","non-dropping-particle":"","parse-names":false,"suffix":""},{"dropping-particle":"","family":"Duncan","given":"Nigel","non-dropping-particle":"","parse-names":false,"suffix":""}],"container-title":"Deakin Law Review","id":"ITEM-1","issue":"1","issued":{"date-parts":[["2012"]]},"page":"83-120","title":"Defining and Describing What We Do: Doctrinal Legal Research","type":"article-journal","volume":"17"},"uris":["http://www.mendeley.com/documents/?uuid=0bb1de12-e9fb-45dc-897e-076cb30e39d5"]}],"mendeley":{"formattedCitation":"(Hutchinson and Duncan, 2012)","plainTextFormattedCitation":"(Hutchinson and Duncan, 2012)","previouslyFormattedCitation":"(Hutchinson and Duncan, 2012)"},"properties":{"noteIndex":0},"schema":"https://github.com/citation-style-language/schema/raw/master/csl-citation.json"}</w:instrText>
      </w:r>
      <w:r w:rsidR="007C6FD4" w:rsidRPr="00136F3A">
        <w:rPr>
          <w:rFonts w:ascii="Calibri" w:hAnsi="Calibri" w:cs="Calibri"/>
          <w:sz w:val="22"/>
          <w:szCs w:val="22"/>
        </w:rPr>
        <w:fldChar w:fldCharType="separate"/>
      </w:r>
      <w:r w:rsidR="007C6FD4" w:rsidRPr="00136F3A">
        <w:rPr>
          <w:rFonts w:ascii="Calibri" w:hAnsi="Calibri" w:cs="Calibri"/>
          <w:noProof/>
          <w:sz w:val="22"/>
          <w:szCs w:val="22"/>
        </w:rPr>
        <w:t>(Hutchinson and Duncan, 2012)</w:t>
      </w:r>
      <w:r w:rsidR="007C6FD4" w:rsidRPr="00136F3A">
        <w:rPr>
          <w:rFonts w:ascii="Calibri" w:hAnsi="Calibri" w:cs="Calibri"/>
          <w:sz w:val="22"/>
          <w:szCs w:val="22"/>
        </w:rPr>
        <w:fldChar w:fldCharType="end"/>
      </w:r>
      <w:r w:rsidR="007C6FD4" w:rsidRPr="00136F3A">
        <w:rPr>
          <w:rFonts w:ascii="Calibri" w:hAnsi="Calibri" w:cs="Calibri"/>
          <w:sz w:val="22"/>
          <w:szCs w:val="22"/>
        </w:rPr>
        <w:t>.</w:t>
      </w:r>
      <w:r w:rsidRPr="00136F3A">
        <w:rPr>
          <w:rFonts w:ascii="Calibri" w:hAnsi="Calibri" w:cs="Calibri"/>
          <w:sz w:val="22"/>
          <w:szCs w:val="22"/>
        </w:rPr>
        <w:t xml:space="preserve"> </w:t>
      </w:r>
      <w:r w:rsidR="00845ACA" w:rsidRPr="00136F3A">
        <w:rPr>
          <w:rFonts w:ascii="Calibri" w:hAnsi="Calibri" w:cs="Calibri"/>
          <w:sz w:val="22"/>
          <w:szCs w:val="22"/>
        </w:rPr>
        <w:t xml:space="preserve">However, such a position ignores the central </w:t>
      </w:r>
      <w:r w:rsidR="001179D3" w:rsidRPr="00136F3A">
        <w:rPr>
          <w:rFonts w:ascii="Calibri" w:hAnsi="Calibri" w:cs="Calibri"/>
          <w:sz w:val="22"/>
          <w:szCs w:val="22"/>
        </w:rPr>
        <w:t xml:space="preserve">benefits and integral role played by methodological accounts within the research project. These include </w:t>
      </w:r>
      <w:r w:rsidR="00647468" w:rsidRPr="00136F3A">
        <w:rPr>
          <w:rFonts w:ascii="Calibri" w:hAnsi="Calibri" w:cs="Calibri"/>
          <w:sz w:val="22"/>
          <w:szCs w:val="22"/>
        </w:rPr>
        <w:t xml:space="preserve">clarity, demonstration of research </w:t>
      </w:r>
      <w:r w:rsidR="00A51053">
        <w:rPr>
          <w:rFonts w:ascii="Calibri" w:hAnsi="Calibri" w:cs="Calibri"/>
          <w:sz w:val="22"/>
          <w:szCs w:val="22"/>
        </w:rPr>
        <w:t>rigour</w:t>
      </w:r>
      <w:r w:rsidR="00647468" w:rsidRPr="00136F3A">
        <w:rPr>
          <w:rFonts w:ascii="Calibri" w:hAnsi="Calibri" w:cs="Calibri"/>
          <w:sz w:val="22"/>
          <w:szCs w:val="22"/>
        </w:rPr>
        <w:t xml:space="preserve"> and ethics; as well as performing a critical role, both in terms of the self as </w:t>
      </w:r>
      <w:r w:rsidR="00A51053">
        <w:rPr>
          <w:rFonts w:ascii="Calibri" w:hAnsi="Calibri" w:cs="Calibri"/>
          <w:sz w:val="22"/>
          <w:szCs w:val="22"/>
        </w:rPr>
        <w:t xml:space="preserve">a </w:t>
      </w:r>
      <w:r w:rsidR="00647468" w:rsidRPr="00136F3A">
        <w:rPr>
          <w:rFonts w:ascii="Calibri" w:hAnsi="Calibri" w:cs="Calibri"/>
          <w:sz w:val="22"/>
          <w:szCs w:val="22"/>
        </w:rPr>
        <w:t xml:space="preserve">researcher, but also </w:t>
      </w:r>
      <w:r w:rsidR="0016108A">
        <w:rPr>
          <w:rFonts w:ascii="Calibri" w:hAnsi="Calibri" w:cs="Calibri"/>
          <w:sz w:val="22"/>
          <w:szCs w:val="22"/>
        </w:rPr>
        <w:t>concerning</w:t>
      </w:r>
      <w:r w:rsidR="00647468" w:rsidRPr="00136F3A">
        <w:rPr>
          <w:rFonts w:ascii="Calibri" w:hAnsi="Calibri" w:cs="Calibri"/>
          <w:sz w:val="22"/>
          <w:szCs w:val="22"/>
        </w:rPr>
        <w:t xml:space="preserve"> other approaches to similar research.</w:t>
      </w:r>
      <w:r w:rsidR="001179D3" w:rsidRPr="00136F3A">
        <w:rPr>
          <w:rFonts w:ascii="Calibri" w:hAnsi="Calibri" w:cs="Calibri"/>
          <w:sz w:val="22"/>
          <w:szCs w:val="22"/>
        </w:rPr>
        <w:t xml:space="preserve"> </w:t>
      </w:r>
      <w:r w:rsidR="00647468" w:rsidRPr="00136F3A">
        <w:rPr>
          <w:rFonts w:ascii="Calibri" w:hAnsi="Calibri" w:cs="Calibri"/>
          <w:sz w:val="22"/>
          <w:szCs w:val="22"/>
        </w:rPr>
        <w:t>Indeed, as</w:t>
      </w:r>
      <w:r w:rsidRPr="00136F3A">
        <w:rPr>
          <w:rFonts w:ascii="Calibri" w:hAnsi="Calibri" w:cs="Calibri"/>
          <w:sz w:val="22"/>
          <w:szCs w:val="22"/>
        </w:rPr>
        <w:t xml:space="preserve"> </w:t>
      </w:r>
      <w:r w:rsidR="003A2708" w:rsidRPr="00136F3A">
        <w:rPr>
          <w:rFonts w:ascii="Calibri" w:hAnsi="Calibri" w:cs="Calibri"/>
          <w:sz w:val="22"/>
          <w:szCs w:val="22"/>
        </w:rPr>
        <w:t xml:space="preserve">﻿McInerney-Lankford argues, such </w:t>
      </w:r>
      <w:r w:rsidR="00452468" w:rsidRPr="00136F3A">
        <w:rPr>
          <w:rFonts w:ascii="Calibri" w:hAnsi="Calibri" w:cs="Calibri"/>
          <w:sz w:val="22"/>
          <w:szCs w:val="22"/>
        </w:rPr>
        <w:t>aversion</w:t>
      </w:r>
      <w:r w:rsidR="003A2708" w:rsidRPr="00136F3A">
        <w:rPr>
          <w:rFonts w:ascii="Calibri" w:hAnsi="Calibri" w:cs="Calibri"/>
          <w:sz w:val="22"/>
          <w:szCs w:val="22"/>
        </w:rPr>
        <w:t xml:space="preserve"> to methodological explanation has </w:t>
      </w:r>
      <w:r w:rsidR="00452468" w:rsidRPr="00136F3A">
        <w:rPr>
          <w:rFonts w:ascii="Calibri" w:hAnsi="Calibri" w:cs="Calibri"/>
          <w:sz w:val="22"/>
          <w:szCs w:val="22"/>
        </w:rPr>
        <w:t>led</w:t>
      </w:r>
      <w:r w:rsidR="003A2708" w:rsidRPr="00136F3A">
        <w:rPr>
          <w:rFonts w:ascii="Calibri" w:hAnsi="Calibri" w:cs="Calibri"/>
          <w:sz w:val="22"/>
          <w:szCs w:val="22"/>
        </w:rPr>
        <w:t xml:space="preserve"> to an inherent weakness within legal</w:t>
      </w:r>
      <w:r w:rsidR="00452468" w:rsidRPr="00136F3A">
        <w:rPr>
          <w:rFonts w:ascii="Calibri" w:hAnsi="Calibri" w:cs="Calibri"/>
          <w:sz w:val="22"/>
          <w:szCs w:val="22"/>
        </w:rPr>
        <w:t xml:space="preserve"> and human rights scholarship</w:t>
      </w:r>
      <w:r w:rsidR="00683AB8" w:rsidRPr="00136F3A">
        <w:rPr>
          <w:rFonts w:ascii="Calibri" w:hAnsi="Calibri" w:cs="Calibri"/>
          <w:sz w:val="22"/>
          <w:szCs w:val="22"/>
        </w:rPr>
        <w:t xml:space="preserve"> </w:t>
      </w:r>
      <w:r w:rsidR="00683AB8"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{"citationItems":[{"id":"ITEM-1","itemData":{"author":[{"dropping-particle":"","family":"McInerney-Lankford","given":"Siobhán","non-dropping-particle":"","parse-names":false,"suffix":""}],"chapter-number":"3","container-title":"Research Methods in Human Rights: A Handbook","editor":[{"dropping-particle":"","family":"Andreassen","given":"Bård A.","non-dropping-particle":"","parse-names":false,"suffix":""},{"dropping-particle":"","family":"Sano","given":"Hans Otto","non-dropping-particle":"","parse-names":false,"suffix":""},{"dropping-particle":"","family":"McInerney-Lankford","given":"Siobhán","non-dropping-particle":"","parse-names":false,"suffix":""}],"id":"ITEM-1","issued":{"date-parts":[["2017"]]},"page":"38-67","publisher":"Edward Elgar Publishing","title":"Legal methodologies and human rights research: Challenges and opportunities","type":"chapter"},"locator":"38-39","uris":["http://www.mendeley.com/documents/?uuid=22280e41-02f4-4e0c-a8dc-ae8657885d21"]}],"mendeley":{"formattedCitation":"(McInerney-Lankford, 2017, pp. 38–39)","plainTextFormattedCitation":"(McInerney-Lankford, 2017, pp. 38–39)","previouslyFormattedCitation":"(McInerney-Lankford, 2017, pp. 38–39)"},"properties":{"noteIndex":0},"schema":"https://github.com/citation-style-language/schema/raw/master/csl-citation.json"}</w:instrText>
      </w:r>
      <w:r w:rsidR="00683AB8" w:rsidRPr="00136F3A">
        <w:rPr>
          <w:rFonts w:ascii="Calibri" w:hAnsi="Calibri" w:cs="Calibri"/>
          <w:sz w:val="22"/>
          <w:szCs w:val="22"/>
        </w:rPr>
        <w:fldChar w:fldCharType="separate"/>
      </w:r>
      <w:r w:rsidR="00683AB8" w:rsidRPr="00136F3A">
        <w:rPr>
          <w:rFonts w:ascii="Calibri" w:hAnsi="Calibri" w:cs="Calibri"/>
          <w:noProof/>
          <w:sz w:val="22"/>
          <w:szCs w:val="22"/>
        </w:rPr>
        <w:t>(McInerney-Lankford, 2017, pp. 38–39)</w:t>
      </w:r>
      <w:r w:rsidR="00683AB8" w:rsidRPr="00136F3A">
        <w:rPr>
          <w:rFonts w:ascii="Calibri" w:hAnsi="Calibri" w:cs="Calibri"/>
          <w:sz w:val="22"/>
          <w:szCs w:val="22"/>
        </w:rPr>
        <w:fldChar w:fldCharType="end"/>
      </w:r>
      <w:r w:rsidR="00D41AFF" w:rsidRPr="00136F3A">
        <w:rPr>
          <w:rFonts w:ascii="Calibri" w:hAnsi="Calibri" w:cs="Calibri"/>
          <w:sz w:val="22"/>
          <w:szCs w:val="22"/>
        </w:rPr>
        <w:t>.</w:t>
      </w:r>
      <w:r w:rsidR="007C6FD4" w:rsidRPr="00136F3A">
        <w:rPr>
          <w:rFonts w:ascii="Calibri" w:hAnsi="Calibri" w:cs="Calibri"/>
          <w:sz w:val="22"/>
          <w:szCs w:val="22"/>
        </w:rPr>
        <w:t xml:space="preserve"> This is especially the case as law increasingly </w:t>
      </w:r>
      <w:r w:rsidR="006E2831" w:rsidRPr="00136F3A">
        <w:rPr>
          <w:rFonts w:ascii="Calibri" w:hAnsi="Calibri" w:cs="Calibri"/>
          <w:sz w:val="22"/>
          <w:szCs w:val="22"/>
        </w:rPr>
        <w:t>exposes</w:t>
      </w:r>
      <w:r w:rsidR="007C6FD4" w:rsidRPr="00136F3A">
        <w:rPr>
          <w:rFonts w:ascii="Calibri" w:hAnsi="Calibri" w:cs="Calibri"/>
          <w:sz w:val="22"/>
          <w:szCs w:val="22"/>
        </w:rPr>
        <w:t xml:space="preserve"> itself to </w:t>
      </w:r>
      <w:r w:rsidR="006E2831" w:rsidRPr="00136F3A">
        <w:rPr>
          <w:rFonts w:ascii="Calibri" w:hAnsi="Calibri" w:cs="Calibri"/>
          <w:sz w:val="22"/>
          <w:szCs w:val="22"/>
        </w:rPr>
        <w:t>interdisciplinary research and the introduction of contexts outside the realm of traditional legal research.</w:t>
      </w:r>
      <w:r w:rsidR="00967E8A" w:rsidRPr="00136F3A">
        <w:rPr>
          <w:rFonts w:ascii="Calibri" w:hAnsi="Calibri" w:cs="Calibri"/>
          <w:sz w:val="22"/>
          <w:szCs w:val="22"/>
        </w:rPr>
        <w:t xml:space="preserve"> As Langford eloquently puts</w:t>
      </w:r>
      <w:r w:rsidR="0027727E" w:rsidRPr="00136F3A">
        <w:rPr>
          <w:rFonts w:ascii="Calibri" w:hAnsi="Calibri" w:cs="Calibri"/>
          <w:sz w:val="22"/>
          <w:szCs w:val="22"/>
        </w:rPr>
        <w:t xml:space="preserve"> </w:t>
      </w:r>
      <w:r w:rsidR="00F220E6">
        <w:rPr>
          <w:rFonts w:ascii="Calibri" w:hAnsi="Calibri" w:cs="Calibri"/>
          <w:sz w:val="22"/>
          <w:szCs w:val="22"/>
        </w:rPr>
        <w:t>‘</w:t>
      </w:r>
      <w:r w:rsidR="00E90D9B">
        <w:rPr>
          <w:rFonts w:ascii="Calibri" w:hAnsi="Calibri" w:cs="Calibri"/>
          <w:sz w:val="22"/>
          <w:szCs w:val="22"/>
        </w:rPr>
        <w:t>(o)</w:t>
      </w:r>
      <w:r w:rsidR="00A51053">
        <w:rPr>
          <w:rFonts w:ascii="Calibri" w:hAnsi="Calibri" w:cs="Calibri"/>
          <w:sz w:val="22"/>
          <w:szCs w:val="22"/>
        </w:rPr>
        <w:t>one</w:t>
      </w:r>
      <w:r w:rsidR="00967E8A" w:rsidRPr="00136F3A">
        <w:rPr>
          <w:rFonts w:ascii="Calibri" w:hAnsi="Calibri" w:cs="Calibri"/>
          <w:sz w:val="22"/>
          <w:szCs w:val="22"/>
        </w:rPr>
        <w:t xml:space="preserve"> can only imagine the poverty of human rights research if it were isolated from</w:t>
      </w:r>
      <w:r w:rsidR="00654FDC" w:rsidRPr="00136F3A">
        <w:rPr>
          <w:rFonts w:ascii="Calibri" w:hAnsi="Calibri" w:cs="Calibri"/>
          <w:sz w:val="22"/>
          <w:szCs w:val="22"/>
        </w:rPr>
        <w:t xml:space="preserve"> these broader intellectual movements</w:t>
      </w:r>
      <w:r w:rsidR="00F220E6">
        <w:rPr>
          <w:rFonts w:ascii="Calibri" w:hAnsi="Calibri" w:cs="Calibri"/>
          <w:sz w:val="22"/>
          <w:szCs w:val="22"/>
        </w:rPr>
        <w:t>’</w:t>
      </w:r>
      <w:r w:rsidR="00654FDC" w:rsidRPr="00136F3A">
        <w:rPr>
          <w:rFonts w:ascii="Calibri" w:hAnsi="Calibri" w:cs="Calibri"/>
          <w:sz w:val="22"/>
          <w:szCs w:val="22"/>
        </w:rPr>
        <w:t xml:space="preserve"> </w:t>
      </w:r>
      <w:r w:rsidR="00654FDC"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{"citationItems":[{"id":"ITEM-1","itemData":{"author":[{"dropping-particle":"","family":"Langford","given":"Malcolm","non-dropping-particle":"","parse-names":false,"suffix":""}],"chapter-number":"8","container-title":"Research Methods in Human Rights: A Handbook","editor":[{"dropping-particle":"","family":"Andreassen","given":"Bård A.","non-dropping-particle":"","parse-names":false,"suffix":""},{"dropping-particle":"","family":"Sano","given":"Hans Otto","non-dropping-particle":"","parse-names":false,"suffix":""},{"dropping-particle":"","family":"McInerney-Lankford","given":"Siobhán","non-dropping-particle":"","parse-names":false,"suffix":""}],"id":"ITEM-1","issue":"1997","issued":{"date-parts":[["2017"]]},"page":"161-191","title":"Interdisciplinarity and multimethod research","type":"chapter","volume":"34"},"locator":"165","uris":["http://www.mendeley.com/documents/?uuid=058d0e0c-654d-4862-88d3-55c7ec119360"]}],"mendeley":{"formattedCitation":"(Langford, 2017, p. 165)","plainTextFormattedCitation":"(Langford, 2017, p. 165)","previouslyFormattedCitation":"(Langford, 2017, p. 165)"},"properties":{"noteIndex":0},"schema":"https://github.com/citation-style-language/schema/raw/master/csl-citation.json"}</w:instrText>
      </w:r>
      <w:r w:rsidR="00654FDC" w:rsidRPr="00136F3A">
        <w:rPr>
          <w:rFonts w:ascii="Calibri" w:hAnsi="Calibri" w:cs="Calibri"/>
          <w:sz w:val="22"/>
          <w:szCs w:val="22"/>
        </w:rPr>
        <w:fldChar w:fldCharType="separate"/>
      </w:r>
      <w:r w:rsidR="00654FDC" w:rsidRPr="00136F3A">
        <w:rPr>
          <w:rFonts w:ascii="Calibri" w:hAnsi="Calibri" w:cs="Calibri"/>
          <w:noProof/>
          <w:sz w:val="22"/>
          <w:szCs w:val="22"/>
        </w:rPr>
        <w:t>(Langford, 2017, p. 165)</w:t>
      </w:r>
      <w:r w:rsidR="00654FDC" w:rsidRPr="00136F3A">
        <w:rPr>
          <w:rFonts w:ascii="Calibri" w:hAnsi="Calibri" w:cs="Calibri"/>
          <w:sz w:val="22"/>
          <w:szCs w:val="22"/>
        </w:rPr>
        <w:fldChar w:fldCharType="end"/>
      </w:r>
      <w:r w:rsidR="0027727E" w:rsidRPr="00136F3A">
        <w:rPr>
          <w:rFonts w:ascii="Calibri" w:hAnsi="Calibri" w:cs="Calibri"/>
          <w:sz w:val="22"/>
          <w:szCs w:val="22"/>
        </w:rPr>
        <w:t>.</w:t>
      </w:r>
      <w:r w:rsidR="00F82FE8" w:rsidRPr="00136F3A">
        <w:rPr>
          <w:rFonts w:ascii="Calibri" w:hAnsi="Calibri" w:cs="Calibri"/>
          <w:sz w:val="22"/>
          <w:szCs w:val="22"/>
        </w:rPr>
        <w:t xml:space="preserve"> </w:t>
      </w:r>
      <w:r w:rsidR="001E6709">
        <w:rPr>
          <w:rFonts w:ascii="Calibri" w:hAnsi="Calibri" w:cs="Calibri"/>
          <w:sz w:val="22"/>
          <w:szCs w:val="22"/>
        </w:rPr>
        <w:t>I</w:t>
      </w:r>
      <w:r w:rsidR="00267272" w:rsidRPr="00136F3A">
        <w:rPr>
          <w:rFonts w:ascii="Calibri" w:hAnsi="Calibri" w:cs="Calibri"/>
          <w:sz w:val="22"/>
          <w:szCs w:val="22"/>
        </w:rPr>
        <w:t>nterdisciplinary</w:t>
      </w:r>
      <w:r w:rsidR="00F82FE8" w:rsidRPr="00136F3A">
        <w:rPr>
          <w:rFonts w:ascii="Calibri" w:hAnsi="Calibri" w:cs="Calibri"/>
          <w:sz w:val="22"/>
          <w:szCs w:val="22"/>
        </w:rPr>
        <w:t xml:space="preserve"> methods</w:t>
      </w:r>
      <w:r w:rsidR="001E6709">
        <w:rPr>
          <w:rFonts w:ascii="Calibri" w:hAnsi="Calibri" w:cs="Calibri"/>
          <w:sz w:val="22"/>
          <w:szCs w:val="22"/>
        </w:rPr>
        <w:t xml:space="preserve"> must be embraced</w:t>
      </w:r>
      <w:r w:rsidR="00F82FE8" w:rsidRPr="00136F3A">
        <w:rPr>
          <w:rFonts w:ascii="Calibri" w:hAnsi="Calibri" w:cs="Calibri"/>
          <w:sz w:val="22"/>
          <w:szCs w:val="22"/>
        </w:rPr>
        <w:t xml:space="preserve"> through </w:t>
      </w:r>
      <w:r w:rsidR="000E06D9" w:rsidRPr="00136F3A">
        <w:rPr>
          <w:rFonts w:ascii="Calibri" w:hAnsi="Calibri" w:cs="Calibri"/>
          <w:sz w:val="22"/>
          <w:szCs w:val="22"/>
        </w:rPr>
        <w:t>a</w:t>
      </w:r>
      <w:r w:rsidR="00F82FE8" w:rsidRPr="00136F3A">
        <w:rPr>
          <w:rFonts w:ascii="Calibri" w:hAnsi="Calibri" w:cs="Calibri"/>
          <w:sz w:val="22"/>
          <w:szCs w:val="22"/>
        </w:rPr>
        <w:t xml:space="preserve"> socio-legal approach and </w:t>
      </w:r>
      <w:r w:rsidR="000E06D9" w:rsidRPr="00136F3A">
        <w:rPr>
          <w:rFonts w:ascii="Calibri" w:hAnsi="Calibri" w:cs="Calibri"/>
          <w:sz w:val="22"/>
          <w:szCs w:val="22"/>
        </w:rPr>
        <w:t>clarify our</w:t>
      </w:r>
      <w:r w:rsidR="008A23EB" w:rsidRPr="00136F3A">
        <w:rPr>
          <w:rFonts w:ascii="Calibri" w:hAnsi="Calibri" w:cs="Calibri"/>
          <w:sz w:val="22"/>
          <w:szCs w:val="22"/>
        </w:rPr>
        <w:t xml:space="preserve"> understanding of </w:t>
      </w:r>
      <w:r w:rsidR="00D6286C" w:rsidRPr="00136F3A">
        <w:rPr>
          <w:rFonts w:ascii="Calibri" w:hAnsi="Calibri" w:cs="Calibri"/>
          <w:sz w:val="22"/>
          <w:szCs w:val="22"/>
        </w:rPr>
        <w:t>its</w:t>
      </w:r>
      <w:r w:rsidR="008A23EB" w:rsidRPr="00136F3A">
        <w:rPr>
          <w:rFonts w:ascii="Calibri" w:hAnsi="Calibri" w:cs="Calibri"/>
          <w:sz w:val="22"/>
          <w:szCs w:val="22"/>
        </w:rPr>
        <w:t xml:space="preserve"> close relationship </w:t>
      </w:r>
      <w:r w:rsidR="00D6286C" w:rsidRPr="00136F3A">
        <w:rPr>
          <w:rFonts w:ascii="Calibri" w:hAnsi="Calibri" w:cs="Calibri"/>
          <w:sz w:val="22"/>
          <w:szCs w:val="22"/>
        </w:rPr>
        <w:t>with the wider qualitative research family.</w:t>
      </w:r>
    </w:p>
    <w:p w14:paraId="12AD9B2A" w14:textId="29265348" w:rsidR="00FA5F39" w:rsidRPr="00136F3A" w:rsidRDefault="00FA5F39" w:rsidP="00FF525C">
      <w:pPr>
        <w:jc w:val="both"/>
        <w:rPr>
          <w:rFonts w:ascii="Calibri" w:hAnsi="Calibri" w:cs="Calibri"/>
          <w:sz w:val="22"/>
          <w:szCs w:val="22"/>
        </w:rPr>
      </w:pPr>
    </w:p>
    <w:p w14:paraId="35372FF7" w14:textId="00DA50B9" w:rsidR="001D1395" w:rsidRDefault="001848DD" w:rsidP="00FF525C">
      <w:pPr>
        <w:jc w:val="both"/>
        <w:rPr>
          <w:rFonts w:ascii="Calibri" w:hAnsi="Calibri" w:cs="Calibri"/>
          <w:sz w:val="22"/>
          <w:szCs w:val="22"/>
        </w:rPr>
      </w:pPr>
      <w:r w:rsidRPr="00136F3A">
        <w:rPr>
          <w:rFonts w:ascii="Calibri" w:hAnsi="Calibri" w:cs="Calibri"/>
          <w:sz w:val="22"/>
          <w:szCs w:val="22"/>
        </w:rPr>
        <w:t>S</w:t>
      </w:r>
      <w:r w:rsidR="005044F0" w:rsidRPr="00136F3A">
        <w:rPr>
          <w:rFonts w:ascii="Calibri" w:hAnsi="Calibri" w:cs="Calibri"/>
          <w:sz w:val="22"/>
          <w:szCs w:val="22"/>
        </w:rPr>
        <w:t>ocio-legal</w:t>
      </w:r>
      <w:r w:rsidR="00CC0EF3">
        <w:rPr>
          <w:rFonts w:ascii="Calibri" w:hAnsi="Calibri" w:cs="Calibri"/>
          <w:sz w:val="22"/>
          <w:szCs w:val="22"/>
        </w:rPr>
        <w:t xml:space="preserve"> human rights</w:t>
      </w:r>
      <w:r w:rsidR="005044F0" w:rsidRPr="00136F3A">
        <w:rPr>
          <w:rFonts w:ascii="Calibri" w:hAnsi="Calibri" w:cs="Calibri"/>
          <w:sz w:val="22"/>
          <w:szCs w:val="22"/>
        </w:rPr>
        <w:t xml:space="preserve"> research</w:t>
      </w:r>
      <w:r w:rsidR="00FB3076">
        <w:rPr>
          <w:rFonts w:ascii="Calibri" w:hAnsi="Calibri" w:cs="Calibri"/>
          <w:sz w:val="22"/>
          <w:szCs w:val="22"/>
        </w:rPr>
        <w:t xml:space="preserve">, in particular those areas, such as the ‘right to health’ which </w:t>
      </w:r>
      <w:r w:rsidR="00547C0E">
        <w:rPr>
          <w:rFonts w:ascii="Calibri" w:hAnsi="Calibri" w:cs="Calibri"/>
          <w:sz w:val="22"/>
          <w:szCs w:val="22"/>
        </w:rPr>
        <w:t>require an interdisciplinary approach,</w:t>
      </w:r>
      <w:r w:rsidR="005044F0" w:rsidRPr="00136F3A">
        <w:rPr>
          <w:rFonts w:ascii="Calibri" w:hAnsi="Calibri" w:cs="Calibri"/>
          <w:sz w:val="22"/>
          <w:szCs w:val="22"/>
        </w:rPr>
        <w:t xml:space="preserve"> can be seen as being law’s extension of the wider social</w:t>
      </w:r>
      <w:r w:rsidR="00063BDE" w:rsidRPr="00136F3A">
        <w:rPr>
          <w:rFonts w:ascii="Calibri" w:hAnsi="Calibri" w:cs="Calibri"/>
          <w:sz w:val="22"/>
          <w:szCs w:val="22"/>
        </w:rPr>
        <w:t>-</w:t>
      </w:r>
      <w:r w:rsidR="005044F0" w:rsidRPr="00136F3A">
        <w:rPr>
          <w:rFonts w:ascii="Calibri" w:hAnsi="Calibri" w:cs="Calibri"/>
          <w:sz w:val="22"/>
          <w:szCs w:val="22"/>
        </w:rPr>
        <w:t xml:space="preserve">science approach to </w:t>
      </w:r>
      <w:r w:rsidR="00063BDE" w:rsidRPr="00136F3A">
        <w:rPr>
          <w:rFonts w:ascii="Calibri" w:hAnsi="Calibri" w:cs="Calibri"/>
          <w:sz w:val="22"/>
          <w:szCs w:val="22"/>
        </w:rPr>
        <w:t xml:space="preserve">qualitative methods and </w:t>
      </w:r>
      <w:proofErr w:type="gramStart"/>
      <w:r w:rsidR="00063BDE" w:rsidRPr="00136F3A">
        <w:rPr>
          <w:rFonts w:ascii="Calibri" w:hAnsi="Calibri" w:cs="Calibri"/>
          <w:sz w:val="22"/>
          <w:szCs w:val="22"/>
        </w:rPr>
        <w:t>methodology</w:t>
      </w:r>
      <w:proofErr w:type="gramEnd"/>
      <w:r w:rsidR="00956B16" w:rsidRPr="00136F3A">
        <w:rPr>
          <w:rFonts w:ascii="Calibri" w:hAnsi="Calibri" w:cs="Calibri"/>
          <w:sz w:val="22"/>
          <w:szCs w:val="22"/>
        </w:rPr>
        <w:t xml:space="preserve">. </w:t>
      </w:r>
      <w:r w:rsidR="00E23996" w:rsidRPr="00136F3A">
        <w:rPr>
          <w:rFonts w:ascii="Calibri" w:hAnsi="Calibri" w:cs="Calibri"/>
          <w:sz w:val="22"/>
          <w:szCs w:val="22"/>
        </w:rPr>
        <w:t xml:space="preserve">Legal </w:t>
      </w:r>
      <w:r w:rsidR="00785208" w:rsidRPr="00136F3A">
        <w:rPr>
          <w:rFonts w:ascii="Calibri" w:hAnsi="Calibri" w:cs="Calibri"/>
          <w:sz w:val="22"/>
          <w:szCs w:val="22"/>
        </w:rPr>
        <w:t>researchers,</w:t>
      </w:r>
      <w:r w:rsidR="00E23996" w:rsidRPr="00136F3A">
        <w:rPr>
          <w:rFonts w:ascii="Calibri" w:hAnsi="Calibri" w:cs="Calibri"/>
          <w:sz w:val="22"/>
          <w:szCs w:val="22"/>
        </w:rPr>
        <w:t xml:space="preserve"> </w:t>
      </w:r>
      <w:r w:rsidR="00785208">
        <w:rPr>
          <w:rFonts w:ascii="Calibri" w:hAnsi="Calibri" w:cs="Calibri"/>
          <w:sz w:val="22"/>
          <w:szCs w:val="22"/>
        </w:rPr>
        <w:t>therefore, should not</w:t>
      </w:r>
      <w:r w:rsidR="00956B16" w:rsidRPr="00136F3A">
        <w:rPr>
          <w:rFonts w:ascii="Calibri" w:hAnsi="Calibri" w:cs="Calibri"/>
          <w:sz w:val="22"/>
          <w:szCs w:val="22"/>
        </w:rPr>
        <w:t xml:space="preserve"> </w:t>
      </w:r>
      <w:r w:rsidR="00785208">
        <w:rPr>
          <w:rFonts w:ascii="Calibri" w:hAnsi="Calibri" w:cs="Calibri"/>
          <w:sz w:val="22"/>
          <w:szCs w:val="22"/>
        </w:rPr>
        <w:t>be ignorant</w:t>
      </w:r>
      <w:r w:rsidR="00956B16" w:rsidRPr="00136F3A">
        <w:rPr>
          <w:rFonts w:ascii="Calibri" w:hAnsi="Calibri" w:cs="Calibri"/>
          <w:sz w:val="22"/>
          <w:szCs w:val="22"/>
        </w:rPr>
        <w:t xml:space="preserve"> </w:t>
      </w:r>
      <w:r w:rsidR="002B5DCE">
        <w:rPr>
          <w:rFonts w:ascii="Calibri" w:hAnsi="Calibri" w:cs="Calibri"/>
          <w:sz w:val="22"/>
          <w:szCs w:val="22"/>
        </w:rPr>
        <w:t xml:space="preserve">of </w:t>
      </w:r>
      <w:r w:rsidR="00956B16" w:rsidRPr="00136F3A">
        <w:rPr>
          <w:rFonts w:ascii="Calibri" w:hAnsi="Calibri" w:cs="Calibri"/>
          <w:sz w:val="22"/>
          <w:szCs w:val="22"/>
        </w:rPr>
        <w:t xml:space="preserve">the </w:t>
      </w:r>
      <w:r w:rsidR="00D91DBA" w:rsidRPr="00136F3A">
        <w:rPr>
          <w:rFonts w:ascii="Calibri" w:hAnsi="Calibri" w:cs="Calibri"/>
          <w:sz w:val="22"/>
          <w:szCs w:val="22"/>
        </w:rPr>
        <w:t>requirements</w:t>
      </w:r>
      <w:r w:rsidR="00956B16" w:rsidRPr="00136F3A">
        <w:rPr>
          <w:rFonts w:ascii="Calibri" w:hAnsi="Calibri" w:cs="Calibri"/>
          <w:sz w:val="22"/>
          <w:szCs w:val="22"/>
        </w:rPr>
        <w:t xml:space="preserve"> of </w:t>
      </w:r>
      <w:r w:rsidR="00785208">
        <w:rPr>
          <w:rFonts w:ascii="Calibri" w:hAnsi="Calibri" w:cs="Calibri"/>
          <w:sz w:val="22"/>
          <w:szCs w:val="22"/>
        </w:rPr>
        <w:t xml:space="preserve">the </w:t>
      </w:r>
      <w:r w:rsidR="00956B16" w:rsidRPr="00136F3A">
        <w:rPr>
          <w:rFonts w:ascii="Calibri" w:hAnsi="Calibri" w:cs="Calibri"/>
          <w:sz w:val="22"/>
          <w:szCs w:val="22"/>
        </w:rPr>
        <w:t xml:space="preserve">methodological approaches </w:t>
      </w:r>
      <w:r w:rsidR="00785208">
        <w:rPr>
          <w:rFonts w:ascii="Calibri" w:hAnsi="Calibri" w:cs="Calibri"/>
          <w:sz w:val="22"/>
          <w:szCs w:val="22"/>
        </w:rPr>
        <w:t>which underpin</w:t>
      </w:r>
      <w:r w:rsidR="00956B16" w:rsidRPr="00136F3A">
        <w:rPr>
          <w:rFonts w:ascii="Calibri" w:hAnsi="Calibri" w:cs="Calibri"/>
          <w:sz w:val="22"/>
          <w:szCs w:val="22"/>
        </w:rPr>
        <w:t xml:space="preserve"> their research.</w:t>
      </w:r>
      <w:r w:rsidR="00D91DBA" w:rsidRPr="00136F3A">
        <w:rPr>
          <w:rFonts w:ascii="Calibri" w:hAnsi="Calibri" w:cs="Calibri"/>
          <w:sz w:val="22"/>
          <w:szCs w:val="22"/>
        </w:rPr>
        <w:t xml:space="preserve"> </w:t>
      </w:r>
      <w:r w:rsidR="001E6709">
        <w:rPr>
          <w:rFonts w:ascii="Calibri" w:hAnsi="Calibri" w:cs="Calibri"/>
          <w:sz w:val="22"/>
          <w:szCs w:val="22"/>
        </w:rPr>
        <w:t>I</w:t>
      </w:r>
      <w:r w:rsidR="007C64C5" w:rsidRPr="00136F3A">
        <w:rPr>
          <w:rFonts w:ascii="Calibri" w:hAnsi="Calibri" w:cs="Calibri"/>
          <w:sz w:val="22"/>
          <w:szCs w:val="22"/>
        </w:rPr>
        <w:t xml:space="preserve"> </w:t>
      </w:r>
      <w:r w:rsidR="00C927C0" w:rsidRPr="00136F3A">
        <w:rPr>
          <w:rFonts w:ascii="Calibri" w:hAnsi="Calibri" w:cs="Calibri"/>
          <w:sz w:val="22"/>
          <w:szCs w:val="22"/>
        </w:rPr>
        <w:t xml:space="preserve">now </w:t>
      </w:r>
      <w:r w:rsidR="001E6709">
        <w:rPr>
          <w:rFonts w:ascii="Calibri" w:hAnsi="Calibri" w:cs="Calibri"/>
          <w:sz w:val="22"/>
          <w:szCs w:val="22"/>
        </w:rPr>
        <w:lastRenderedPageBreak/>
        <w:t>extend the analysis</w:t>
      </w:r>
      <w:r w:rsidR="007C64C5" w:rsidRPr="00136F3A">
        <w:rPr>
          <w:rFonts w:ascii="Calibri" w:hAnsi="Calibri" w:cs="Calibri"/>
          <w:sz w:val="22"/>
          <w:szCs w:val="22"/>
        </w:rPr>
        <w:t xml:space="preserve"> further and highlight the importance and practical implementation of the much overlooked (in legal research) areas of research ethics and reflexivity, with a focus on positionality. </w:t>
      </w:r>
      <w:r w:rsidR="0042328B" w:rsidRPr="00136F3A">
        <w:rPr>
          <w:rFonts w:ascii="Calibri" w:hAnsi="Calibri" w:cs="Calibri"/>
          <w:sz w:val="22"/>
          <w:szCs w:val="22"/>
        </w:rPr>
        <w:t xml:space="preserve">These, it shall be argued are deficient or absent from much of legal research; </w:t>
      </w:r>
      <w:r w:rsidR="0016108A">
        <w:rPr>
          <w:rFonts w:ascii="Calibri" w:hAnsi="Calibri" w:cs="Calibri"/>
          <w:sz w:val="22"/>
          <w:szCs w:val="22"/>
        </w:rPr>
        <w:t>although</w:t>
      </w:r>
      <w:r w:rsidR="0042328B" w:rsidRPr="00136F3A">
        <w:rPr>
          <w:rFonts w:ascii="Calibri" w:hAnsi="Calibri" w:cs="Calibri"/>
          <w:sz w:val="22"/>
          <w:szCs w:val="22"/>
        </w:rPr>
        <w:t xml:space="preserve"> </w:t>
      </w:r>
      <w:r w:rsidR="00C927C0" w:rsidRPr="00136F3A">
        <w:rPr>
          <w:rFonts w:ascii="Calibri" w:hAnsi="Calibri" w:cs="Calibri"/>
          <w:sz w:val="22"/>
          <w:szCs w:val="22"/>
        </w:rPr>
        <w:t>(</w:t>
      </w:r>
      <w:r w:rsidR="0042328B" w:rsidRPr="00136F3A">
        <w:rPr>
          <w:rFonts w:ascii="Calibri" w:hAnsi="Calibri" w:cs="Calibri"/>
          <w:sz w:val="22"/>
          <w:szCs w:val="22"/>
        </w:rPr>
        <w:t>as shall be shown</w:t>
      </w:r>
      <w:r w:rsidR="00C927C0" w:rsidRPr="00136F3A">
        <w:rPr>
          <w:rFonts w:ascii="Calibri" w:hAnsi="Calibri" w:cs="Calibri"/>
          <w:sz w:val="22"/>
          <w:szCs w:val="22"/>
        </w:rPr>
        <w:t>)</w:t>
      </w:r>
      <w:r w:rsidR="0042328B" w:rsidRPr="00136F3A">
        <w:rPr>
          <w:rFonts w:ascii="Calibri" w:hAnsi="Calibri" w:cs="Calibri"/>
          <w:sz w:val="22"/>
          <w:szCs w:val="22"/>
        </w:rPr>
        <w:t xml:space="preserve"> they </w:t>
      </w:r>
      <w:r w:rsidR="004E49AD" w:rsidRPr="00136F3A">
        <w:rPr>
          <w:rFonts w:ascii="Calibri" w:hAnsi="Calibri" w:cs="Calibri"/>
          <w:sz w:val="22"/>
          <w:szCs w:val="22"/>
        </w:rPr>
        <w:t>are</w:t>
      </w:r>
      <w:r w:rsidR="0042328B" w:rsidRPr="00136F3A">
        <w:rPr>
          <w:rFonts w:ascii="Calibri" w:hAnsi="Calibri" w:cs="Calibri"/>
          <w:sz w:val="22"/>
          <w:szCs w:val="22"/>
        </w:rPr>
        <w:t xml:space="preserve"> an essential practice within the </w:t>
      </w:r>
      <w:r w:rsidR="00F95A13" w:rsidRPr="00136F3A">
        <w:rPr>
          <w:rFonts w:ascii="Calibri" w:hAnsi="Calibri" w:cs="Calibri"/>
          <w:sz w:val="22"/>
          <w:szCs w:val="22"/>
        </w:rPr>
        <w:t xml:space="preserve">field of human rights law research under a socio-legal </w:t>
      </w:r>
      <w:proofErr w:type="gramStart"/>
      <w:r w:rsidR="00F95A13" w:rsidRPr="00136F3A">
        <w:rPr>
          <w:rFonts w:ascii="Calibri" w:hAnsi="Calibri" w:cs="Calibri"/>
          <w:sz w:val="22"/>
          <w:szCs w:val="22"/>
        </w:rPr>
        <w:t>methodology</w:t>
      </w:r>
      <w:proofErr w:type="gramEnd"/>
      <w:r w:rsidR="00F95A13" w:rsidRPr="00136F3A">
        <w:rPr>
          <w:rFonts w:ascii="Calibri" w:hAnsi="Calibri" w:cs="Calibri"/>
          <w:sz w:val="22"/>
          <w:szCs w:val="22"/>
        </w:rPr>
        <w:t>.</w:t>
      </w:r>
    </w:p>
    <w:p w14:paraId="2F05021F" w14:textId="6E2F2E9C" w:rsidR="006D0A8A" w:rsidRDefault="006D0A8A" w:rsidP="00FF525C">
      <w:pPr>
        <w:jc w:val="both"/>
        <w:rPr>
          <w:rFonts w:ascii="Calibri" w:hAnsi="Calibri" w:cs="Calibri"/>
          <w:sz w:val="22"/>
          <w:szCs w:val="22"/>
        </w:rPr>
      </w:pPr>
    </w:p>
    <w:p w14:paraId="780F79FD" w14:textId="77777777" w:rsidR="001D1395" w:rsidRPr="00136F3A" w:rsidRDefault="001D1395" w:rsidP="00FF525C">
      <w:pPr>
        <w:jc w:val="both"/>
        <w:rPr>
          <w:rFonts w:ascii="Calibri" w:hAnsi="Calibri" w:cs="Calibri"/>
          <w:sz w:val="22"/>
          <w:szCs w:val="22"/>
        </w:rPr>
      </w:pPr>
    </w:p>
    <w:p w14:paraId="1F9696E1" w14:textId="18A34A71" w:rsidR="007D32B3" w:rsidRPr="007D32B3" w:rsidRDefault="00536954" w:rsidP="00FF525C">
      <w:pPr>
        <w:pStyle w:val="ListParagraph"/>
        <w:numPr>
          <w:ilvl w:val="0"/>
          <w:numId w:val="6"/>
        </w:numPr>
        <w:spacing w:after="240"/>
        <w:jc w:val="both"/>
        <w:rPr>
          <w:rFonts w:ascii="Calibri" w:hAnsi="Calibri" w:cs="Calibri"/>
          <w:sz w:val="22"/>
          <w:szCs w:val="22"/>
        </w:rPr>
      </w:pPr>
      <w:r w:rsidRPr="007D32B3">
        <w:rPr>
          <w:rFonts w:ascii="Calibri" w:hAnsi="Calibri" w:cs="Calibri"/>
          <w:b/>
          <w:bCs/>
          <w:sz w:val="22"/>
          <w:szCs w:val="22"/>
        </w:rPr>
        <w:t>Research ethics</w:t>
      </w:r>
      <w:r w:rsidR="007D32B3">
        <w:rPr>
          <w:rFonts w:ascii="Calibri" w:hAnsi="Calibri" w:cs="Calibri"/>
          <w:b/>
          <w:bCs/>
          <w:sz w:val="22"/>
          <w:szCs w:val="22"/>
        </w:rPr>
        <w:t xml:space="preserve"> in desk-based socio-legal human rights research</w:t>
      </w:r>
    </w:p>
    <w:p w14:paraId="34F7A6E4" w14:textId="5AF25D3D" w:rsidR="00BF37FA" w:rsidRPr="00136F3A" w:rsidRDefault="00AA233B" w:rsidP="007D32B3">
      <w:pPr>
        <w:spacing w:after="240"/>
        <w:jc w:val="both"/>
        <w:rPr>
          <w:rFonts w:ascii="Calibri" w:hAnsi="Calibri" w:cs="Calibri"/>
          <w:sz w:val="22"/>
          <w:szCs w:val="22"/>
        </w:rPr>
      </w:pPr>
      <w:proofErr w:type="gramStart"/>
      <w:r w:rsidRPr="007D32B3">
        <w:rPr>
          <w:rFonts w:ascii="Calibri" w:hAnsi="Calibri" w:cs="Calibri"/>
          <w:sz w:val="22"/>
          <w:szCs w:val="22"/>
        </w:rPr>
        <w:t>At first glance, d</w:t>
      </w:r>
      <w:r w:rsidR="00765695" w:rsidRPr="007D32B3">
        <w:rPr>
          <w:rFonts w:ascii="Calibri" w:hAnsi="Calibri" w:cs="Calibri"/>
          <w:sz w:val="22"/>
          <w:szCs w:val="22"/>
        </w:rPr>
        <w:t>esk-based</w:t>
      </w:r>
      <w:proofErr w:type="gramEnd"/>
      <w:r w:rsidR="00765695" w:rsidRPr="007D32B3">
        <w:rPr>
          <w:rFonts w:ascii="Calibri" w:hAnsi="Calibri" w:cs="Calibri"/>
          <w:sz w:val="22"/>
          <w:szCs w:val="22"/>
        </w:rPr>
        <w:t xml:space="preserve"> research does not </w:t>
      </w:r>
      <w:r w:rsidRPr="007D32B3">
        <w:rPr>
          <w:rFonts w:ascii="Calibri" w:hAnsi="Calibri" w:cs="Calibri"/>
          <w:sz w:val="22"/>
          <w:szCs w:val="22"/>
        </w:rPr>
        <w:t xml:space="preserve">invite the researcher to be too critical of the ethical quandaries raised by their research. Indeed, when working with </w:t>
      </w:r>
      <w:r w:rsidR="00BB206E" w:rsidRPr="007D32B3">
        <w:rPr>
          <w:rFonts w:ascii="Calibri" w:hAnsi="Calibri" w:cs="Calibri"/>
          <w:sz w:val="22"/>
          <w:szCs w:val="22"/>
        </w:rPr>
        <w:t xml:space="preserve">primarily written sources, a level of detachment from the potentially ethically fraught context of the research is possible. </w:t>
      </w:r>
      <w:r w:rsidR="00DB2B11" w:rsidRPr="007D32B3">
        <w:rPr>
          <w:rFonts w:ascii="Calibri" w:hAnsi="Calibri" w:cs="Calibri"/>
          <w:sz w:val="22"/>
          <w:szCs w:val="22"/>
        </w:rPr>
        <w:t xml:space="preserve">In this section I argue for a greater level of attention to be paid to ethical concerns raised specifically within a desk-based approach to </w:t>
      </w:r>
      <w:r w:rsidR="00821E20" w:rsidRPr="007D32B3">
        <w:rPr>
          <w:rFonts w:ascii="Calibri" w:hAnsi="Calibri" w:cs="Calibri"/>
          <w:sz w:val="22"/>
          <w:szCs w:val="22"/>
        </w:rPr>
        <w:t xml:space="preserve">research, </w:t>
      </w:r>
      <w:proofErr w:type="gramStart"/>
      <w:r w:rsidR="00821E20" w:rsidRPr="007D32B3">
        <w:rPr>
          <w:rFonts w:ascii="Calibri" w:hAnsi="Calibri" w:cs="Calibri"/>
          <w:sz w:val="22"/>
          <w:szCs w:val="22"/>
        </w:rPr>
        <w:t>utilising</w:t>
      </w:r>
      <w:proofErr w:type="gramEnd"/>
      <w:r w:rsidR="00821E20" w:rsidRPr="007D32B3">
        <w:rPr>
          <w:rFonts w:ascii="Calibri" w:hAnsi="Calibri" w:cs="Calibri"/>
          <w:sz w:val="22"/>
          <w:szCs w:val="22"/>
        </w:rPr>
        <w:t xml:space="preserve"> the context of health-based BHR</w:t>
      </w:r>
      <w:r w:rsidR="00EB5A1F" w:rsidRPr="007D32B3">
        <w:rPr>
          <w:rFonts w:ascii="Calibri" w:hAnsi="Calibri" w:cs="Calibri"/>
          <w:sz w:val="22"/>
          <w:szCs w:val="22"/>
        </w:rPr>
        <w:t>-focused socio-legal human rights research.</w:t>
      </w:r>
    </w:p>
    <w:p w14:paraId="3551728A" w14:textId="6C1C146F" w:rsidR="006D0A8A" w:rsidRPr="00136F3A" w:rsidRDefault="00EB5A1F" w:rsidP="00FF525C">
      <w:pPr>
        <w:jc w:val="both"/>
        <w:rPr>
          <w:rFonts w:ascii="Calibri" w:hAnsi="Calibri" w:cs="Calibri"/>
          <w:sz w:val="22"/>
          <w:szCs w:val="22"/>
        </w:rPr>
      </w:pPr>
      <w:r>
        <w:rPr>
          <w:rFonts w:ascii="Calibri" w:hAnsi="Calibri" w:cs="Calibri"/>
          <w:sz w:val="22"/>
          <w:szCs w:val="22"/>
        </w:rPr>
        <w:t>T</w:t>
      </w:r>
      <w:r w:rsidR="001026BF" w:rsidRPr="00136F3A">
        <w:rPr>
          <w:rFonts w:ascii="Calibri" w:hAnsi="Calibri" w:cs="Calibri"/>
          <w:sz w:val="22"/>
          <w:szCs w:val="22"/>
        </w:rPr>
        <w:t xml:space="preserve">he </w:t>
      </w:r>
      <w:r>
        <w:rPr>
          <w:rFonts w:ascii="Calibri" w:hAnsi="Calibri" w:cs="Calibri"/>
          <w:sz w:val="22"/>
          <w:szCs w:val="22"/>
        </w:rPr>
        <w:t xml:space="preserve">nature of </w:t>
      </w:r>
      <w:r w:rsidR="00C927C0" w:rsidRPr="00136F3A">
        <w:rPr>
          <w:rFonts w:ascii="Calibri" w:hAnsi="Calibri" w:cs="Calibri"/>
          <w:sz w:val="22"/>
          <w:szCs w:val="22"/>
        </w:rPr>
        <w:t>‘desk-based’ research</w:t>
      </w:r>
      <w:r w:rsidR="007B5AE0">
        <w:rPr>
          <w:rFonts w:ascii="Calibri" w:hAnsi="Calibri" w:cs="Calibri"/>
          <w:sz w:val="22"/>
          <w:szCs w:val="22"/>
        </w:rPr>
        <w:t xml:space="preserve"> raises the </w:t>
      </w:r>
      <w:r w:rsidR="00B66C13" w:rsidRPr="00136F3A">
        <w:rPr>
          <w:rFonts w:ascii="Calibri" w:hAnsi="Calibri" w:cs="Calibri"/>
          <w:sz w:val="22"/>
          <w:szCs w:val="22"/>
        </w:rPr>
        <w:t xml:space="preserve">question </w:t>
      </w:r>
      <w:r w:rsidR="007B5AE0">
        <w:rPr>
          <w:rFonts w:ascii="Calibri" w:hAnsi="Calibri" w:cs="Calibri"/>
          <w:sz w:val="22"/>
          <w:szCs w:val="22"/>
        </w:rPr>
        <w:t>of</w:t>
      </w:r>
      <w:r w:rsidR="007B5AE0">
        <w:rPr>
          <w:rFonts w:ascii="Calibri" w:hAnsi="Calibri" w:cs="Calibri"/>
          <w:sz w:val="22"/>
          <w:szCs w:val="22"/>
        </w:rPr>
        <w:t xml:space="preserve"> </w:t>
      </w:r>
      <w:r w:rsidR="004E49AD">
        <w:rPr>
          <w:rFonts w:ascii="Calibri" w:hAnsi="Calibri" w:cs="Calibri"/>
          <w:sz w:val="22"/>
          <w:szCs w:val="22"/>
        </w:rPr>
        <w:t>whether</w:t>
      </w:r>
      <w:r w:rsidR="00B66C13" w:rsidRPr="00136F3A">
        <w:rPr>
          <w:rFonts w:ascii="Calibri" w:hAnsi="Calibri" w:cs="Calibri"/>
          <w:sz w:val="22"/>
          <w:szCs w:val="22"/>
        </w:rPr>
        <w:t xml:space="preserve"> the</w:t>
      </w:r>
      <w:r w:rsidR="007B5AE0">
        <w:rPr>
          <w:rFonts w:ascii="Calibri" w:hAnsi="Calibri" w:cs="Calibri"/>
          <w:sz w:val="22"/>
          <w:szCs w:val="22"/>
        </w:rPr>
        <w:t xml:space="preserve">re is the </w:t>
      </w:r>
      <w:r w:rsidR="00B66C13" w:rsidRPr="00136F3A">
        <w:rPr>
          <w:rFonts w:ascii="Calibri" w:hAnsi="Calibri" w:cs="Calibri"/>
          <w:sz w:val="22"/>
          <w:szCs w:val="22"/>
        </w:rPr>
        <w:t>requirement of ethical consideration</w:t>
      </w:r>
      <w:r w:rsidR="00B45797">
        <w:rPr>
          <w:rFonts w:ascii="Calibri" w:hAnsi="Calibri" w:cs="Calibri"/>
          <w:sz w:val="22"/>
          <w:szCs w:val="22"/>
        </w:rPr>
        <w:t>,</w:t>
      </w:r>
      <w:r w:rsidR="00B66C13" w:rsidRPr="00136F3A">
        <w:rPr>
          <w:rFonts w:ascii="Calibri" w:hAnsi="Calibri" w:cs="Calibri"/>
          <w:sz w:val="22"/>
          <w:szCs w:val="22"/>
        </w:rPr>
        <w:t xml:space="preserve"> where </w:t>
      </w:r>
      <w:r w:rsidR="00C927C0" w:rsidRPr="00136F3A">
        <w:rPr>
          <w:rFonts w:ascii="Calibri" w:hAnsi="Calibri" w:cs="Calibri"/>
          <w:sz w:val="22"/>
          <w:szCs w:val="22"/>
        </w:rPr>
        <w:t>the research</w:t>
      </w:r>
      <w:r w:rsidR="00B66C13" w:rsidRPr="00136F3A">
        <w:rPr>
          <w:rFonts w:ascii="Calibri" w:hAnsi="Calibri" w:cs="Calibri"/>
          <w:sz w:val="22"/>
          <w:szCs w:val="22"/>
        </w:rPr>
        <w:t xml:space="preserve"> does not deal </w:t>
      </w:r>
      <w:r w:rsidR="00B66C13" w:rsidRPr="00136F3A">
        <w:rPr>
          <w:rFonts w:ascii="Calibri" w:hAnsi="Calibri" w:cs="Calibri"/>
          <w:i/>
          <w:iCs/>
          <w:sz w:val="22"/>
          <w:szCs w:val="22"/>
        </w:rPr>
        <w:t>directly</w:t>
      </w:r>
      <w:r w:rsidR="00B66C13" w:rsidRPr="00136F3A">
        <w:rPr>
          <w:rFonts w:ascii="Calibri" w:hAnsi="Calibri" w:cs="Calibri"/>
          <w:sz w:val="22"/>
          <w:szCs w:val="22"/>
        </w:rPr>
        <w:t xml:space="preserve"> with </w:t>
      </w:r>
      <w:r w:rsidR="000935F5">
        <w:rPr>
          <w:rFonts w:ascii="Calibri" w:hAnsi="Calibri" w:cs="Calibri"/>
          <w:sz w:val="22"/>
          <w:szCs w:val="22"/>
        </w:rPr>
        <w:t xml:space="preserve">human </w:t>
      </w:r>
      <w:r w:rsidR="00B66C13" w:rsidRPr="00136F3A">
        <w:rPr>
          <w:rFonts w:ascii="Calibri" w:hAnsi="Calibri" w:cs="Calibri"/>
          <w:sz w:val="22"/>
          <w:szCs w:val="22"/>
        </w:rPr>
        <w:t>participants</w:t>
      </w:r>
      <w:r w:rsidR="009C26C9">
        <w:rPr>
          <w:rFonts w:ascii="Calibri" w:hAnsi="Calibri" w:cs="Calibri"/>
          <w:sz w:val="22"/>
          <w:szCs w:val="22"/>
        </w:rPr>
        <w:t xml:space="preserve">, as might be </w:t>
      </w:r>
      <w:r w:rsidR="002B5DCE">
        <w:rPr>
          <w:rFonts w:ascii="Calibri" w:hAnsi="Calibri" w:cs="Calibri"/>
          <w:sz w:val="22"/>
          <w:szCs w:val="22"/>
        </w:rPr>
        <w:t xml:space="preserve">the </w:t>
      </w:r>
      <w:r w:rsidR="009C26C9">
        <w:rPr>
          <w:rFonts w:ascii="Calibri" w:hAnsi="Calibri" w:cs="Calibri"/>
          <w:sz w:val="22"/>
          <w:szCs w:val="22"/>
        </w:rPr>
        <w:t>case in more empirical, field-based social scientific research</w:t>
      </w:r>
      <w:r w:rsidR="00B66C13" w:rsidRPr="00136F3A">
        <w:rPr>
          <w:rFonts w:ascii="Calibri" w:hAnsi="Calibri" w:cs="Calibri"/>
          <w:sz w:val="22"/>
          <w:szCs w:val="22"/>
        </w:rPr>
        <w:t>.</w:t>
      </w:r>
      <w:r w:rsidR="0093354B" w:rsidRPr="00136F3A">
        <w:rPr>
          <w:rFonts w:ascii="Calibri" w:hAnsi="Calibri" w:cs="Calibri"/>
          <w:sz w:val="22"/>
          <w:szCs w:val="22"/>
        </w:rPr>
        <w:t xml:space="preserve"> </w:t>
      </w:r>
      <w:r w:rsidR="00C927C0" w:rsidRPr="00136F3A">
        <w:rPr>
          <w:rFonts w:ascii="Calibri" w:hAnsi="Calibri" w:cs="Calibri"/>
          <w:sz w:val="22"/>
          <w:szCs w:val="22"/>
        </w:rPr>
        <w:t>T</w:t>
      </w:r>
      <w:r w:rsidR="0093354B" w:rsidRPr="00136F3A">
        <w:rPr>
          <w:rFonts w:ascii="Calibri" w:hAnsi="Calibri" w:cs="Calibri"/>
          <w:sz w:val="22"/>
          <w:szCs w:val="22"/>
        </w:rPr>
        <w:t xml:space="preserve">he study of research ethics, especially in </w:t>
      </w:r>
      <w:r w:rsidR="006041B6" w:rsidRPr="00136F3A">
        <w:rPr>
          <w:rFonts w:ascii="Calibri" w:hAnsi="Calibri" w:cs="Calibri"/>
          <w:sz w:val="22"/>
          <w:szCs w:val="22"/>
        </w:rPr>
        <w:t xml:space="preserve">qualitative methodologies, </w:t>
      </w:r>
      <w:r w:rsidR="00EF29F8" w:rsidRPr="00136F3A">
        <w:rPr>
          <w:rFonts w:ascii="Calibri" w:hAnsi="Calibri" w:cs="Calibri"/>
          <w:sz w:val="22"/>
          <w:szCs w:val="22"/>
        </w:rPr>
        <w:t>arguably</w:t>
      </w:r>
      <w:r w:rsidR="006041B6" w:rsidRPr="00136F3A">
        <w:rPr>
          <w:rFonts w:ascii="Calibri" w:hAnsi="Calibri" w:cs="Calibri"/>
          <w:sz w:val="22"/>
          <w:szCs w:val="22"/>
        </w:rPr>
        <w:t xml:space="preserve"> </w:t>
      </w:r>
      <w:r w:rsidR="008B16B3" w:rsidRPr="00136F3A">
        <w:rPr>
          <w:rFonts w:ascii="Calibri" w:hAnsi="Calibri" w:cs="Calibri"/>
          <w:sz w:val="22"/>
          <w:szCs w:val="22"/>
        </w:rPr>
        <w:t>centres</w:t>
      </w:r>
      <w:r w:rsidR="006041B6" w:rsidRPr="00136F3A">
        <w:rPr>
          <w:rFonts w:ascii="Calibri" w:hAnsi="Calibri" w:cs="Calibri"/>
          <w:sz w:val="22"/>
          <w:szCs w:val="22"/>
        </w:rPr>
        <w:t xml:space="preserve"> around the potential impacts upon the study </w:t>
      </w:r>
      <w:r w:rsidR="006041B6" w:rsidRPr="00136F3A">
        <w:rPr>
          <w:rFonts w:ascii="Calibri" w:hAnsi="Calibri" w:cs="Calibri"/>
          <w:i/>
          <w:iCs/>
          <w:sz w:val="22"/>
          <w:szCs w:val="22"/>
        </w:rPr>
        <w:t>participants</w:t>
      </w:r>
      <w:r w:rsidR="006041B6" w:rsidRPr="00136F3A">
        <w:rPr>
          <w:rFonts w:ascii="Calibri" w:hAnsi="Calibri" w:cs="Calibri"/>
          <w:sz w:val="22"/>
          <w:szCs w:val="22"/>
        </w:rPr>
        <w:t xml:space="preserve">. </w:t>
      </w:r>
      <w:r w:rsidR="00F96AC1" w:rsidRPr="00136F3A">
        <w:rPr>
          <w:rFonts w:ascii="Calibri" w:hAnsi="Calibri" w:cs="Calibri"/>
          <w:sz w:val="22"/>
          <w:szCs w:val="22"/>
        </w:rPr>
        <w:t xml:space="preserve">To this end, </w:t>
      </w:r>
      <w:r w:rsidR="00C87320" w:rsidRPr="00136F3A">
        <w:rPr>
          <w:rFonts w:ascii="Calibri" w:hAnsi="Calibri" w:cs="Calibri"/>
          <w:sz w:val="22"/>
          <w:szCs w:val="22"/>
        </w:rPr>
        <w:t xml:space="preserve">Guillemin and Gillam distinguish between two categories of ethical considerations for research; </w:t>
      </w:r>
      <w:r w:rsidR="00F220E6">
        <w:rPr>
          <w:rFonts w:ascii="Calibri" w:hAnsi="Calibri" w:cs="Calibri"/>
          <w:sz w:val="22"/>
          <w:szCs w:val="22"/>
        </w:rPr>
        <w:t>‘</w:t>
      </w:r>
      <w:r w:rsidR="00725DE4" w:rsidRPr="00136F3A">
        <w:rPr>
          <w:rFonts w:ascii="Calibri" w:hAnsi="Calibri" w:cs="Calibri"/>
          <w:sz w:val="22"/>
          <w:szCs w:val="22"/>
        </w:rPr>
        <w:t>procedural ethics</w:t>
      </w:r>
      <w:r w:rsidR="00F220E6">
        <w:rPr>
          <w:rFonts w:ascii="Calibri" w:hAnsi="Calibri" w:cs="Calibri"/>
          <w:sz w:val="22"/>
          <w:szCs w:val="22"/>
        </w:rPr>
        <w:t>’</w:t>
      </w:r>
      <w:r w:rsidR="00725DE4" w:rsidRPr="00136F3A">
        <w:rPr>
          <w:rFonts w:ascii="Calibri" w:hAnsi="Calibri" w:cs="Calibri"/>
          <w:sz w:val="22"/>
          <w:szCs w:val="22"/>
        </w:rPr>
        <w:t xml:space="preserve"> involving gaining ethical approval from the relevant academic body </w:t>
      </w:r>
      <w:r w:rsidR="007F42F3" w:rsidRPr="00136F3A">
        <w:rPr>
          <w:rFonts w:ascii="Calibri" w:hAnsi="Calibri" w:cs="Calibri"/>
          <w:sz w:val="22"/>
          <w:szCs w:val="22"/>
        </w:rPr>
        <w:fldChar w:fldCharType="begin" w:fldLock="1"/>
      </w:r>
      <w:r w:rsidR="00710468" w:rsidRPr="00136F3A">
        <w:rPr>
          <w:rFonts w:ascii="Calibri" w:hAnsi="Calibri" w:cs="Calibri"/>
          <w:sz w:val="22"/>
          <w:szCs w:val="22"/>
        </w:rPr>
        <w:instrText>ADDIN CSL_CITATION {"citationItems":[{"id":"ITEM-1","itemData":{"ISBN":"1077800403262","ISSN":"10778004","abstract":"Ethical tensions are part of the everyday practice of doing research - all kinds of research. How do researchers deal with ethical problems that arise in the practice of their research, and are there conceptual frameworks that they can draw on to assist them? This article examines the relationship between reflexivity and research ethics. It focuses on what constitutes ethical research practice in qualitative research and how researchers achieve ethical research practice. As a framework for thinking through these issues, the authors distinguish two different dimensions of ethics in research, which they term procedural ethics and \"ethics in practice.\" The relationship between them and the impact that each has on the actual doing of research are examined. The article then draws on the notion of reflexivity as a helpful way of understanding both the nature of ethics in qualitative research and how ethical practice in research can be achieved. © 2004 Sage Publications.","author":[{"dropping-particle":"","family":"Guillemin","given":"Marilys","non-dropping-particle":"","parse-names":false,"suffix":""},{"dropping-particle":"","family":"Gillam","given":"Lynn","non-dropping-particle":"","parse-names":false,"suffix":""}],"container-title":"Qualitative Inquiry","id":"ITEM-1","issue":"2","issued":{"date-parts":[["2004"]]},"page":"261-280","title":"Ethics, reflexivity, and \"Ethically important moments\" in research","type":"article-journal","volume":"10"},"locator":"263","uris":["http://www.mendeley.com/documents/?uuid=4dda9131-fe2a-4538-ba1d-c7908e35fa91"]}],"mendeley":{"formattedCitation":"(Guillemin and Gillam, 2004, p. 263)","plainTextFormattedCitation":"(Guillemin and Gillam, 2004, p. 263)","previouslyFormattedCitation":"(Guillemin and Gillam, 2004, p. 263)"},"properties":{"noteIndex":0},"schema":"https://github.com/citation-style-language/schema/raw/master/csl-citation.json"}</w:instrText>
      </w:r>
      <w:r w:rsidR="007F42F3" w:rsidRPr="00136F3A">
        <w:rPr>
          <w:rFonts w:ascii="Calibri" w:hAnsi="Calibri" w:cs="Calibri"/>
          <w:sz w:val="22"/>
          <w:szCs w:val="22"/>
        </w:rPr>
        <w:fldChar w:fldCharType="separate"/>
      </w:r>
      <w:r w:rsidR="007F42F3" w:rsidRPr="00136F3A">
        <w:rPr>
          <w:rFonts w:ascii="Calibri" w:hAnsi="Calibri" w:cs="Calibri"/>
          <w:noProof/>
          <w:sz w:val="22"/>
          <w:szCs w:val="22"/>
        </w:rPr>
        <w:t>(Guillemin and Gillam, 2004, p. 263)</w:t>
      </w:r>
      <w:r w:rsidR="007F42F3" w:rsidRPr="00136F3A">
        <w:rPr>
          <w:rFonts w:ascii="Calibri" w:hAnsi="Calibri" w:cs="Calibri"/>
          <w:sz w:val="22"/>
          <w:szCs w:val="22"/>
        </w:rPr>
        <w:fldChar w:fldCharType="end"/>
      </w:r>
      <w:r w:rsidR="007F42F3" w:rsidRPr="00136F3A">
        <w:rPr>
          <w:rFonts w:ascii="Calibri" w:hAnsi="Calibri" w:cs="Calibri"/>
          <w:sz w:val="22"/>
          <w:szCs w:val="22"/>
        </w:rPr>
        <w:t xml:space="preserve"> </w:t>
      </w:r>
      <w:r w:rsidR="00725DE4" w:rsidRPr="00136F3A">
        <w:rPr>
          <w:rFonts w:ascii="Calibri" w:hAnsi="Calibri" w:cs="Calibri"/>
          <w:sz w:val="22"/>
          <w:szCs w:val="22"/>
        </w:rPr>
        <w:t xml:space="preserve">and </w:t>
      </w:r>
      <w:r w:rsidR="00F220E6">
        <w:rPr>
          <w:rFonts w:ascii="Calibri" w:hAnsi="Calibri" w:cs="Calibri"/>
          <w:sz w:val="22"/>
          <w:szCs w:val="22"/>
        </w:rPr>
        <w:t>‘</w:t>
      </w:r>
      <w:r w:rsidR="008F3093" w:rsidRPr="00136F3A">
        <w:rPr>
          <w:rFonts w:ascii="Calibri" w:hAnsi="Calibri" w:cs="Calibri"/>
          <w:sz w:val="22"/>
          <w:szCs w:val="22"/>
        </w:rPr>
        <w:t>ethics in practice</w:t>
      </w:r>
      <w:r w:rsidR="00F220E6">
        <w:rPr>
          <w:rFonts w:ascii="Calibri" w:hAnsi="Calibri" w:cs="Calibri"/>
          <w:sz w:val="22"/>
          <w:szCs w:val="22"/>
        </w:rPr>
        <w:t>’</w:t>
      </w:r>
      <w:r w:rsidR="008F3093" w:rsidRPr="00136F3A">
        <w:rPr>
          <w:rFonts w:ascii="Calibri" w:hAnsi="Calibri" w:cs="Calibri"/>
          <w:sz w:val="22"/>
          <w:szCs w:val="22"/>
        </w:rPr>
        <w:t xml:space="preserve"> which considers the </w:t>
      </w:r>
      <w:r w:rsidR="00BF6145" w:rsidRPr="00136F3A">
        <w:rPr>
          <w:rFonts w:ascii="Calibri" w:hAnsi="Calibri" w:cs="Calibri"/>
          <w:sz w:val="22"/>
          <w:szCs w:val="22"/>
        </w:rPr>
        <w:t>ethical issues which arise from the research process itself through the interactions with participants</w:t>
      </w:r>
      <w:r w:rsidR="00552A47" w:rsidRPr="00136F3A">
        <w:rPr>
          <w:rFonts w:ascii="Calibri" w:hAnsi="Calibri" w:cs="Calibri"/>
          <w:sz w:val="22"/>
          <w:szCs w:val="22"/>
        </w:rPr>
        <w:t xml:space="preserve"> </w:t>
      </w:r>
      <w:r w:rsidR="00552A47" w:rsidRPr="00136F3A">
        <w:rPr>
          <w:rFonts w:ascii="Calibri" w:hAnsi="Calibri" w:cs="Calibri"/>
          <w:sz w:val="22"/>
          <w:szCs w:val="22"/>
        </w:rPr>
        <w:fldChar w:fldCharType="begin" w:fldLock="1"/>
      </w:r>
      <w:r w:rsidR="00710468" w:rsidRPr="00136F3A">
        <w:rPr>
          <w:rFonts w:ascii="Calibri" w:hAnsi="Calibri" w:cs="Calibri"/>
          <w:sz w:val="22"/>
          <w:szCs w:val="22"/>
        </w:rPr>
        <w:instrText>ADDIN CSL_CITATION {"citationItems":[{"id":"ITEM-1","itemData":{"ISBN":"1077800403262","ISSN":"10778004","abstract":"Ethical tensions are part of the everyday practice of doing research - all kinds of research. How do researchers deal with ethical problems that arise in the practice of their research, and are there conceptual frameworks that they can draw on to assist them? This article examines the relationship between reflexivity and research ethics. It focuses on what constitutes ethical research practice in qualitative research and how researchers achieve ethical research practice. As a framework for thinking through these issues, the authors distinguish two different dimensions of ethics in research, which they term procedural ethics and \"ethics in practice.\" The relationship between them and the impact that each has on the actual doing of research are examined. The article then draws on the notion of reflexivity as a helpful way of understanding both the nature of ethics in qualitative research and how ethical practice in research can be achieved. © 2004 Sage Publications.","author":[{"dropping-particle":"","family":"Guillemin","given":"Marilys","non-dropping-particle":"","parse-names":false,"suffix":""},{"dropping-particle":"","family":"Gillam","given":"Lynn","non-dropping-particle":"","parse-names":false,"suffix":""}],"container-title":"Qualitative Inquiry","id":"ITEM-1","issue":"2","issued":{"date-parts":[["2004"]]},"page":"261-280","title":"Ethics, reflexivity, and \"Ethically important moments\" in research","type":"article-journal","volume":"10"},"locator":"264","uris":["http://www.mendeley.com/documents/?uuid=4dda9131-fe2a-4538-ba1d-c7908e35fa91"]}],"mendeley":{"formattedCitation":"(Guillemin and Gillam, 2004, p. 264)","plainTextFormattedCitation":"(Guillemin and Gillam, 2004, p. 264)","previouslyFormattedCitation":"(Guillemin and Gillam, 2004, p. 264)"},"properties":{"noteIndex":0},"schema":"https://github.com/citation-style-language/schema/raw/master/csl-citation.json"}</w:instrText>
      </w:r>
      <w:r w:rsidR="00552A47" w:rsidRPr="00136F3A">
        <w:rPr>
          <w:rFonts w:ascii="Calibri" w:hAnsi="Calibri" w:cs="Calibri"/>
          <w:sz w:val="22"/>
          <w:szCs w:val="22"/>
        </w:rPr>
        <w:fldChar w:fldCharType="separate"/>
      </w:r>
      <w:r w:rsidR="00552A47" w:rsidRPr="00136F3A">
        <w:rPr>
          <w:rFonts w:ascii="Calibri" w:hAnsi="Calibri" w:cs="Calibri"/>
          <w:noProof/>
          <w:sz w:val="22"/>
          <w:szCs w:val="22"/>
        </w:rPr>
        <w:t>(Guillemin and Gillam, 2004, p. 264)</w:t>
      </w:r>
      <w:r w:rsidR="00552A47" w:rsidRPr="00136F3A">
        <w:rPr>
          <w:rFonts w:ascii="Calibri" w:hAnsi="Calibri" w:cs="Calibri"/>
          <w:sz w:val="22"/>
          <w:szCs w:val="22"/>
        </w:rPr>
        <w:fldChar w:fldCharType="end"/>
      </w:r>
      <w:r w:rsidR="00BF6145" w:rsidRPr="00136F3A">
        <w:rPr>
          <w:rFonts w:ascii="Calibri" w:hAnsi="Calibri" w:cs="Calibri"/>
          <w:sz w:val="22"/>
          <w:szCs w:val="22"/>
        </w:rPr>
        <w:t>.</w:t>
      </w:r>
      <w:r w:rsidR="005426F1" w:rsidRPr="00136F3A">
        <w:rPr>
          <w:rFonts w:ascii="Calibri" w:hAnsi="Calibri" w:cs="Calibri"/>
          <w:sz w:val="22"/>
          <w:szCs w:val="22"/>
        </w:rPr>
        <w:t xml:space="preserve"> Given this distinction, it might </w:t>
      </w:r>
      <w:proofErr w:type="gramStart"/>
      <w:r w:rsidR="005426F1" w:rsidRPr="00136F3A">
        <w:rPr>
          <w:rFonts w:ascii="Calibri" w:hAnsi="Calibri" w:cs="Calibri"/>
          <w:sz w:val="22"/>
          <w:szCs w:val="22"/>
        </w:rPr>
        <w:t>be presumed</w:t>
      </w:r>
      <w:proofErr w:type="gramEnd"/>
      <w:r w:rsidR="005426F1" w:rsidRPr="00136F3A">
        <w:rPr>
          <w:rFonts w:ascii="Calibri" w:hAnsi="Calibri" w:cs="Calibri"/>
          <w:sz w:val="22"/>
          <w:szCs w:val="22"/>
        </w:rPr>
        <w:t xml:space="preserve"> that the ethical considerations of </w:t>
      </w:r>
      <w:r w:rsidR="00627A15">
        <w:rPr>
          <w:rFonts w:ascii="Calibri" w:hAnsi="Calibri" w:cs="Calibri"/>
          <w:sz w:val="22"/>
          <w:szCs w:val="22"/>
        </w:rPr>
        <w:t xml:space="preserve">a </w:t>
      </w:r>
      <w:r w:rsidR="00B152B7" w:rsidRPr="00136F3A">
        <w:rPr>
          <w:rFonts w:ascii="Calibri" w:hAnsi="Calibri" w:cs="Calibri"/>
          <w:sz w:val="22"/>
          <w:szCs w:val="22"/>
        </w:rPr>
        <w:t>‘</w:t>
      </w:r>
      <w:r w:rsidR="005426F1" w:rsidRPr="00136F3A">
        <w:rPr>
          <w:rFonts w:ascii="Calibri" w:hAnsi="Calibri" w:cs="Calibri"/>
          <w:sz w:val="22"/>
          <w:szCs w:val="22"/>
        </w:rPr>
        <w:t>desk-based</w:t>
      </w:r>
      <w:r w:rsidR="00B152B7" w:rsidRPr="00136F3A">
        <w:rPr>
          <w:rFonts w:ascii="Calibri" w:hAnsi="Calibri" w:cs="Calibri"/>
          <w:sz w:val="22"/>
          <w:szCs w:val="22"/>
        </w:rPr>
        <w:t>’</w:t>
      </w:r>
      <w:r w:rsidR="005426F1" w:rsidRPr="00136F3A">
        <w:rPr>
          <w:rFonts w:ascii="Calibri" w:hAnsi="Calibri" w:cs="Calibri"/>
          <w:sz w:val="22"/>
          <w:szCs w:val="22"/>
        </w:rPr>
        <w:t xml:space="preserve"> </w:t>
      </w:r>
      <w:r w:rsidR="004F1A37">
        <w:rPr>
          <w:rFonts w:ascii="Calibri" w:hAnsi="Calibri" w:cs="Calibri"/>
          <w:sz w:val="22"/>
          <w:szCs w:val="22"/>
        </w:rPr>
        <w:t>human rights project</w:t>
      </w:r>
      <w:r w:rsidR="00B152B7" w:rsidRPr="00136F3A">
        <w:rPr>
          <w:rFonts w:ascii="Calibri" w:hAnsi="Calibri" w:cs="Calibri"/>
          <w:sz w:val="22"/>
          <w:szCs w:val="22"/>
        </w:rPr>
        <w:t>,</w:t>
      </w:r>
      <w:r w:rsidR="005426F1" w:rsidRPr="00136F3A">
        <w:rPr>
          <w:rFonts w:ascii="Calibri" w:hAnsi="Calibri" w:cs="Calibri"/>
          <w:sz w:val="22"/>
          <w:szCs w:val="22"/>
        </w:rPr>
        <w:t xml:space="preserve"> would require no more than the </w:t>
      </w:r>
      <w:r w:rsidR="000E06F8" w:rsidRPr="00136F3A">
        <w:rPr>
          <w:rFonts w:ascii="Calibri" w:hAnsi="Calibri" w:cs="Calibri"/>
          <w:sz w:val="22"/>
          <w:szCs w:val="22"/>
        </w:rPr>
        <w:t>basic level of ethical consideration</w:t>
      </w:r>
      <w:r w:rsidR="00491410" w:rsidRPr="00136F3A">
        <w:rPr>
          <w:rFonts w:ascii="Calibri" w:hAnsi="Calibri" w:cs="Calibri"/>
          <w:sz w:val="22"/>
          <w:szCs w:val="22"/>
        </w:rPr>
        <w:t>.</w:t>
      </w:r>
      <w:r w:rsidR="00BF6145" w:rsidRPr="00136F3A">
        <w:rPr>
          <w:rFonts w:ascii="Calibri" w:hAnsi="Calibri" w:cs="Calibri"/>
          <w:sz w:val="22"/>
          <w:szCs w:val="22"/>
        </w:rPr>
        <w:t xml:space="preserve"> </w:t>
      </w:r>
      <w:r w:rsidR="006041B6" w:rsidRPr="00136F3A">
        <w:rPr>
          <w:rFonts w:ascii="Calibri" w:hAnsi="Calibri" w:cs="Calibri"/>
          <w:sz w:val="22"/>
          <w:szCs w:val="22"/>
        </w:rPr>
        <w:t>However,</w:t>
      </w:r>
      <w:r w:rsidR="00491410" w:rsidRPr="00136F3A">
        <w:rPr>
          <w:rFonts w:ascii="Calibri" w:hAnsi="Calibri" w:cs="Calibri"/>
          <w:sz w:val="22"/>
          <w:szCs w:val="22"/>
        </w:rPr>
        <w:t xml:space="preserve"> this would be a </w:t>
      </w:r>
      <w:r w:rsidR="00DB73E9" w:rsidRPr="00136F3A">
        <w:rPr>
          <w:rFonts w:ascii="Calibri" w:hAnsi="Calibri" w:cs="Calibri"/>
          <w:sz w:val="22"/>
          <w:szCs w:val="22"/>
        </w:rPr>
        <w:t>reductive</w:t>
      </w:r>
      <w:r w:rsidR="00491410" w:rsidRPr="00136F3A">
        <w:rPr>
          <w:rFonts w:ascii="Calibri" w:hAnsi="Calibri" w:cs="Calibri"/>
          <w:sz w:val="22"/>
          <w:szCs w:val="22"/>
        </w:rPr>
        <w:t xml:space="preserve"> position to adopt which </w:t>
      </w:r>
      <w:r w:rsidR="00B45797" w:rsidRPr="00136F3A">
        <w:rPr>
          <w:rFonts w:ascii="Calibri" w:hAnsi="Calibri" w:cs="Calibri"/>
          <w:sz w:val="22"/>
          <w:szCs w:val="22"/>
        </w:rPr>
        <w:t>does not</w:t>
      </w:r>
      <w:r w:rsidR="00A72DD7" w:rsidRPr="00136F3A">
        <w:rPr>
          <w:rFonts w:ascii="Calibri" w:hAnsi="Calibri" w:cs="Calibri"/>
          <w:sz w:val="22"/>
          <w:szCs w:val="22"/>
        </w:rPr>
        <w:t xml:space="preserve"> </w:t>
      </w:r>
      <w:r w:rsidR="00B45797" w:rsidRPr="00136F3A">
        <w:rPr>
          <w:rFonts w:ascii="Calibri" w:hAnsi="Calibri" w:cs="Calibri"/>
          <w:sz w:val="22"/>
          <w:szCs w:val="22"/>
        </w:rPr>
        <w:t>consider</w:t>
      </w:r>
      <w:r w:rsidR="00A72DD7" w:rsidRPr="00136F3A">
        <w:rPr>
          <w:rFonts w:ascii="Calibri" w:hAnsi="Calibri" w:cs="Calibri"/>
          <w:sz w:val="22"/>
          <w:szCs w:val="22"/>
        </w:rPr>
        <w:t xml:space="preserve"> only the broader remit of research ethics but further the basic requirements of </w:t>
      </w:r>
      <w:r w:rsidR="00340087" w:rsidRPr="00136F3A">
        <w:rPr>
          <w:rFonts w:ascii="Calibri" w:hAnsi="Calibri" w:cs="Calibri"/>
          <w:sz w:val="22"/>
          <w:szCs w:val="22"/>
        </w:rPr>
        <w:t>human rights research through the socio-legal method.</w:t>
      </w:r>
      <w:r w:rsidR="006041B6" w:rsidRPr="00136F3A">
        <w:rPr>
          <w:rFonts w:ascii="Calibri" w:hAnsi="Calibri" w:cs="Calibri"/>
          <w:sz w:val="22"/>
          <w:szCs w:val="22"/>
        </w:rPr>
        <w:t xml:space="preserve"> </w:t>
      </w:r>
      <w:r w:rsidR="000E06F8" w:rsidRPr="00136F3A">
        <w:rPr>
          <w:rFonts w:ascii="Calibri" w:hAnsi="Calibri" w:cs="Calibri"/>
          <w:sz w:val="22"/>
          <w:szCs w:val="22"/>
        </w:rPr>
        <w:t xml:space="preserve">As Ulrich notes, the fact that human rights research seeks to do good does not exempt it from either the analysis of potential harm or the potential to cause harm </w:t>
      </w:r>
      <w:r w:rsidR="000E06F8"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{"citationItems":[{"id":"ITEM-1","itemData":{"author":[{"dropping-particle":"","family":"Ulrich","given":"George","non-dropping-particle":"","parse-names":false,"suffix":""}],"chapter-number":"9","container-title":"Research Methods in Human Rights: A Handbook","editor":[{"dropping-particle":"","family":"Andreassen","given":"Bård A.","non-dropping-particle":"","parse-names":false,"suffix":""},{"dropping-particle":"","family":"Sano","given":"Hans Otto","non-dropping-particle":"","parse-names":false,"suffix":""},{"dropping-particle":"","family":"McInerney-Lankford","given":"Siobhán","non-dropping-particle":"","parse-names":false,"suffix":""}],"id":"ITEM-1","issued":{"date-parts":[["2017"]]},"page":"192-221","publisher":"Edward Elgar Publishing","title":"Research ethics for human rights researchers","type":"chapter"},"locator":"192","uris":["http://www.mendeley.com/documents/?uuid=18bacce6-85a7-4bbf-9c57-58d52cf5cddd"]}],"mendeley":{"formattedCitation":"(Ulrich, 2017, p. 192)","plainTextFormattedCitation":"(Ulrich, 2017, p. 192)","previouslyFormattedCitation":"(Ulrich, 2017, p. 192)"},"properties":{"noteIndex":0},"schema":"https://github.com/citation-style-language/schema/raw/master/csl-citation.json"}</w:instrText>
      </w:r>
      <w:r w:rsidR="000E06F8" w:rsidRPr="00136F3A">
        <w:rPr>
          <w:rFonts w:ascii="Calibri" w:hAnsi="Calibri" w:cs="Calibri"/>
          <w:sz w:val="22"/>
          <w:szCs w:val="22"/>
        </w:rPr>
        <w:fldChar w:fldCharType="separate"/>
      </w:r>
      <w:r w:rsidR="000E06F8" w:rsidRPr="00136F3A">
        <w:rPr>
          <w:rFonts w:ascii="Calibri" w:hAnsi="Calibri" w:cs="Calibri"/>
          <w:noProof/>
          <w:sz w:val="22"/>
          <w:szCs w:val="22"/>
        </w:rPr>
        <w:t>(Ulrich, 2017, p. 192)</w:t>
      </w:r>
      <w:r w:rsidR="000E06F8" w:rsidRPr="00136F3A">
        <w:rPr>
          <w:rFonts w:ascii="Calibri" w:hAnsi="Calibri" w:cs="Calibri"/>
          <w:sz w:val="22"/>
          <w:szCs w:val="22"/>
        </w:rPr>
        <w:fldChar w:fldCharType="end"/>
      </w:r>
      <w:r w:rsidR="000E06F8" w:rsidRPr="00136F3A">
        <w:rPr>
          <w:rFonts w:ascii="Calibri" w:hAnsi="Calibri" w:cs="Calibri"/>
          <w:sz w:val="22"/>
          <w:szCs w:val="22"/>
        </w:rPr>
        <w:t>.</w:t>
      </w:r>
      <w:r w:rsidR="001E0517" w:rsidRPr="00136F3A">
        <w:rPr>
          <w:rFonts w:ascii="Calibri" w:hAnsi="Calibri" w:cs="Calibri"/>
          <w:sz w:val="22"/>
          <w:szCs w:val="22"/>
        </w:rPr>
        <w:t xml:space="preserve"> </w:t>
      </w:r>
      <w:r w:rsidR="00EF29F8" w:rsidRPr="00136F3A">
        <w:rPr>
          <w:rFonts w:ascii="Calibri" w:hAnsi="Calibri" w:cs="Calibri"/>
          <w:sz w:val="22"/>
          <w:szCs w:val="22"/>
        </w:rPr>
        <w:t>H</w:t>
      </w:r>
      <w:r w:rsidR="001E0517" w:rsidRPr="00136F3A">
        <w:rPr>
          <w:rFonts w:ascii="Calibri" w:hAnsi="Calibri" w:cs="Calibri"/>
          <w:sz w:val="22"/>
          <w:szCs w:val="22"/>
        </w:rPr>
        <w:t>uman rights research deals with</w:t>
      </w:r>
      <w:r w:rsidR="003A3138" w:rsidRPr="00136F3A">
        <w:rPr>
          <w:rFonts w:ascii="Calibri" w:hAnsi="Calibri" w:cs="Calibri"/>
          <w:sz w:val="22"/>
          <w:szCs w:val="22"/>
        </w:rPr>
        <w:t xml:space="preserve"> </w:t>
      </w:r>
      <w:r w:rsidR="00F220E6">
        <w:rPr>
          <w:rFonts w:ascii="Calibri" w:hAnsi="Calibri" w:cs="Calibri"/>
          <w:sz w:val="22"/>
          <w:szCs w:val="22"/>
        </w:rPr>
        <w:t>‘</w:t>
      </w:r>
      <w:r w:rsidR="003A3138" w:rsidRPr="00136F3A">
        <w:rPr>
          <w:rFonts w:ascii="Calibri" w:hAnsi="Calibri" w:cs="Calibri"/>
          <w:sz w:val="22"/>
          <w:szCs w:val="22"/>
        </w:rPr>
        <w:t xml:space="preserve">deeply contentious and </w:t>
      </w:r>
      <w:r w:rsidR="005748E7">
        <w:rPr>
          <w:rFonts w:ascii="Calibri" w:hAnsi="Calibri" w:cs="Calibri"/>
          <w:sz w:val="22"/>
          <w:szCs w:val="22"/>
        </w:rPr>
        <w:t>politically</w:t>
      </w:r>
      <w:r w:rsidR="003A3138" w:rsidRPr="00136F3A">
        <w:rPr>
          <w:rFonts w:ascii="Calibri" w:hAnsi="Calibri" w:cs="Calibri"/>
          <w:sz w:val="22"/>
          <w:szCs w:val="22"/>
        </w:rPr>
        <w:t xml:space="preserve"> divisive</w:t>
      </w:r>
      <w:r w:rsidR="00F220E6">
        <w:rPr>
          <w:rFonts w:ascii="Calibri" w:hAnsi="Calibri" w:cs="Calibri"/>
          <w:sz w:val="22"/>
          <w:szCs w:val="22"/>
        </w:rPr>
        <w:t>’</w:t>
      </w:r>
      <w:r w:rsidR="003A3138" w:rsidRPr="00136F3A">
        <w:rPr>
          <w:rFonts w:ascii="Calibri" w:hAnsi="Calibri" w:cs="Calibri"/>
          <w:sz w:val="22"/>
          <w:szCs w:val="22"/>
        </w:rPr>
        <w:t xml:space="preserve"> issues</w:t>
      </w:r>
      <w:r w:rsidR="00573C64" w:rsidRPr="00136F3A">
        <w:rPr>
          <w:rFonts w:ascii="Calibri" w:hAnsi="Calibri" w:cs="Calibri"/>
          <w:sz w:val="22"/>
          <w:szCs w:val="22"/>
        </w:rPr>
        <w:t xml:space="preserve"> </w:t>
      </w:r>
      <w:r w:rsidR="00573C64"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{"citationItems":[{"id":"ITEM-1","itemData":{"author":[{"dropping-particle":"","family":"Ulrich","given":"George","non-dropping-particle":"","parse-names":false,"suffix":""}],"chapter-number":"9","container-title":"Research Methods in Human Rights: A Handbook","editor":[{"dropping-particle":"","family":"Andreassen","given":"Bård A.","non-dropping-particle":"","parse-names":false,"suffix":""},{"dropping-particle":"","family":"Sano","given":"Hans Otto","non-dropping-particle":"","parse-names":false,"suffix":""},{"dropping-particle":"","family":"McInerney-Lankford","given":"Siobhán","non-dropping-particle":"","parse-names":false,"suffix":""}],"id":"ITEM-1","issued":{"date-parts":[["2017"]]},"page":"192-221","publisher":"Edward Elgar Publishing","title":"Research ethics for human rights researchers","type":"chapter"},"locator":"192","uris":["http://www.mendeley.com/documents/?uuid=18bacce6-85a7-4bbf-9c57-58d52cf5cddd"]}],"mendeley":{"formattedCitation":"(Ulrich, 2017, p. 192)","plainTextFormattedCitation":"(Ulrich, 2017, p. 192)","previouslyFormattedCitation":"(Ulrich, 2017, p. 192)"},"properties":{"noteIndex":0},"schema":"https://github.com/citation-style-language/schema/raw/master/csl-citation.json"}</w:instrText>
      </w:r>
      <w:r w:rsidR="00573C64" w:rsidRPr="00136F3A">
        <w:rPr>
          <w:rFonts w:ascii="Calibri" w:hAnsi="Calibri" w:cs="Calibri"/>
          <w:sz w:val="22"/>
          <w:szCs w:val="22"/>
        </w:rPr>
        <w:fldChar w:fldCharType="separate"/>
      </w:r>
      <w:r w:rsidR="00573C64" w:rsidRPr="00136F3A">
        <w:rPr>
          <w:rFonts w:ascii="Calibri" w:hAnsi="Calibri" w:cs="Calibri"/>
          <w:noProof/>
          <w:sz w:val="22"/>
          <w:szCs w:val="22"/>
        </w:rPr>
        <w:t>(Ulrich, 2017, p. 192)</w:t>
      </w:r>
      <w:r w:rsidR="00573C64" w:rsidRPr="00136F3A">
        <w:rPr>
          <w:rFonts w:ascii="Calibri" w:hAnsi="Calibri" w:cs="Calibri"/>
          <w:sz w:val="22"/>
          <w:szCs w:val="22"/>
        </w:rPr>
        <w:fldChar w:fldCharType="end"/>
      </w:r>
      <w:r w:rsidR="00E730BD" w:rsidRPr="00136F3A">
        <w:rPr>
          <w:rFonts w:ascii="Calibri" w:hAnsi="Calibri" w:cs="Calibri"/>
          <w:sz w:val="22"/>
          <w:szCs w:val="22"/>
        </w:rPr>
        <w:t>.</w:t>
      </w:r>
      <w:r w:rsidR="003A3138" w:rsidRPr="00136F3A">
        <w:rPr>
          <w:rFonts w:ascii="Calibri" w:hAnsi="Calibri" w:cs="Calibri"/>
          <w:sz w:val="22"/>
          <w:szCs w:val="22"/>
        </w:rPr>
        <w:t xml:space="preserve"> </w:t>
      </w:r>
      <w:r w:rsidR="008850A4">
        <w:rPr>
          <w:rFonts w:ascii="Calibri" w:hAnsi="Calibri" w:cs="Calibri"/>
          <w:sz w:val="22"/>
          <w:szCs w:val="22"/>
        </w:rPr>
        <w:t>T</w:t>
      </w:r>
      <w:r w:rsidR="00F51AEB" w:rsidRPr="00136F3A">
        <w:rPr>
          <w:rFonts w:ascii="Calibri" w:hAnsi="Calibri" w:cs="Calibri"/>
          <w:sz w:val="22"/>
          <w:szCs w:val="22"/>
        </w:rPr>
        <w:t xml:space="preserve">he impact </w:t>
      </w:r>
      <w:r w:rsidR="00504EFA" w:rsidRPr="00136F3A">
        <w:rPr>
          <w:rFonts w:ascii="Calibri" w:hAnsi="Calibri" w:cs="Calibri"/>
          <w:sz w:val="22"/>
          <w:szCs w:val="22"/>
        </w:rPr>
        <w:t>research might have upon innately personal and contentious situations</w:t>
      </w:r>
      <w:r w:rsidR="008850A4">
        <w:rPr>
          <w:rFonts w:ascii="Calibri" w:hAnsi="Calibri" w:cs="Calibri"/>
          <w:sz w:val="22"/>
          <w:szCs w:val="22"/>
        </w:rPr>
        <w:t xml:space="preserve"> must be kept in mind</w:t>
      </w:r>
      <w:r w:rsidR="00504EFA" w:rsidRPr="00136F3A">
        <w:rPr>
          <w:rFonts w:ascii="Calibri" w:hAnsi="Calibri" w:cs="Calibri"/>
          <w:sz w:val="22"/>
          <w:szCs w:val="22"/>
        </w:rPr>
        <w:t>. Indeed, h</w:t>
      </w:r>
      <w:r w:rsidR="003A3138" w:rsidRPr="00136F3A">
        <w:rPr>
          <w:rFonts w:ascii="Calibri" w:hAnsi="Calibri" w:cs="Calibri"/>
          <w:sz w:val="22"/>
          <w:szCs w:val="22"/>
        </w:rPr>
        <w:t xml:space="preserve">uman rights discourse </w:t>
      </w:r>
      <w:r w:rsidR="00E730BD" w:rsidRPr="00136F3A">
        <w:rPr>
          <w:rFonts w:ascii="Calibri" w:hAnsi="Calibri" w:cs="Calibri"/>
          <w:sz w:val="22"/>
          <w:szCs w:val="22"/>
        </w:rPr>
        <w:t xml:space="preserve">itself </w:t>
      </w:r>
      <w:r w:rsidR="00573C64" w:rsidRPr="00136F3A">
        <w:rPr>
          <w:rFonts w:ascii="Calibri" w:hAnsi="Calibri" w:cs="Calibri"/>
          <w:sz w:val="22"/>
          <w:szCs w:val="22"/>
        </w:rPr>
        <w:t>provide</w:t>
      </w:r>
      <w:r w:rsidR="00E730BD" w:rsidRPr="00136F3A">
        <w:rPr>
          <w:rFonts w:ascii="Calibri" w:hAnsi="Calibri" w:cs="Calibri"/>
          <w:sz w:val="22"/>
          <w:szCs w:val="22"/>
        </w:rPr>
        <w:t>s a clear</w:t>
      </w:r>
      <w:r w:rsidR="00573C64" w:rsidRPr="00136F3A">
        <w:rPr>
          <w:rFonts w:ascii="Calibri" w:hAnsi="Calibri" w:cs="Calibri"/>
          <w:sz w:val="22"/>
          <w:szCs w:val="22"/>
        </w:rPr>
        <w:t xml:space="preserve"> impetus for rigorous ethical consideration.</w:t>
      </w:r>
      <w:r w:rsidR="008850A4">
        <w:rPr>
          <w:rFonts w:ascii="Calibri" w:hAnsi="Calibri" w:cs="Calibri"/>
          <w:sz w:val="22"/>
          <w:szCs w:val="22"/>
        </w:rPr>
        <w:t xml:space="preserve"> Researchers should</w:t>
      </w:r>
      <w:r w:rsidR="00340087" w:rsidRPr="00136F3A">
        <w:rPr>
          <w:rFonts w:ascii="Calibri" w:hAnsi="Calibri" w:cs="Calibri"/>
          <w:sz w:val="22"/>
          <w:szCs w:val="22"/>
        </w:rPr>
        <w:t xml:space="preserve"> not be confined to the notion that</w:t>
      </w:r>
      <w:r w:rsidR="00A35021" w:rsidRPr="00136F3A">
        <w:rPr>
          <w:rFonts w:ascii="Calibri" w:hAnsi="Calibri" w:cs="Calibri"/>
          <w:sz w:val="22"/>
          <w:szCs w:val="22"/>
        </w:rPr>
        <w:t xml:space="preserve"> </w:t>
      </w:r>
      <w:r w:rsidR="00A35021" w:rsidRPr="00136F3A">
        <w:rPr>
          <w:rFonts w:ascii="Calibri" w:hAnsi="Calibri" w:cs="Calibri"/>
          <w:i/>
          <w:iCs/>
          <w:sz w:val="22"/>
          <w:szCs w:val="22"/>
        </w:rPr>
        <w:t>direct</w:t>
      </w:r>
      <w:r w:rsidR="00A35021" w:rsidRPr="00136F3A">
        <w:rPr>
          <w:rFonts w:ascii="Calibri" w:hAnsi="Calibri" w:cs="Calibri"/>
          <w:sz w:val="22"/>
          <w:szCs w:val="22"/>
        </w:rPr>
        <w:t xml:space="preserve"> human</w:t>
      </w:r>
      <w:r w:rsidR="00340087" w:rsidRPr="00136F3A">
        <w:rPr>
          <w:rFonts w:ascii="Calibri" w:hAnsi="Calibri" w:cs="Calibri"/>
          <w:sz w:val="22"/>
          <w:szCs w:val="22"/>
        </w:rPr>
        <w:t xml:space="preserve"> </w:t>
      </w:r>
      <w:r w:rsidR="00A35021" w:rsidRPr="00136F3A">
        <w:rPr>
          <w:rFonts w:ascii="Calibri" w:hAnsi="Calibri" w:cs="Calibri"/>
          <w:sz w:val="22"/>
          <w:szCs w:val="22"/>
        </w:rPr>
        <w:t>participation provides the sole impetus</w:t>
      </w:r>
      <w:r w:rsidR="00504EFA" w:rsidRPr="00136F3A">
        <w:rPr>
          <w:rFonts w:ascii="Calibri" w:hAnsi="Calibri" w:cs="Calibri"/>
          <w:sz w:val="22"/>
          <w:szCs w:val="22"/>
        </w:rPr>
        <w:t xml:space="preserve"> for deep ethical consideration</w:t>
      </w:r>
      <w:r w:rsidR="00A35021" w:rsidRPr="00136F3A">
        <w:rPr>
          <w:rFonts w:ascii="Calibri" w:hAnsi="Calibri" w:cs="Calibri"/>
          <w:sz w:val="22"/>
          <w:szCs w:val="22"/>
        </w:rPr>
        <w:t xml:space="preserve">. </w:t>
      </w:r>
      <w:r w:rsidR="001A15C9" w:rsidRPr="00136F3A">
        <w:rPr>
          <w:rFonts w:ascii="Calibri" w:hAnsi="Calibri" w:cs="Calibri"/>
          <w:sz w:val="22"/>
          <w:szCs w:val="22"/>
        </w:rPr>
        <w:t xml:space="preserve">The mere involvement of a ‘human factor’ </w:t>
      </w:r>
      <w:r w:rsidR="000754FE">
        <w:rPr>
          <w:rFonts w:ascii="Calibri" w:hAnsi="Calibri" w:cs="Calibri"/>
          <w:sz w:val="22"/>
          <w:szCs w:val="22"/>
        </w:rPr>
        <w:t>(</w:t>
      </w:r>
      <w:r w:rsidR="001A15C9" w:rsidRPr="00136F3A">
        <w:rPr>
          <w:rFonts w:ascii="Calibri" w:hAnsi="Calibri" w:cs="Calibri"/>
          <w:sz w:val="22"/>
          <w:szCs w:val="22"/>
        </w:rPr>
        <w:t xml:space="preserve">be it only the relation of a </w:t>
      </w:r>
      <w:r w:rsidR="005748E7">
        <w:rPr>
          <w:rFonts w:ascii="Calibri" w:hAnsi="Calibri" w:cs="Calibri"/>
          <w:sz w:val="22"/>
          <w:szCs w:val="22"/>
        </w:rPr>
        <w:t>life story</w:t>
      </w:r>
      <w:r w:rsidR="001A15C9" w:rsidRPr="00136F3A">
        <w:rPr>
          <w:rFonts w:ascii="Calibri" w:hAnsi="Calibri" w:cs="Calibri"/>
          <w:sz w:val="22"/>
          <w:szCs w:val="22"/>
        </w:rPr>
        <w:t xml:space="preserve"> via a secondary source</w:t>
      </w:r>
      <w:r w:rsidR="00DB73E9" w:rsidRPr="00136F3A">
        <w:rPr>
          <w:rFonts w:ascii="Calibri" w:hAnsi="Calibri" w:cs="Calibri"/>
          <w:sz w:val="22"/>
          <w:szCs w:val="22"/>
        </w:rPr>
        <w:t xml:space="preserve"> or the very nature of human rights violation</w:t>
      </w:r>
      <w:r w:rsidR="00D47FB8" w:rsidRPr="00136F3A">
        <w:rPr>
          <w:rFonts w:ascii="Calibri" w:hAnsi="Calibri" w:cs="Calibri"/>
          <w:sz w:val="22"/>
          <w:szCs w:val="22"/>
        </w:rPr>
        <w:t>s</w:t>
      </w:r>
      <w:r w:rsidR="000754FE">
        <w:rPr>
          <w:rFonts w:ascii="Calibri" w:hAnsi="Calibri" w:cs="Calibri"/>
          <w:sz w:val="22"/>
          <w:szCs w:val="22"/>
        </w:rPr>
        <w:t>)</w:t>
      </w:r>
      <w:r w:rsidR="00DB73E9" w:rsidRPr="00136F3A">
        <w:rPr>
          <w:rFonts w:ascii="Calibri" w:hAnsi="Calibri" w:cs="Calibri"/>
          <w:sz w:val="22"/>
          <w:szCs w:val="22"/>
        </w:rPr>
        <w:t xml:space="preserve"> requires </w:t>
      </w:r>
      <w:r w:rsidR="000754FE">
        <w:rPr>
          <w:rFonts w:ascii="Calibri" w:hAnsi="Calibri" w:cs="Calibri"/>
          <w:sz w:val="22"/>
          <w:szCs w:val="22"/>
        </w:rPr>
        <w:t>consideration of</w:t>
      </w:r>
      <w:r w:rsidR="00DB73E9" w:rsidRPr="00136F3A">
        <w:rPr>
          <w:rFonts w:ascii="Calibri" w:hAnsi="Calibri" w:cs="Calibri"/>
          <w:sz w:val="22"/>
          <w:szCs w:val="22"/>
        </w:rPr>
        <w:t xml:space="preserve"> </w:t>
      </w:r>
      <w:r w:rsidR="00B22830" w:rsidRPr="00136F3A">
        <w:rPr>
          <w:rFonts w:ascii="Calibri" w:hAnsi="Calibri" w:cs="Calibri"/>
          <w:sz w:val="22"/>
          <w:szCs w:val="22"/>
        </w:rPr>
        <w:t>ethics</w:t>
      </w:r>
      <w:r w:rsidR="00DB73E9" w:rsidRPr="00136F3A">
        <w:rPr>
          <w:rFonts w:ascii="Calibri" w:hAnsi="Calibri" w:cs="Calibri"/>
          <w:sz w:val="22"/>
          <w:szCs w:val="22"/>
        </w:rPr>
        <w:t xml:space="preserve"> beyond </w:t>
      </w:r>
      <w:r w:rsidR="00B22830" w:rsidRPr="00136F3A">
        <w:rPr>
          <w:rFonts w:ascii="Calibri" w:hAnsi="Calibri" w:cs="Calibri"/>
          <w:sz w:val="22"/>
          <w:szCs w:val="22"/>
        </w:rPr>
        <w:t xml:space="preserve">foundational </w:t>
      </w:r>
      <w:r w:rsidR="000754FE">
        <w:rPr>
          <w:rFonts w:ascii="Calibri" w:hAnsi="Calibri" w:cs="Calibri"/>
          <w:sz w:val="22"/>
          <w:szCs w:val="22"/>
        </w:rPr>
        <w:t>comprehension</w:t>
      </w:r>
      <w:r w:rsidR="00DB73E9" w:rsidRPr="00136F3A">
        <w:rPr>
          <w:rFonts w:ascii="Calibri" w:hAnsi="Calibri" w:cs="Calibri"/>
          <w:sz w:val="22"/>
          <w:szCs w:val="22"/>
        </w:rPr>
        <w:t>.</w:t>
      </w:r>
    </w:p>
    <w:p w14:paraId="23FE8880" w14:textId="77777777" w:rsidR="00397547" w:rsidRDefault="00397547" w:rsidP="00FF525C">
      <w:pPr>
        <w:jc w:val="both"/>
        <w:rPr>
          <w:rFonts w:ascii="Calibri" w:hAnsi="Calibri" w:cs="Calibri"/>
          <w:sz w:val="22"/>
          <w:szCs w:val="22"/>
        </w:rPr>
      </w:pPr>
    </w:p>
    <w:p w14:paraId="577124A0" w14:textId="38442709" w:rsidR="004F1A37" w:rsidRDefault="00880DC6" w:rsidP="00FF525C">
      <w:pPr>
        <w:jc w:val="both"/>
        <w:rPr>
          <w:rFonts w:ascii="Calibri" w:hAnsi="Calibri" w:cs="Calibri"/>
          <w:sz w:val="22"/>
          <w:szCs w:val="22"/>
        </w:rPr>
      </w:pPr>
      <w:r w:rsidRPr="00136F3A">
        <w:rPr>
          <w:rFonts w:ascii="Calibri" w:hAnsi="Calibri" w:cs="Calibri"/>
          <w:sz w:val="22"/>
          <w:szCs w:val="22"/>
        </w:rPr>
        <w:t xml:space="preserve">To this end, the central </w:t>
      </w:r>
      <w:r w:rsidR="007C2283" w:rsidRPr="00136F3A">
        <w:rPr>
          <w:rFonts w:ascii="Calibri" w:hAnsi="Calibri" w:cs="Calibri"/>
          <w:sz w:val="22"/>
          <w:szCs w:val="22"/>
        </w:rPr>
        <w:t xml:space="preserve">ethical </w:t>
      </w:r>
      <w:r w:rsidRPr="00136F3A">
        <w:rPr>
          <w:rFonts w:ascii="Calibri" w:hAnsi="Calibri" w:cs="Calibri"/>
          <w:sz w:val="22"/>
          <w:szCs w:val="22"/>
        </w:rPr>
        <w:t xml:space="preserve">consideration </w:t>
      </w:r>
      <w:r w:rsidR="00504EFA" w:rsidRPr="00136F3A">
        <w:rPr>
          <w:rFonts w:ascii="Calibri" w:hAnsi="Calibri" w:cs="Calibri"/>
          <w:sz w:val="22"/>
          <w:szCs w:val="22"/>
        </w:rPr>
        <w:t xml:space="preserve">is </w:t>
      </w:r>
      <w:r w:rsidRPr="00136F3A">
        <w:rPr>
          <w:rFonts w:ascii="Calibri" w:hAnsi="Calibri" w:cs="Calibri"/>
          <w:sz w:val="22"/>
          <w:szCs w:val="22"/>
        </w:rPr>
        <w:t xml:space="preserve">human vulnerability </w:t>
      </w:r>
      <w:r w:rsidR="007C2283"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{"citationItems":[{"id":"ITEM-1","itemData":{"abstract":"Social scientists are increasingly attentive to the practical importance of research ethics and professional codes of conduct when undertaking studies with human participants, especially around sensitive topics. In New Zealand, the social and cultural context of research praxis is also shaped by institutional principles that ensure research participants feel safe, respected, and heard when participating in research, and that the knowledge outcomes of the research process will be disseminated and shared with relevant cultural groups. In this article, we present four case studies based on projects that discuss researcher positionality in relation to the ethical and emotional work involved in undertaking research on sensitive topics with individuals from vulnerable and marginal groups. In doing so, we foreground the importance of articulating and managing emotion in research on sensitive topics, and suggest measures to ensure the well-being of researchers engaged in studies of this kind.","author":[{"dropping-particle":"","family":"Shaw","given":"Rhonda M.","non-dropping-particle":"","parse-names":false,"suffix":""},{"dropping-particle":"","family":"Howe","given":"Julie","non-dropping-particle":"","parse-names":false,"suffix":""},{"dropping-particle":"","family":"Beazer","given":"Jonathan","non-dropping-particle":"","parse-names":false,"suffix":""},{"dropping-particle":"","family":"Carr","given":"Toni","non-dropping-particle":"","parse-names":false,"suffix":""}],"container-title":"Qualitative Research","id":"ITEM-1","issue":"3","issued":{"date-parts":[["2020"]]},"page":"277-293","title":"Ethics and positionality in qualitative research with vulnerable and marginal groups","type":"article-journal","volume":"20"},"locator":"279","uris":["http://www.mendeley.com/documents/?uuid=11837133-b191-4a89-b1d8-4683974d7e94"]}],"mendeley":{"formattedCitation":"(Shaw &lt;i&gt;et al.&lt;/i&gt;, 2020, p. 279)","plainTextFormattedCitation":"(Shaw et al., 2020, p. 279)","previouslyFormattedCitation":"(Shaw &lt;i&gt;et al.&lt;/i&gt;, 2020, p. 279)"},"properties":{"noteIndex":0},"schema":"https://github.com/citation-style-language/schema/raw/master/csl-citation.json"}</w:instrText>
      </w:r>
      <w:r w:rsidR="007C2283" w:rsidRPr="00136F3A">
        <w:rPr>
          <w:rFonts w:ascii="Calibri" w:hAnsi="Calibri" w:cs="Calibri"/>
          <w:sz w:val="22"/>
          <w:szCs w:val="22"/>
        </w:rPr>
        <w:fldChar w:fldCharType="separate"/>
      </w:r>
      <w:r w:rsidR="007C2283" w:rsidRPr="00136F3A">
        <w:rPr>
          <w:rFonts w:ascii="Calibri" w:hAnsi="Calibri" w:cs="Calibri"/>
          <w:noProof/>
          <w:sz w:val="22"/>
          <w:szCs w:val="22"/>
        </w:rPr>
        <w:t xml:space="preserve">(Shaw </w:t>
      </w:r>
      <w:r w:rsidR="007C2283" w:rsidRPr="00136F3A">
        <w:rPr>
          <w:rFonts w:ascii="Calibri" w:hAnsi="Calibri" w:cs="Calibri"/>
          <w:i/>
          <w:noProof/>
          <w:sz w:val="22"/>
          <w:szCs w:val="22"/>
        </w:rPr>
        <w:t>et al.</w:t>
      </w:r>
      <w:r w:rsidR="007C2283" w:rsidRPr="00136F3A">
        <w:rPr>
          <w:rFonts w:ascii="Calibri" w:hAnsi="Calibri" w:cs="Calibri"/>
          <w:noProof/>
          <w:sz w:val="22"/>
          <w:szCs w:val="22"/>
        </w:rPr>
        <w:t>, 2020, p. 279)</w:t>
      </w:r>
      <w:r w:rsidR="007C2283" w:rsidRPr="00136F3A">
        <w:rPr>
          <w:rFonts w:ascii="Calibri" w:hAnsi="Calibri" w:cs="Calibri"/>
          <w:sz w:val="22"/>
          <w:szCs w:val="22"/>
        </w:rPr>
        <w:fldChar w:fldCharType="end"/>
      </w:r>
      <w:r w:rsidRPr="00136F3A">
        <w:rPr>
          <w:rFonts w:ascii="Calibri" w:hAnsi="Calibri" w:cs="Calibri"/>
          <w:sz w:val="22"/>
          <w:szCs w:val="22"/>
        </w:rPr>
        <w:t>.</w:t>
      </w:r>
      <w:r w:rsidR="006F3D07" w:rsidRPr="00136F3A">
        <w:rPr>
          <w:rFonts w:ascii="Calibri" w:hAnsi="Calibri" w:cs="Calibri"/>
          <w:sz w:val="22"/>
          <w:szCs w:val="22"/>
        </w:rPr>
        <w:t xml:space="preserve"> As </w:t>
      </w:r>
      <w:r w:rsidR="001902A8" w:rsidRPr="00136F3A">
        <w:rPr>
          <w:rFonts w:ascii="Calibri" w:hAnsi="Calibri" w:cs="Calibri"/>
          <w:sz w:val="22"/>
          <w:szCs w:val="22"/>
        </w:rPr>
        <w:t xml:space="preserve">Rogers </w:t>
      </w:r>
      <w:r w:rsidR="001902A8" w:rsidRPr="00136F3A">
        <w:rPr>
          <w:rFonts w:ascii="Calibri" w:hAnsi="Calibri" w:cs="Calibri"/>
          <w:i/>
          <w:iCs/>
          <w:sz w:val="22"/>
          <w:szCs w:val="22"/>
        </w:rPr>
        <w:t xml:space="preserve">et </w:t>
      </w:r>
      <w:r w:rsidR="005748E7">
        <w:rPr>
          <w:rFonts w:ascii="Calibri" w:hAnsi="Calibri" w:cs="Calibri"/>
          <w:i/>
          <w:iCs/>
          <w:sz w:val="22"/>
          <w:szCs w:val="22"/>
        </w:rPr>
        <w:t>al</w:t>
      </w:r>
      <w:r w:rsidR="001902A8" w:rsidRPr="00136F3A">
        <w:rPr>
          <w:rFonts w:ascii="Calibri" w:hAnsi="Calibri" w:cs="Calibri"/>
          <w:i/>
          <w:iCs/>
          <w:sz w:val="22"/>
          <w:szCs w:val="22"/>
        </w:rPr>
        <w:t xml:space="preserve"> </w:t>
      </w:r>
      <w:r w:rsidR="001902A8" w:rsidRPr="00136F3A">
        <w:rPr>
          <w:rFonts w:ascii="Calibri" w:hAnsi="Calibri" w:cs="Calibri"/>
          <w:sz w:val="22"/>
          <w:szCs w:val="22"/>
        </w:rPr>
        <w:t xml:space="preserve">note, </w:t>
      </w:r>
      <w:r w:rsidR="00F220E6">
        <w:rPr>
          <w:rFonts w:ascii="Calibri" w:hAnsi="Calibri" w:cs="Calibri"/>
          <w:sz w:val="22"/>
          <w:szCs w:val="22"/>
        </w:rPr>
        <w:t>‘</w:t>
      </w:r>
      <w:r w:rsidR="001902A8" w:rsidRPr="00136F3A">
        <w:rPr>
          <w:rFonts w:ascii="Calibri" w:hAnsi="Calibri" w:cs="Calibri"/>
          <w:sz w:val="22"/>
          <w:szCs w:val="22"/>
        </w:rPr>
        <w:t>vulnerability is an ontological condition of our humanity</w:t>
      </w:r>
      <w:r w:rsidR="00F220E6">
        <w:rPr>
          <w:rFonts w:ascii="Calibri" w:hAnsi="Calibri" w:cs="Calibri"/>
          <w:sz w:val="22"/>
          <w:szCs w:val="22"/>
        </w:rPr>
        <w:t>’</w:t>
      </w:r>
      <w:r w:rsidR="001902A8" w:rsidRPr="00136F3A">
        <w:rPr>
          <w:rFonts w:ascii="Calibri" w:hAnsi="Calibri" w:cs="Calibri"/>
          <w:sz w:val="22"/>
          <w:szCs w:val="22"/>
        </w:rPr>
        <w:t xml:space="preserve"> </w:t>
      </w:r>
      <w:r w:rsidR="00002940"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{"citationItems":[{"id":"ITEM-1","itemData":{"abstract":"Concern for human vulnerability seems to be at the heart of bioethical inquiry, but the concept of vulnerability is under-theorized in the bioethical literature. The aim of this article is to show why bioethics needs an adequately theorized and nuanced conception of vulnerability. We first review approaches to vulnerability in research ethics and public health ethics, and show that the bioethical literature associates vulnerability with risk of harm and exploitation, and limited capacity for autonomy. We identify some of the challenges emerging from this literature: in particular, how to reconcile universal human vulnerability with a context-sensitive analysis of specific kinds and sources of vulnerability; and how to reconcile obligations to protect vulnerable persons with obligations to respect autonomy. We then briefly survey some of the theoretical resources available within the philosophical literature to address these challenges, and to assist in understanding the conceptual connections between vulnerability and related concepts such as harm, exploitation, needs, and autonomy. We also sketch out a taxonomy of sources and kinds of vulnerability. Finally, we consider the implications for policy evaluation of making vulnerability an explicit and central focus of bioethics. Our investigation is in the form of a broad survey motivating a research agenda rather than a detailed analysis. © 2012.","author":[{"dropping-particle":"","family":"Rogers","given":"Wendy","non-dropping-particle":"","parse-names":false,"suffix":""},{"dropping-particle":"","family":"MacKenzie","given":"Catriona","non-dropping-particle":"","parse-names":false,"suffix":""},{"dropping-particle":"","family":"Dodds","given":"Susan","non-dropping-particle":"","parse-names":false,"suffix":""}],"container-title":"International Journal of Feminist Approaches to Bioethics","id":"ITEM-1","issue":"2","issued":{"date-parts":[["2012"]]},"page":"11-38","title":"Why bioethics needs a concept of vulnerability","type":"article-journal","volume":"5"},"locator":"22","uris":["http://www.mendeley.com/documents/?uuid=853aa7ea-be4c-4350-98a4-e945e590a07e"]}],"mendeley":{"formattedCitation":"(Rogers, MacKenzie and Dodds, 2012, p. 22)","plainTextFormattedCitation":"(Rogers, MacKenzie and Dodds, 2012, p. 22)","previouslyFormattedCitation":"(Rogers, MacKenzie and Dodds, 2012, p. 22)"},"properties":{"noteIndex":0},"schema":"https://github.com/citation-style-language/schema/raw/master/csl-citation.json"}</w:instrText>
      </w:r>
      <w:r w:rsidR="00002940" w:rsidRPr="00136F3A">
        <w:rPr>
          <w:rFonts w:ascii="Calibri" w:hAnsi="Calibri" w:cs="Calibri"/>
          <w:sz w:val="22"/>
          <w:szCs w:val="22"/>
        </w:rPr>
        <w:fldChar w:fldCharType="separate"/>
      </w:r>
      <w:r w:rsidR="00002940" w:rsidRPr="00136F3A">
        <w:rPr>
          <w:rFonts w:ascii="Calibri" w:hAnsi="Calibri" w:cs="Calibri"/>
          <w:noProof/>
          <w:sz w:val="22"/>
          <w:szCs w:val="22"/>
        </w:rPr>
        <w:t>(Rogers, MacKenzie and Dodds, 2012, p. 22)</w:t>
      </w:r>
      <w:r w:rsidR="00002940" w:rsidRPr="00136F3A">
        <w:rPr>
          <w:rFonts w:ascii="Calibri" w:hAnsi="Calibri" w:cs="Calibri"/>
          <w:sz w:val="22"/>
          <w:szCs w:val="22"/>
        </w:rPr>
        <w:fldChar w:fldCharType="end"/>
      </w:r>
      <w:r w:rsidR="00002940" w:rsidRPr="00136F3A">
        <w:rPr>
          <w:rFonts w:ascii="Calibri" w:hAnsi="Calibri" w:cs="Calibri"/>
          <w:sz w:val="22"/>
          <w:szCs w:val="22"/>
        </w:rPr>
        <w:t>. It is thus inherent to each of us</w:t>
      </w:r>
      <w:r w:rsidR="00381AC4" w:rsidRPr="00136F3A">
        <w:rPr>
          <w:rFonts w:ascii="Calibri" w:hAnsi="Calibri" w:cs="Calibri"/>
          <w:sz w:val="22"/>
          <w:szCs w:val="22"/>
        </w:rPr>
        <w:t>, going beyond ‘</w:t>
      </w:r>
      <w:r w:rsidR="00BE0465" w:rsidRPr="00136F3A">
        <w:rPr>
          <w:rFonts w:ascii="Calibri" w:hAnsi="Calibri" w:cs="Calibri"/>
          <w:sz w:val="22"/>
          <w:szCs w:val="22"/>
        </w:rPr>
        <w:t>vulnerable</w:t>
      </w:r>
      <w:r w:rsidR="00381AC4" w:rsidRPr="00136F3A">
        <w:rPr>
          <w:rFonts w:ascii="Calibri" w:hAnsi="Calibri" w:cs="Calibri"/>
          <w:sz w:val="22"/>
          <w:szCs w:val="22"/>
        </w:rPr>
        <w:t xml:space="preserve"> persons’</w:t>
      </w:r>
      <w:r w:rsidR="00002940" w:rsidRPr="00136F3A">
        <w:rPr>
          <w:rFonts w:ascii="Calibri" w:hAnsi="Calibri" w:cs="Calibri"/>
          <w:sz w:val="22"/>
          <w:szCs w:val="22"/>
        </w:rPr>
        <w:t xml:space="preserve"> </w:t>
      </w:r>
      <w:r w:rsidR="00381AC4" w:rsidRPr="00136F3A">
        <w:rPr>
          <w:rFonts w:ascii="Calibri" w:hAnsi="Calibri" w:cs="Calibri"/>
          <w:sz w:val="22"/>
          <w:szCs w:val="22"/>
        </w:rPr>
        <w:t xml:space="preserve">as a </w:t>
      </w:r>
      <w:r w:rsidR="00BE0465" w:rsidRPr="00136F3A">
        <w:rPr>
          <w:rFonts w:ascii="Calibri" w:hAnsi="Calibri" w:cs="Calibri"/>
          <w:sz w:val="22"/>
          <w:szCs w:val="22"/>
        </w:rPr>
        <w:t xml:space="preserve">simple </w:t>
      </w:r>
      <w:r w:rsidR="00381AC4" w:rsidRPr="00136F3A">
        <w:rPr>
          <w:rFonts w:ascii="Calibri" w:hAnsi="Calibri" w:cs="Calibri"/>
          <w:sz w:val="22"/>
          <w:szCs w:val="22"/>
        </w:rPr>
        <w:t>sub-</w:t>
      </w:r>
      <w:r w:rsidR="00BE0465" w:rsidRPr="00136F3A">
        <w:rPr>
          <w:rFonts w:ascii="Calibri" w:hAnsi="Calibri" w:cs="Calibri"/>
          <w:sz w:val="22"/>
          <w:szCs w:val="22"/>
        </w:rPr>
        <w:t>category</w:t>
      </w:r>
      <w:r w:rsidR="00381AC4" w:rsidRPr="00136F3A">
        <w:rPr>
          <w:rFonts w:ascii="Calibri" w:hAnsi="Calibri" w:cs="Calibri"/>
          <w:sz w:val="22"/>
          <w:szCs w:val="22"/>
        </w:rPr>
        <w:t xml:space="preserve"> of participants</w:t>
      </w:r>
      <w:r w:rsidR="00BE0465" w:rsidRPr="00136F3A">
        <w:rPr>
          <w:rFonts w:ascii="Calibri" w:hAnsi="Calibri" w:cs="Calibri"/>
          <w:sz w:val="22"/>
          <w:szCs w:val="22"/>
        </w:rPr>
        <w:t xml:space="preserve"> </w:t>
      </w:r>
      <w:r w:rsidR="00BE0465"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{"citationItems":[{"id":"ITEM-1","itemData":{"abstract":"Social scientists are increasingly attentive to the practical importance of research ethics and professional codes of conduct when undertaking studies with human participants, especially around sensitive topics. In New Zealand, the social and cultural context of research praxis is also shaped by institutional principles that ensure research participants feel safe, respected, and heard when participating in research, and that the knowledge outcomes of the research process will be disseminated and shared with relevant cultural groups. In this article, we present four case studies based on projects that discuss researcher positionality in relation to the ethical and emotional work involved in undertaking research on sensitive topics with individuals from vulnerable and marginal groups. In doing so, we foreground the importance of articulating and managing emotion in research on sensitive topics, and suggest measures to ensure the well-being of researchers engaged in studies of this kind.","author":[{"dropping-particle":"","family":"Shaw","given":"Rhonda M.","non-dropping-particle":"","parse-names":false,"suffix":""},{"dropping-particle":"","family":"Howe","given":"Julie","non-dropping-particle":"","parse-names":false,"suffix":""},{"dropping-particle":"","family":"Beazer","given":"Jonathan","non-dropping-particle":"","parse-names":false,"suffix":""},{"dropping-particle":"","family":"Carr","given":"Toni","non-dropping-particle":"","parse-names":false,"suffix":""}],"container-title":"Qualitative Research","id":"ITEM-1","issue":"3","issued":{"date-parts":[["2020"]]},"page":"277-293","title":"Ethics and positionality in qualitative research with vulnerable and marginal groups","type":"article-journal","volume":"20"},"locator":"279","uris":["http://www.mendeley.com/documents/?uuid=11837133-b191-4a89-b1d8-4683974d7e94"]}],"mendeley":{"formattedCitation":"(Shaw &lt;i&gt;et al.&lt;/i&gt;, 2020, p. 279)","plainTextFormattedCitation":"(Shaw et al., 2020, p. 279)","previouslyFormattedCitation":"(Shaw &lt;i&gt;et al.&lt;/i&gt;, 2020, p. 279)"},"properties":{"noteIndex":0},"schema":"https://github.com/citation-style-language/schema/raw/master/csl-citation.json"}</w:instrText>
      </w:r>
      <w:r w:rsidR="00BE0465" w:rsidRPr="00136F3A">
        <w:rPr>
          <w:rFonts w:ascii="Calibri" w:hAnsi="Calibri" w:cs="Calibri"/>
          <w:sz w:val="22"/>
          <w:szCs w:val="22"/>
        </w:rPr>
        <w:fldChar w:fldCharType="separate"/>
      </w:r>
      <w:r w:rsidR="00BE0465" w:rsidRPr="00136F3A">
        <w:rPr>
          <w:rFonts w:ascii="Calibri" w:hAnsi="Calibri" w:cs="Calibri"/>
          <w:noProof/>
          <w:sz w:val="22"/>
          <w:szCs w:val="22"/>
        </w:rPr>
        <w:t xml:space="preserve">(Shaw </w:t>
      </w:r>
      <w:r w:rsidR="00BE0465" w:rsidRPr="00136F3A">
        <w:rPr>
          <w:rFonts w:ascii="Calibri" w:hAnsi="Calibri" w:cs="Calibri"/>
          <w:i/>
          <w:noProof/>
          <w:sz w:val="22"/>
          <w:szCs w:val="22"/>
        </w:rPr>
        <w:t>et al.</w:t>
      </w:r>
      <w:r w:rsidR="00BE0465" w:rsidRPr="00136F3A">
        <w:rPr>
          <w:rFonts w:ascii="Calibri" w:hAnsi="Calibri" w:cs="Calibri"/>
          <w:noProof/>
          <w:sz w:val="22"/>
          <w:szCs w:val="22"/>
        </w:rPr>
        <w:t>, 2020, p. 279)</w:t>
      </w:r>
      <w:r w:rsidR="00BE0465" w:rsidRPr="00136F3A">
        <w:rPr>
          <w:rFonts w:ascii="Calibri" w:hAnsi="Calibri" w:cs="Calibri"/>
          <w:sz w:val="22"/>
          <w:szCs w:val="22"/>
        </w:rPr>
        <w:fldChar w:fldCharType="end"/>
      </w:r>
      <w:r w:rsidR="00BE0465" w:rsidRPr="00136F3A">
        <w:rPr>
          <w:rFonts w:ascii="Calibri" w:hAnsi="Calibri" w:cs="Calibri"/>
          <w:sz w:val="22"/>
          <w:szCs w:val="22"/>
        </w:rPr>
        <w:t xml:space="preserve">. </w:t>
      </w:r>
      <w:r w:rsidR="00E4504D" w:rsidRPr="00136F3A">
        <w:rPr>
          <w:rFonts w:ascii="Calibri" w:hAnsi="Calibri" w:cs="Calibri"/>
          <w:sz w:val="22"/>
          <w:szCs w:val="22"/>
        </w:rPr>
        <w:t xml:space="preserve">Given this, it is argued </w:t>
      </w:r>
      <w:r w:rsidR="00BE0465" w:rsidRPr="00136F3A">
        <w:rPr>
          <w:rFonts w:ascii="Calibri" w:hAnsi="Calibri" w:cs="Calibri"/>
          <w:sz w:val="22"/>
          <w:szCs w:val="22"/>
        </w:rPr>
        <w:t xml:space="preserve">that </w:t>
      </w:r>
      <w:r w:rsidR="00E4504D" w:rsidRPr="00136F3A">
        <w:rPr>
          <w:rFonts w:ascii="Calibri" w:hAnsi="Calibri" w:cs="Calibri"/>
          <w:sz w:val="22"/>
          <w:szCs w:val="22"/>
        </w:rPr>
        <w:t>an individual’s experiences, regardless of how or where they are reported to us, exist as an extension of that individual and should thus be treated with the same level of ethical consideration as would be afforded to that individual in a more direct and personal setting.</w:t>
      </w:r>
      <w:r w:rsidR="0019295D" w:rsidRPr="00136F3A">
        <w:rPr>
          <w:rFonts w:ascii="Calibri" w:hAnsi="Calibri" w:cs="Calibri"/>
          <w:sz w:val="22"/>
          <w:szCs w:val="22"/>
        </w:rPr>
        <w:t xml:space="preserve"> Within legal research, even that of human rights, it is often far too easy to simply view cases as </w:t>
      </w:r>
      <w:r w:rsidR="00AC094C" w:rsidRPr="00136F3A">
        <w:rPr>
          <w:rFonts w:ascii="Calibri" w:hAnsi="Calibri" w:cs="Calibri"/>
          <w:sz w:val="22"/>
          <w:szCs w:val="22"/>
        </w:rPr>
        <w:t xml:space="preserve">practical tools for legal interpretation and analysis; remaining altogether detached from the reality of the individual experiences hidden behind the text. </w:t>
      </w:r>
      <w:r w:rsidR="00863176" w:rsidRPr="00136F3A">
        <w:rPr>
          <w:rFonts w:ascii="Calibri" w:hAnsi="Calibri" w:cs="Calibri"/>
          <w:sz w:val="22"/>
          <w:szCs w:val="22"/>
        </w:rPr>
        <w:t>This</w:t>
      </w:r>
      <w:r w:rsidR="009F6FFD" w:rsidRPr="00136F3A">
        <w:rPr>
          <w:rFonts w:ascii="Calibri" w:hAnsi="Calibri" w:cs="Calibri"/>
          <w:sz w:val="22"/>
          <w:szCs w:val="22"/>
        </w:rPr>
        <w:t xml:space="preserve"> is especially important in the context of </w:t>
      </w:r>
      <w:r w:rsidR="00863176" w:rsidRPr="00136F3A">
        <w:rPr>
          <w:rFonts w:ascii="Calibri" w:hAnsi="Calibri" w:cs="Calibri"/>
          <w:sz w:val="22"/>
          <w:szCs w:val="22"/>
        </w:rPr>
        <w:t xml:space="preserve">the </w:t>
      </w:r>
      <w:r w:rsidR="00FD167E">
        <w:rPr>
          <w:rFonts w:ascii="Calibri" w:hAnsi="Calibri" w:cs="Calibri"/>
          <w:sz w:val="22"/>
          <w:szCs w:val="22"/>
        </w:rPr>
        <w:t>Right to Health</w:t>
      </w:r>
      <w:r w:rsidR="00863176" w:rsidRPr="00136F3A">
        <w:rPr>
          <w:rFonts w:ascii="Calibri" w:hAnsi="Calibri" w:cs="Calibri"/>
          <w:sz w:val="22"/>
          <w:szCs w:val="22"/>
        </w:rPr>
        <w:t xml:space="preserve">, </w:t>
      </w:r>
      <w:r w:rsidR="00FD167E">
        <w:rPr>
          <w:rFonts w:ascii="Calibri" w:hAnsi="Calibri" w:cs="Calibri"/>
          <w:sz w:val="22"/>
          <w:szCs w:val="22"/>
        </w:rPr>
        <w:t>International Human Rights Law</w:t>
      </w:r>
      <w:r w:rsidR="00863176" w:rsidRPr="00136F3A">
        <w:rPr>
          <w:rFonts w:ascii="Calibri" w:hAnsi="Calibri" w:cs="Calibri"/>
          <w:sz w:val="22"/>
          <w:szCs w:val="22"/>
        </w:rPr>
        <w:t xml:space="preserve"> and </w:t>
      </w:r>
      <w:r w:rsidR="00BC229B">
        <w:rPr>
          <w:rFonts w:ascii="Calibri" w:hAnsi="Calibri" w:cs="Calibri"/>
          <w:sz w:val="22"/>
          <w:szCs w:val="22"/>
        </w:rPr>
        <w:t>BHR</w:t>
      </w:r>
      <w:r w:rsidR="009F6FFD" w:rsidRPr="00136F3A">
        <w:rPr>
          <w:rFonts w:ascii="Calibri" w:hAnsi="Calibri" w:cs="Calibri"/>
          <w:sz w:val="22"/>
          <w:szCs w:val="22"/>
        </w:rPr>
        <w:t xml:space="preserve"> since </w:t>
      </w:r>
      <w:r w:rsidR="004F7EDC" w:rsidRPr="00136F3A">
        <w:rPr>
          <w:rFonts w:ascii="Calibri" w:hAnsi="Calibri" w:cs="Calibri"/>
          <w:sz w:val="22"/>
          <w:szCs w:val="22"/>
        </w:rPr>
        <w:t xml:space="preserve">it is those </w:t>
      </w:r>
      <w:r w:rsidR="001603CD" w:rsidRPr="00136F3A">
        <w:rPr>
          <w:rFonts w:ascii="Calibri" w:hAnsi="Calibri" w:cs="Calibri"/>
          <w:sz w:val="22"/>
          <w:szCs w:val="22"/>
        </w:rPr>
        <w:t>first-hand experiences</w:t>
      </w:r>
      <w:r w:rsidR="004F7EDC" w:rsidRPr="00136F3A">
        <w:rPr>
          <w:rFonts w:ascii="Calibri" w:hAnsi="Calibri" w:cs="Calibri"/>
          <w:sz w:val="22"/>
          <w:szCs w:val="22"/>
        </w:rPr>
        <w:t xml:space="preserve"> </w:t>
      </w:r>
      <w:r w:rsidR="005748E7">
        <w:rPr>
          <w:rFonts w:ascii="Calibri" w:hAnsi="Calibri" w:cs="Calibri"/>
          <w:sz w:val="22"/>
          <w:szCs w:val="22"/>
        </w:rPr>
        <w:t>that</w:t>
      </w:r>
      <w:r w:rsidR="004F7EDC" w:rsidRPr="00136F3A">
        <w:rPr>
          <w:rFonts w:ascii="Calibri" w:hAnsi="Calibri" w:cs="Calibri"/>
          <w:sz w:val="22"/>
          <w:szCs w:val="22"/>
        </w:rPr>
        <w:t xml:space="preserve"> </w:t>
      </w:r>
      <w:proofErr w:type="gramStart"/>
      <w:r w:rsidR="004F7EDC" w:rsidRPr="00136F3A">
        <w:rPr>
          <w:rFonts w:ascii="Calibri" w:hAnsi="Calibri" w:cs="Calibri"/>
          <w:sz w:val="22"/>
          <w:szCs w:val="22"/>
        </w:rPr>
        <w:t>provide</w:t>
      </w:r>
      <w:proofErr w:type="gramEnd"/>
      <w:r w:rsidR="004F7EDC" w:rsidRPr="00136F3A">
        <w:rPr>
          <w:rFonts w:ascii="Calibri" w:hAnsi="Calibri" w:cs="Calibri"/>
          <w:sz w:val="22"/>
          <w:szCs w:val="22"/>
        </w:rPr>
        <w:t xml:space="preserve"> the emotional backing and impetus for the </w:t>
      </w:r>
      <w:r w:rsidR="00B45797" w:rsidRPr="00136F3A">
        <w:rPr>
          <w:rFonts w:ascii="Calibri" w:hAnsi="Calibri" w:cs="Calibri"/>
          <w:sz w:val="22"/>
          <w:szCs w:val="22"/>
        </w:rPr>
        <w:t>research,</w:t>
      </w:r>
      <w:r w:rsidR="004F7EDC" w:rsidRPr="00136F3A">
        <w:rPr>
          <w:rFonts w:ascii="Calibri" w:hAnsi="Calibri" w:cs="Calibri"/>
          <w:sz w:val="22"/>
          <w:szCs w:val="22"/>
        </w:rPr>
        <w:t xml:space="preserve"> and which provide a human weight to an otherwise </w:t>
      </w:r>
      <w:r w:rsidR="00293B45" w:rsidRPr="00136F3A">
        <w:rPr>
          <w:rFonts w:ascii="Calibri" w:hAnsi="Calibri" w:cs="Calibri"/>
          <w:sz w:val="22"/>
          <w:szCs w:val="22"/>
        </w:rPr>
        <w:t xml:space="preserve">soleless </w:t>
      </w:r>
      <w:r w:rsidR="006924FD" w:rsidRPr="00136F3A">
        <w:rPr>
          <w:rFonts w:ascii="Calibri" w:hAnsi="Calibri" w:cs="Calibri"/>
          <w:sz w:val="22"/>
          <w:szCs w:val="22"/>
        </w:rPr>
        <w:t>endeavour</w:t>
      </w:r>
      <w:r w:rsidR="00293B45" w:rsidRPr="00136F3A">
        <w:rPr>
          <w:rFonts w:ascii="Calibri" w:hAnsi="Calibri" w:cs="Calibri"/>
          <w:sz w:val="22"/>
          <w:szCs w:val="22"/>
        </w:rPr>
        <w:t xml:space="preserve"> into legal semantics.</w:t>
      </w:r>
    </w:p>
    <w:p w14:paraId="61DDD2A6" w14:textId="77777777" w:rsidR="00901A3B" w:rsidRPr="00136F3A" w:rsidRDefault="00901A3B" w:rsidP="00FF525C">
      <w:pPr>
        <w:jc w:val="both"/>
        <w:rPr>
          <w:rFonts w:ascii="Calibri" w:hAnsi="Calibri" w:cs="Calibri"/>
          <w:sz w:val="22"/>
          <w:szCs w:val="22"/>
        </w:rPr>
      </w:pPr>
    </w:p>
    <w:p w14:paraId="260953A7" w14:textId="3D0E1B7E" w:rsidR="001A189F" w:rsidRDefault="00BC229B" w:rsidP="00901A3B">
      <w:pPr>
        <w:jc w:val="both"/>
        <w:rPr>
          <w:rFonts w:ascii="Calibri" w:hAnsi="Calibri" w:cs="Calibri"/>
          <w:sz w:val="22"/>
          <w:szCs w:val="22"/>
        </w:rPr>
      </w:pPr>
      <w:r>
        <w:rPr>
          <w:rFonts w:ascii="Calibri" w:hAnsi="Calibri" w:cs="Calibri"/>
          <w:sz w:val="22"/>
          <w:szCs w:val="22"/>
        </w:rPr>
        <w:lastRenderedPageBreak/>
        <w:t>T</w:t>
      </w:r>
      <w:r w:rsidR="00041B29">
        <w:rPr>
          <w:rFonts w:ascii="Calibri" w:hAnsi="Calibri" w:cs="Calibri"/>
          <w:sz w:val="22"/>
          <w:szCs w:val="22"/>
        </w:rPr>
        <w:t>he</w:t>
      </w:r>
      <w:r w:rsidR="00901A3B" w:rsidRPr="00136F3A">
        <w:rPr>
          <w:rFonts w:ascii="Calibri" w:hAnsi="Calibri" w:cs="Calibri"/>
          <w:sz w:val="22"/>
          <w:szCs w:val="22"/>
        </w:rPr>
        <w:t xml:space="preserve"> interdisciplinar</w:t>
      </w:r>
      <w:r w:rsidR="00901A3B">
        <w:rPr>
          <w:rFonts w:ascii="Calibri" w:hAnsi="Calibri" w:cs="Calibri"/>
          <w:sz w:val="22"/>
          <w:szCs w:val="22"/>
        </w:rPr>
        <w:t>it</w:t>
      </w:r>
      <w:r w:rsidR="00901A3B" w:rsidRPr="00136F3A">
        <w:rPr>
          <w:rFonts w:ascii="Calibri" w:hAnsi="Calibri" w:cs="Calibri"/>
          <w:sz w:val="22"/>
          <w:szCs w:val="22"/>
        </w:rPr>
        <w:t xml:space="preserve">y of </w:t>
      </w:r>
      <w:r>
        <w:rPr>
          <w:rFonts w:ascii="Calibri" w:hAnsi="Calibri" w:cs="Calibri"/>
          <w:sz w:val="22"/>
          <w:szCs w:val="22"/>
        </w:rPr>
        <w:t>BHR</w:t>
      </w:r>
      <w:r w:rsidR="00901A3B">
        <w:rPr>
          <w:rFonts w:ascii="Calibri" w:hAnsi="Calibri" w:cs="Calibri"/>
          <w:sz w:val="22"/>
          <w:szCs w:val="22"/>
        </w:rPr>
        <w:t xml:space="preserve"> and health-based research creates a crossroads of</w:t>
      </w:r>
      <w:r w:rsidR="00901A3B" w:rsidRPr="00136F3A">
        <w:rPr>
          <w:rFonts w:ascii="Calibri" w:hAnsi="Calibri" w:cs="Calibri"/>
          <w:sz w:val="22"/>
          <w:szCs w:val="22"/>
        </w:rPr>
        <w:t xml:space="preserve"> </w:t>
      </w:r>
      <w:r w:rsidR="00901A3B">
        <w:rPr>
          <w:rFonts w:ascii="Calibri" w:hAnsi="Calibri" w:cs="Calibri"/>
          <w:sz w:val="22"/>
          <w:szCs w:val="22"/>
        </w:rPr>
        <w:t>ethical considerations</w:t>
      </w:r>
      <w:r w:rsidR="00901A3B" w:rsidRPr="00136F3A">
        <w:rPr>
          <w:rFonts w:ascii="Calibri" w:hAnsi="Calibri" w:cs="Calibri"/>
          <w:sz w:val="22"/>
          <w:szCs w:val="22"/>
        </w:rPr>
        <w:t xml:space="preserve"> and frameworks</w:t>
      </w:r>
      <w:r w:rsidR="00041B29">
        <w:rPr>
          <w:rFonts w:ascii="Calibri" w:hAnsi="Calibri" w:cs="Calibri"/>
          <w:sz w:val="22"/>
          <w:szCs w:val="22"/>
        </w:rPr>
        <w:t xml:space="preserve"> adding</w:t>
      </w:r>
      <w:r w:rsidR="00901A3B" w:rsidRPr="00136F3A">
        <w:rPr>
          <w:rFonts w:ascii="Calibri" w:hAnsi="Calibri" w:cs="Calibri"/>
          <w:sz w:val="22"/>
          <w:szCs w:val="22"/>
        </w:rPr>
        <w:t xml:space="preserve"> </w:t>
      </w:r>
      <w:r w:rsidR="00901A3B">
        <w:rPr>
          <w:rFonts w:ascii="Calibri" w:hAnsi="Calibri" w:cs="Calibri"/>
          <w:sz w:val="22"/>
          <w:szCs w:val="22"/>
        </w:rPr>
        <w:t>a</w:t>
      </w:r>
      <w:r w:rsidR="00041B29">
        <w:rPr>
          <w:rFonts w:ascii="Calibri" w:hAnsi="Calibri" w:cs="Calibri"/>
          <w:sz w:val="22"/>
          <w:szCs w:val="22"/>
        </w:rPr>
        <w:t xml:space="preserve"> further</w:t>
      </w:r>
      <w:r w:rsidR="00901A3B">
        <w:rPr>
          <w:rFonts w:ascii="Calibri" w:hAnsi="Calibri" w:cs="Calibri"/>
          <w:sz w:val="22"/>
          <w:szCs w:val="22"/>
        </w:rPr>
        <w:t xml:space="preserve"> </w:t>
      </w:r>
      <w:r w:rsidR="00901A3B" w:rsidRPr="00136F3A">
        <w:rPr>
          <w:rFonts w:ascii="Calibri" w:hAnsi="Calibri" w:cs="Calibri"/>
          <w:sz w:val="22"/>
          <w:szCs w:val="22"/>
        </w:rPr>
        <w:t xml:space="preserve">layer to the already </w:t>
      </w:r>
      <w:r w:rsidR="00041B29">
        <w:rPr>
          <w:rFonts w:ascii="Calibri" w:hAnsi="Calibri" w:cs="Calibri"/>
          <w:sz w:val="22"/>
          <w:szCs w:val="22"/>
        </w:rPr>
        <w:t xml:space="preserve">complex and </w:t>
      </w:r>
      <w:r w:rsidR="00901A3B" w:rsidRPr="00136F3A">
        <w:rPr>
          <w:rFonts w:ascii="Calibri" w:hAnsi="Calibri" w:cs="Calibri"/>
          <w:sz w:val="22"/>
          <w:szCs w:val="22"/>
        </w:rPr>
        <w:t xml:space="preserve">sensitive nature of </w:t>
      </w:r>
      <w:r w:rsidR="00A535A3">
        <w:rPr>
          <w:rFonts w:ascii="Calibri" w:hAnsi="Calibri" w:cs="Calibri"/>
          <w:sz w:val="22"/>
          <w:szCs w:val="22"/>
        </w:rPr>
        <w:t xml:space="preserve">socio-legal </w:t>
      </w:r>
      <w:r w:rsidR="00901A3B">
        <w:rPr>
          <w:rFonts w:ascii="Calibri" w:hAnsi="Calibri" w:cs="Calibri"/>
          <w:sz w:val="22"/>
          <w:szCs w:val="22"/>
        </w:rPr>
        <w:t>human rights</w:t>
      </w:r>
      <w:r w:rsidR="00901A3B" w:rsidRPr="00136F3A">
        <w:rPr>
          <w:rFonts w:ascii="Calibri" w:hAnsi="Calibri" w:cs="Calibri"/>
          <w:sz w:val="22"/>
          <w:szCs w:val="22"/>
        </w:rPr>
        <w:t xml:space="preserve"> research. </w:t>
      </w:r>
      <w:r>
        <w:rPr>
          <w:rFonts w:ascii="Calibri" w:hAnsi="Calibri" w:cs="Calibri"/>
          <w:sz w:val="22"/>
          <w:szCs w:val="22"/>
        </w:rPr>
        <w:t>Research of this kind</w:t>
      </w:r>
      <w:r w:rsidR="00A535A3">
        <w:rPr>
          <w:rFonts w:ascii="Calibri" w:hAnsi="Calibri" w:cs="Calibri"/>
          <w:sz w:val="22"/>
          <w:szCs w:val="22"/>
        </w:rPr>
        <w:t xml:space="preserve"> brings about an </w:t>
      </w:r>
      <w:r w:rsidR="00901A3B" w:rsidRPr="00136F3A">
        <w:rPr>
          <w:rFonts w:ascii="Calibri" w:hAnsi="Calibri" w:cs="Calibri"/>
          <w:sz w:val="22"/>
          <w:szCs w:val="22"/>
        </w:rPr>
        <w:t xml:space="preserve">intersection of </w:t>
      </w:r>
      <w:r w:rsidR="00A535A3">
        <w:rPr>
          <w:rFonts w:ascii="Calibri" w:hAnsi="Calibri" w:cs="Calibri"/>
          <w:sz w:val="22"/>
          <w:szCs w:val="22"/>
        </w:rPr>
        <w:t>not only methodological ethical considerations (as explored above), but contextually also considerations of</w:t>
      </w:r>
      <w:r w:rsidR="00901A3B" w:rsidRPr="00136F3A">
        <w:rPr>
          <w:rFonts w:ascii="Calibri" w:hAnsi="Calibri" w:cs="Calibri"/>
          <w:sz w:val="22"/>
          <w:szCs w:val="22"/>
        </w:rPr>
        <w:t xml:space="preserve"> medical, and corporate </w:t>
      </w:r>
      <w:r w:rsidR="00A535A3">
        <w:rPr>
          <w:rFonts w:ascii="Calibri" w:hAnsi="Calibri" w:cs="Calibri"/>
          <w:sz w:val="22"/>
          <w:szCs w:val="22"/>
        </w:rPr>
        <w:t>ethics</w:t>
      </w:r>
      <w:r w:rsidR="00901A3B" w:rsidRPr="00136F3A">
        <w:rPr>
          <w:rFonts w:ascii="Calibri" w:hAnsi="Calibri" w:cs="Calibri"/>
          <w:sz w:val="22"/>
          <w:szCs w:val="22"/>
        </w:rPr>
        <w:t xml:space="preserve">. </w:t>
      </w:r>
      <w:r w:rsidR="006B0ACB">
        <w:rPr>
          <w:rFonts w:ascii="Calibri" w:hAnsi="Calibri" w:cs="Calibri"/>
          <w:sz w:val="22"/>
          <w:szCs w:val="22"/>
        </w:rPr>
        <w:t>Indeed, when undertaking research such as this, o</w:t>
      </w:r>
      <w:r w:rsidR="00901A3B" w:rsidRPr="00136F3A">
        <w:rPr>
          <w:rFonts w:ascii="Calibri" w:hAnsi="Calibri" w:cs="Calibri"/>
          <w:sz w:val="22"/>
          <w:szCs w:val="22"/>
        </w:rPr>
        <w:t xml:space="preserve">ne must consider not only the ethical implications of the </w:t>
      </w:r>
      <w:r w:rsidR="00901A3B" w:rsidRPr="00401535">
        <w:rPr>
          <w:rFonts w:ascii="Calibri" w:hAnsi="Calibri" w:cs="Calibri"/>
          <w:i/>
          <w:iCs/>
          <w:sz w:val="22"/>
          <w:szCs w:val="22"/>
        </w:rPr>
        <w:t>practical</w:t>
      </w:r>
      <w:r w:rsidR="00901A3B" w:rsidRPr="00136F3A">
        <w:rPr>
          <w:rFonts w:ascii="Calibri" w:hAnsi="Calibri" w:cs="Calibri"/>
          <w:sz w:val="22"/>
          <w:szCs w:val="22"/>
        </w:rPr>
        <w:t xml:space="preserve"> research methods themselves but also the deeper </w:t>
      </w:r>
      <w:r w:rsidR="00901A3B" w:rsidRPr="00401535">
        <w:rPr>
          <w:rFonts w:ascii="Calibri" w:hAnsi="Calibri" w:cs="Calibri"/>
          <w:i/>
          <w:iCs/>
          <w:sz w:val="22"/>
          <w:szCs w:val="22"/>
        </w:rPr>
        <w:t>theoretical</w:t>
      </w:r>
      <w:r w:rsidR="00901A3B" w:rsidRPr="00136F3A">
        <w:rPr>
          <w:rFonts w:ascii="Calibri" w:hAnsi="Calibri" w:cs="Calibri"/>
          <w:sz w:val="22"/>
          <w:szCs w:val="22"/>
        </w:rPr>
        <w:t xml:space="preserve"> implications brought about via the consideration of medical ethics, corporate ethics, and scholarly best practice.</w:t>
      </w:r>
      <w:r w:rsidR="00901A3B">
        <w:rPr>
          <w:rFonts w:ascii="Calibri" w:hAnsi="Calibri" w:cs="Calibri"/>
          <w:sz w:val="22"/>
          <w:szCs w:val="22"/>
        </w:rPr>
        <w:t xml:space="preserve"> </w:t>
      </w:r>
      <w:r w:rsidR="00901A3B" w:rsidRPr="00136F3A">
        <w:rPr>
          <w:rFonts w:ascii="Calibri" w:hAnsi="Calibri" w:cs="Calibri"/>
          <w:sz w:val="22"/>
          <w:szCs w:val="22"/>
        </w:rPr>
        <w:t xml:space="preserve">The introduction of an interdisciplinary, socio-legal </w:t>
      </w:r>
      <w:r w:rsidR="00901A3B">
        <w:rPr>
          <w:rFonts w:ascii="Calibri" w:hAnsi="Calibri" w:cs="Calibri"/>
          <w:sz w:val="22"/>
          <w:szCs w:val="22"/>
        </w:rPr>
        <w:t xml:space="preserve">human rights </w:t>
      </w:r>
      <w:r w:rsidR="00901A3B" w:rsidRPr="00136F3A">
        <w:rPr>
          <w:rFonts w:ascii="Calibri" w:hAnsi="Calibri" w:cs="Calibri"/>
          <w:sz w:val="22"/>
          <w:szCs w:val="22"/>
        </w:rPr>
        <w:t>approach</w:t>
      </w:r>
      <w:r w:rsidR="00901A3B">
        <w:rPr>
          <w:rFonts w:ascii="Calibri" w:hAnsi="Calibri" w:cs="Calibri"/>
          <w:sz w:val="22"/>
          <w:szCs w:val="22"/>
        </w:rPr>
        <w:t xml:space="preserve"> </w:t>
      </w:r>
      <w:r w:rsidR="00901A3B" w:rsidRPr="00136F3A">
        <w:rPr>
          <w:rFonts w:ascii="Calibri" w:hAnsi="Calibri" w:cs="Calibri"/>
          <w:sz w:val="22"/>
          <w:szCs w:val="22"/>
        </w:rPr>
        <w:t xml:space="preserve">requires </w:t>
      </w:r>
      <w:r w:rsidR="00901A3B">
        <w:rPr>
          <w:rFonts w:ascii="Calibri" w:hAnsi="Calibri" w:cs="Calibri"/>
          <w:sz w:val="22"/>
          <w:szCs w:val="22"/>
        </w:rPr>
        <w:t xml:space="preserve">consideration of the ethical implications which arise </w:t>
      </w:r>
      <w:proofErr w:type="gramStart"/>
      <w:r w:rsidR="00901A3B">
        <w:rPr>
          <w:rFonts w:ascii="Calibri" w:hAnsi="Calibri" w:cs="Calibri"/>
          <w:sz w:val="22"/>
          <w:szCs w:val="22"/>
        </w:rPr>
        <w:t>as a result of</w:t>
      </w:r>
      <w:proofErr w:type="gramEnd"/>
      <w:r w:rsidR="00901A3B">
        <w:rPr>
          <w:rFonts w:ascii="Calibri" w:hAnsi="Calibri" w:cs="Calibri"/>
          <w:sz w:val="22"/>
          <w:szCs w:val="22"/>
        </w:rPr>
        <w:t xml:space="preserve"> such interdisciplinarity</w:t>
      </w:r>
      <w:r w:rsidR="00901A3B" w:rsidRPr="00136F3A">
        <w:rPr>
          <w:rFonts w:ascii="Calibri" w:hAnsi="Calibri" w:cs="Calibri"/>
          <w:sz w:val="22"/>
          <w:szCs w:val="22"/>
        </w:rPr>
        <w:t>.</w:t>
      </w:r>
      <w:r w:rsidR="00901A3B">
        <w:rPr>
          <w:rFonts w:ascii="Calibri" w:hAnsi="Calibri" w:cs="Calibri"/>
          <w:sz w:val="22"/>
          <w:szCs w:val="22"/>
        </w:rPr>
        <w:t xml:space="preserve"> </w:t>
      </w:r>
    </w:p>
    <w:p w14:paraId="70D8E9D0" w14:textId="77777777" w:rsidR="001A189F" w:rsidRDefault="001A189F" w:rsidP="00901A3B">
      <w:pPr>
        <w:jc w:val="both"/>
        <w:rPr>
          <w:rFonts w:ascii="Calibri" w:hAnsi="Calibri" w:cs="Calibri"/>
          <w:sz w:val="22"/>
          <w:szCs w:val="22"/>
        </w:rPr>
      </w:pPr>
    </w:p>
    <w:p w14:paraId="5C75EA8E" w14:textId="198BD783" w:rsidR="00901A3B" w:rsidRPr="00136F3A" w:rsidRDefault="001A189F" w:rsidP="00901A3B">
      <w:pPr>
        <w:jc w:val="both"/>
        <w:rPr>
          <w:rFonts w:ascii="Calibri" w:hAnsi="Calibri" w:cs="Calibri"/>
          <w:sz w:val="22"/>
          <w:szCs w:val="22"/>
        </w:rPr>
      </w:pPr>
      <w:r>
        <w:rPr>
          <w:rFonts w:ascii="Calibri" w:hAnsi="Calibri" w:cs="Calibri"/>
          <w:sz w:val="22"/>
          <w:szCs w:val="22"/>
        </w:rPr>
        <w:t>At t</w:t>
      </w:r>
      <w:r w:rsidR="00901A3B">
        <w:rPr>
          <w:rFonts w:ascii="Calibri" w:hAnsi="Calibri" w:cs="Calibri"/>
          <w:sz w:val="22"/>
          <w:szCs w:val="22"/>
        </w:rPr>
        <w:t>he boundary between business, law and healthcare</w:t>
      </w:r>
      <w:r w:rsidR="00901A3B" w:rsidRPr="00136F3A">
        <w:rPr>
          <w:rFonts w:ascii="Calibri" w:hAnsi="Calibri" w:cs="Calibri"/>
          <w:sz w:val="22"/>
          <w:szCs w:val="22"/>
        </w:rPr>
        <w:t xml:space="preserve">, </w:t>
      </w:r>
      <w:r w:rsidR="00901A3B">
        <w:rPr>
          <w:rFonts w:ascii="Calibri" w:hAnsi="Calibri" w:cs="Calibri"/>
          <w:sz w:val="22"/>
          <w:szCs w:val="22"/>
        </w:rPr>
        <w:t>there is a necessary</w:t>
      </w:r>
      <w:r w:rsidR="00901A3B" w:rsidRPr="00136F3A">
        <w:rPr>
          <w:rFonts w:ascii="Calibri" w:hAnsi="Calibri" w:cs="Calibri"/>
          <w:sz w:val="22"/>
          <w:szCs w:val="22"/>
        </w:rPr>
        <w:t xml:space="preserve"> consideration of research ethics </w:t>
      </w:r>
      <w:r w:rsidR="00901A3B">
        <w:rPr>
          <w:rFonts w:ascii="Calibri" w:hAnsi="Calibri" w:cs="Calibri"/>
          <w:sz w:val="22"/>
          <w:szCs w:val="22"/>
        </w:rPr>
        <w:t>which take account</w:t>
      </w:r>
      <w:r w:rsidR="00901A3B" w:rsidRPr="00136F3A">
        <w:rPr>
          <w:rFonts w:ascii="Calibri" w:hAnsi="Calibri" w:cs="Calibri"/>
          <w:sz w:val="22"/>
          <w:szCs w:val="22"/>
        </w:rPr>
        <w:t xml:space="preserve"> </w:t>
      </w:r>
      <w:r w:rsidR="00901A3B">
        <w:rPr>
          <w:rFonts w:ascii="Calibri" w:hAnsi="Calibri" w:cs="Calibri"/>
          <w:sz w:val="22"/>
          <w:szCs w:val="22"/>
        </w:rPr>
        <w:t>of</w:t>
      </w:r>
      <w:r w:rsidR="00901A3B" w:rsidRPr="00136F3A">
        <w:rPr>
          <w:rFonts w:ascii="Calibri" w:hAnsi="Calibri" w:cs="Calibri"/>
          <w:sz w:val="22"/>
          <w:szCs w:val="22"/>
        </w:rPr>
        <w:t xml:space="preserve"> </w:t>
      </w:r>
      <w:r w:rsidR="00901A3B">
        <w:rPr>
          <w:rFonts w:ascii="Calibri" w:hAnsi="Calibri" w:cs="Calibri"/>
          <w:sz w:val="22"/>
          <w:szCs w:val="22"/>
        </w:rPr>
        <w:t xml:space="preserve">corporate, </w:t>
      </w:r>
      <w:proofErr w:type="gramStart"/>
      <w:r w:rsidR="00901A3B">
        <w:rPr>
          <w:rFonts w:ascii="Calibri" w:hAnsi="Calibri" w:cs="Calibri"/>
          <w:sz w:val="22"/>
          <w:szCs w:val="22"/>
        </w:rPr>
        <w:t>legal</w:t>
      </w:r>
      <w:proofErr w:type="gramEnd"/>
      <w:r w:rsidR="00901A3B">
        <w:rPr>
          <w:rFonts w:ascii="Calibri" w:hAnsi="Calibri" w:cs="Calibri"/>
          <w:sz w:val="22"/>
          <w:szCs w:val="22"/>
        </w:rPr>
        <w:t xml:space="preserve"> and critically, </w:t>
      </w:r>
      <w:r w:rsidR="00901A3B" w:rsidRPr="00136F3A">
        <w:rPr>
          <w:rFonts w:ascii="Calibri" w:hAnsi="Calibri" w:cs="Calibri"/>
          <w:sz w:val="22"/>
          <w:szCs w:val="22"/>
        </w:rPr>
        <w:t xml:space="preserve">medico-legal ethics. Within this, the key ethical considerations are that of individual autonomy, beneficence, non-maleficence and justice </w:t>
      </w:r>
      <w:r w:rsidR="00901A3B" w:rsidRPr="00136F3A">
        <w:rPr>
          <w:rFonts w:ascii="Calibri" w:hAnsi="Calibri" w:cs="Calibri"/>
          <w:sz w:val="22"/>
          <w:szCs w:val="22"/>
        </w:rPr>
        <w:fldChar w:fldCharType="begin" w:fldLock="1"/>
      </w:r>
      <w:r w:rsidR="00901A3B" w:rsidRPr="00136F3A">
        <w:rPr>
          <w:rFonts w:ascii="Calibri" w:hAnsi="Calibri" w:cs="Calibri"/>
          <w:sz w:val="22"/>
          <w:szCs w:val="22"/>
        </w:rPr>
        <w:instrText>ADDIN CSL_CITATION {"citationItems":[{"id":"ITEM-1","itemData":{"author":[{"dropping-particle":"","family":"Brazier","given":"Margaret","non-dropping-particle":"","parse-names":false,"suffix":""},{"dropping-particle":"","family":"Cave","given":"Emma","non-dropping-particle":"","parse-names":false,"suffix":""}],"edition":"6","id":"ITEM-1","issued":{"date-parts":[["2016"]]},"publisher":"Manchester University Press","title":"Medicine, Patients and the Law","type":"book"},"locator":"67-70","uris":["http://www.mendeley.com/documents/?uuid=d09880e2-3ad4-4d7a-98be-b7e01b898609"]}],"mendeley":{"formattedCitation":"(Brazier and Cave, 2016, pp. 67–70)","plainTextFormattedCitation":"(Brazier and Cave, 2016, pp. 67–70)","previouslyFormattedCitation":"(Brazier and Cave, 2016, pp. 67–70)"},"properties":{"noteIndex":0},"schema":"https://github.com/citation-style-language/schema/raw/master/csl-citation.json"}</w:instrText>
      </w:r>
      <w:r w:rsidR="00901A3B" w:rsidRPr="00136F3A">
        <w:rPr>
          <w:rFonts w:ascii="Calibri" w:hAnsi="Calibri" w:cs="Calibri"/>
          <w:sz w:val="22"/>
          <w:szCs w:val="22"/>
        </w:rPr>
        <w:fldChar w:fldCharType="separate"/>
      </w:r>
      <w:r w:rsidR="00901A3B" w:rsidRPr="00136F3A">
        <w:rPr>
          <w:rFonts w:ascii="Calibri" w:hAnsi="Calibri" w:cs="Calibri"/>
          <w:noProof/>
          <w:sz w:val="22"/>
          <w:szCs w:val="22"/>
        </w:rPr>
        <w:t>(Brazier and Cave, 2016, pp. 67–70)</w:t>
      </w:r>
      <w:r w:rsidR="00901A3B" w:rsidRPr="00136F3A">
        <w:rPr>
          <w:rFonts w:ascii="Calibri" w:hAnsi="Calibri" w:cs="Calibri"/>
          <w:sz w:val="22"/>
          <w:szCs w:val="22"/>
        </w:rPr>
        <w:fldChar w:fldCharType="end"/>
      </w:r>
      <w:r w:rsidR="00901A3B" w:rsidRPr="00136F3A">
        <w:rPr>
          <w:rFonts w:ascii="Calibri" w:hAnsi="Calibri" w:cs="Calibri"/>
          <w:sz w:val="22"/>
          <w:szCs w:val="22"/>
        </w:rPr>
        <w:t xml:space="preserve">. Whilst </w:t>
      </w:r>
      <w:r w:rsidR="00901A3B" w:rsidRPr="00136F3A">
        <w:rPr>
          <w:rFonts w:ascii="Calibri" w:hAnsi="Calibri" w:cs="Calibri"/>
          <w:i/>
          <w:iCs/>
          <w:sz w:val="22"/>
          <w:szCs w:val="22"/>
        </w:rPr>
        <w:t xml:space="preserve">prima facie </w:t>
      </w:r>
      <w:r w:rsidR="00901A3B" w:rsidRPr="00136F3A">
        <w:rPr>
          <w:rFonts w:ascii="Calibri" w:hAnsi="Calibri" w:cs="Calibri"/>
          <w:sz w:val="22"/>
          <w:szCs w:val="22"/>
        </w:rPr>
        <w:t xml:space="preserve">distinct to clinical practice, </w:t>
      </w:r>
      <w:r w:rsidR="00901A3B">
        <w:rPr>
          <w:rFonts w:ascii="Calibri" w:hAnsi="Calibri" w:cs="Calibri"/>
          <w:sz w:val="22"/>
          <w:szCs w:val="22"/>
        </w:rPr>
        <w:t>the</w:t>
      </w:r>
      <w:r w:rsidR="00901A3B" w:rsidRPr="00136F3A">
        <w:rPr>
          <w:rFonts w:ascii="Calibri" w:hAnsi="Calibri" w:cs="Calibri"/>
          <w:sz w:val="22"/>
          <w:szCs w:val="22"/>
        </w:rPr>
        <w:t xml:space="preserve"> </w:t>
      </w:r>
      <w:r w:rsidR="00901A3B" w:rsidRPr="00136F3A">
        <w:rPr>
          <w:rFonts w:ascii="Calibri" w:hAnsi="Calibri" w:cs="Calibri"/>
          <w:sz w:val="22"/>
          <w:szCs w:val="22"/>
        </w:rPr>
        <w:t xml:space="preserve">principles </w:t>
      </w:r>
      <w:r w:rsidR="00901A3B">
        <w:rPr>
          <w:rFonts w:ascii="Calibri" w:hAnsi="Calibri" w:cs="Calibri"/>
          <w:sz w:val="22"/>
          <w:szCs w:val="22"/>
        </w:rPr>
        <w:t xml:space="preserve">of biomedical ethics </w:t>
      </w:r>
      <w:r w:rsidR="00901A3B" w:rsidRPr="00136F3A">
        <w:rPr>
          <w:rFonts w:ascii="Calibri" w:hAnsi="Calibri" w:cs="Calibri"/>
          <w:sz w:val="22"/>
          <w:szCs w:val="22"/>
        </w:rPr>
        <w:t>permeate significantly into considerations across disciplines, including human rights</w:t>
      </w:r>
      <w:r w:rsidR="00901A3B">
        <w:rPr>
          <w:rFonts w:ascii="Calibri" w:hAnsi="Calibri" w:cs="Calibri"/>
          <w:sz w:val="22"/>
          <w:szCs w:val="22"/>
        </w:rPr>
        <w:t xml:space="preserve"> research</w:t>
      </w:r>
      <w:r w:rsidR="00901A3B" w:rsidRPr="00136F3A">
        <w:rPr>
          <w:rFonts w:ascii="Calibri" w:hAnsi="Calibri" w:cs="Calibri"/>
          <w:sz w:val="22"/>
          <w:szCs w:val="22"/>
        </w:rPr>
        <w:t xml:space="preserve"> in particular </w:t>
      </w:r>
      <w:r w:rsidR="00901A3B" w:rsidRPr="00136F3A">
        <w:rPr>
          <w:rFonts w:ascii="Calibri" w:hAnsi="Calibri" w:cs="Calibri"/>
          <w:sz w:val="22"/>
          <w:szCs w:val="22"/>
        </w:rPr>
        <w:fldChar w:fldCharType="begin" w:fldLock="1"/>
      </w:r>
      <w:r w:rsidR="00901A3B" w:rsidRPr="00136F3A">
        <w:rPr>
          <w:rFonts w:ascii="Calibri" w:hAnsi="Calibri" w:cs="Calibri"/>
          <w:sz w:val="22"/>
          <w:szCs w:val="22"/>
        </w:rPr>
        <w:instrText>ADDIN CSL_CITATION {"citationItems":[{"id":"ITEM-1","itemData":{"author":[{"dropping-particle":"","family":"Ulrich","given":"George","non-dropping-particle":"","parse-names":false,"suffix":""}],"chapter-number":"9","container-title":"Research Methods in Human Rights: A Handbook","editor":[{"dropping-particle":"","family":"Andreassen","given":"Bård A.","non-dropping-particle":"","parse-names":false,"suffix":""},{"dropping-particle":"","family":"Sano","given":"Hans Otto","non-dropping-particle":"","parse-names":false,"suffix":""},{"dropping-particle":"","family":"McInerney-Lankford","given":"Siobhán","non-dropping-particle":"","parse-names":false,"suffix":""}],"id":"ITEM-1","issued":{"date-parts":[["2017"]]},"page":"192-221","publisher":"Edward Elgar Publishing","title":"Research ethics for human rights researchers","type":"chapter"},"locator":"196","uris":["http://www.mendeley.com/documents/?uuid=18bacce6-85a7-4bbf-9c57-58d52cf5cddd"]}],"mendeley":{"formattedCitation":"(Ulrich, 2017, p. 196)","plainTextFormattedCitation":"(Ulrich, 2017, p. 196)","previouslyFormattedCitation":"(Ulrich, 2017, p. 196)"},"properties":{"noteIndex":0},"schema":"https://github.com/citation-style-language/schema/raw/master/csl-citation.json"}</w:instrText>
      </w:r>
      <w:r w:rsidR="00901A3B" w:rsidRPr="00136F3A">
        <w:rPr>
          <w:rFonts w:ascii="Calibri" w:hAnsi="Calibri" w:cs="Calibri"/>
          <w:sz w:val="22"/>
          <w:szCs w:val="22"/>
        </w:rPr>
        <w:fldChar w:fldCharType="separate"/>
      </w:r>
      <w:r w:rsidR="00901A3B" w:rsidRPr="00136F3A">
        <w:rPr>
          <w:rFonts w:ascii="Calibri" w:hAnsi="Calibri" w:cs="Calibri"/>
          <w:noProof/>
          <w:sz w:val="22"/>
          <w:szCs w:val="22"/>
        </w:rPr>
        <w:t>(Ulrich, 2017, p. 196)</w:t>
      </w:r>
      <w:r w:rsidR="00901A3B" w:rsidRPr="00136F3A">
        <w:rPr>
          <w:rFonts w:ascii="Calibri" w:hAnsi="Calibri" w:cs="Calibri"/>
          <w:sz w:val="22"/>
          <w:szCs w:val="22"/>
        </w:rPr>
        <w:fldChar w:fldCharType="end"/>
      </w:r>
      <w:r w:rsidR="00901A3B" w:rsidRPr="00136F3A">
        <w:rPr>
          <w:rFonts w:ascii="Calibri" w:hAnsi="Calibri" w:cs="Calibri"/>
          <w:sz w:val="22"/>
          <w:szCs w:val="22"/>
        </w:rPr>
        <w:t xml:space="preserve">. Considering this necessary exchange, one must bear in mind the </w:t>
      </w:r>
      <w:r w:rsidR="00901A3B" w:rsidRPr="00136F3A">
        <w:rPr>
          <w:rFonts w:ascii="Calibri" w:hAnsi="Calibri" w:cs="Calibri"/>
          <w:i/>
          <w:iCs/>
          <w:sz w:val="22"/>
          <w:szCs w:val="22"/>
        </w:rPr>
        <w:t>medical</w:t>
      </w:r>
      <w:r w:rsidR="00901A3B" w:rsidRPr="00136F3A">
        <w:rPr>
          <w:rFonts w:ascii="Calibri" w:hAnsi="Calibri" w:cs="Calibri"/>
          <w:sz w:val="22"/>
          <w:szCs w:val="22"/>
        </w:rPr>
        <w:t xml:space="preserve"> context within which </w:t>
      </w:r>
      <w:r w:rsidR="00901A3B">
        <w:rPr>
          <w:rFonts w:ascii="Calibri" w:hAnsi="Calibri" w:cs="Calibri"/>
          <w:sz w:val="22"/>
          <w:szCs w:val="22"/>
        </w:rPr>
        <w:t xml:space="preserve">such </w:t>
      </w:r>
      <w:r w:rsidR="00901A3B" w:rsidRPr="00136F3A">
        <w:rPr>
          <w:rFonts w:ascii="Calibri" w:hAnsi="Calibri" w:cs="Calibri"/>
          <w:sz w:val="22"/>
          <w:szCs w:val="22"/>
        </w:rPr>
        <w:t xml:space="preserve">research takes place. There is something innately personal about the field of medicine. It takes hold of the essence of an individual’s wellbeing and thus, their life itself. The researcher must be aware of </w:t>
      </w:r>
      <w:r w:rsidR="00901A3B">
        <w:rPr>
          <w:rFonts w:ascii="Calibri" w:hAnsi="Calibri" w:cs="Calibri"/>
          <w:sz w:val="22"/>
          <w:szCs w:val="22"/>
        </w:rPr>
        <w:t>the</w:t>
      </w:r>
      <w:r w:rsidR="00901A3B" w:rsidRPr="00136F3A">
        <w:rPr>
          <w:rFonts w:ascii="Calibri" w:hAnsi="Calibri" w:cs="Calibri"/>
          <w:sz w:val="22"/>
          <w:szCs w:val="22"/>
        </w:rPr>
        <w:t xml:space="preserve"> second degree of sensitivity inherent within the reported cases of </w:t>
      </w:r>
      <w:r w:rsidR="00901A3B">
        <w:rPr>
          <w:rFonts w:ascii="Calibri" w:hAnsi="Calibri" w:cs="Calibri"/>
          <w:sz w:val="22"/>
          <w:szCs w:val="22"/>
        </w:rPr>
        <w:t>rights abuse</w:t>
      </w:r>
      <w:r w:rsidR="00901A3B" w:rsidRPr="00136F3A">
        <w:rPr>
          <w:rFonts w:ascii="Calibri" w:hAnsi="Calibri" w:cs="Calibri"/>
          <w:sz w:val="22"/>
          <w:szCs w:val="22"/>
        </w:rPr>
        <w:t xml:space="preserve">, unique to the clinical context. By approaching research with the principles of clinical ethics noted above, the research </w:t>
      </w:r>
      <w:r w:rsidR="00901A3B">
        <w:rPr>
          <w:rFonts w:ascii="Calibri" w:hAnsi="Calibri" w:cs="Calibri"/>
          <w:sz w:val="22"/>
          <w:szCs w:val="22"/>
        </w:rPr>
        <w:t>can</w:t>
      </w:r>
      <w:r w:rsidR="00901A3B" w:rsidRPr="00136F3A">
        <w:rPr>
          <w:rFonts w:ascii="Calibri" w:hAnsi="Calibri" w:cs="Calibri"/>
          <w:sz w:val="22"/>
          <w:szCs w:val="22"/>
        </w:rPr>
        <w:t xml:space="preserve"> better align themselves with the ethical context of the world within which these violations occur and can therefore better ethically navigate that world in a manner </w:t>
      </w:r>
      <w:r w:rsidR="00901A3B">
        <w:rPr>
          <w:rFonts w:ascii="Calibri" w:hAnsi="Calibri" w:cs="Calibri"/>
          <w:sz w:val="22"/>
          <w:szCs w:val="22"/>
        </w:rPr>
        <w:t>that</w:t>
      </w:r>
      <w:r w:rsidR="00901A3B" w:rsidRPr="00136F3A">
        <w:rPr>
          <w:rFonts w:ascii="Calibri" w:hAnsi="Calibri" w:cs="Calibri"/>
          <w:sz w:val="22"/>
          <w:szCs w:val="22"/>
        </w:rPr>
        <w:t xml:space="preserve"> is beneficial not only ethically, but also in the production of quality research, affirming the inherent link between good ethical practice and positive research outcomes </w:t>
      </w:r>
      <w:r w:rsidR="00901A3B" w:rsidRPr="00136F3A">
        <w:rPr>
          <w:rFonts w:ascii="Calibri" w:hAnsi="Calibri" w:cs="Calibri"/>
          <w:sz w:val="22"/>
          <w:szCs w:val="22"/>
        </w:rPr>
        <w:fldChar w:fldCharType="begin" w:fldLock="1"/>
      </w:r>
      <w:r w:rsidR="00901A3B" w:rsidRPr="00136F3A">
        <w:rPr>
          <w:rFonts w:ascii="Calibri" w:hAnsi="Calibri" w:cs="Calibri"/>
          <w:sz w:val="22"/>
          <w:szCs w:val="22"/>
        </w:rPr>
        <w:instrText>ADDIN CSL_CITATION {"citationItems":[{"id":"ITEM-1","itemData":{"author":[{"dropping-particle":"","family":"Ulrich","given":"George","non-dropping-particle":"","parse-names":false,"suffix":""}],"chapter-number":"9","container-title":"Research Methods in Human Rights: A Handbook","editor":[{"dropping-particle":"","family":"Andreassen","given":"Bård A.","non-dropping-particle":"","parse-names":false,"suffix":""},{"dropping-particle":"","family":"Sano","given":"Hans Otto","non-dropping-particle":"","parse-names":false,"suffix":""},{"dropping-particle":"","family":"McInerney-Lankford","given":"Siobhán","non-dropping-particle":"","parse-names":false,"suffix":""}],"id":"ITEM-1","issued":{"date-parts":[["2017"]]},"page":"192-221","publisher":"Edward Elgar Publishing","title":"Research ethics for human rights researchers","type":"chapter"},"locator":"193","uris":["http://www.mendeley.com/documents/?uuid=18bacce6-85a7-4bbf-9c57-58d52cf5cddd"]}],"mendeley":{"formattedCitation":"(Ulrich, 2017, p. 193)","plainTextFormattedCitation":"(Ulrich, 2017, p. 193)","previouslyFormattedCitation":"(Ulrich, 2017, p. 193)"},"properties":{"noteIndex":0},"schema":"https://github.com/citation-style-language/schema/raw/master/csl-citation.json"}</w:instrText>
      </w:r>
      <w:r w:rsidR="00901A3B" w:rsidRPr="00136F3A">
        <w:rPr>
          <w:rFonts w:ascii="Calibri" w:hAnsi="Calibri" w:cs="Calibri"/>
          <w:sz w:val="22"/>
          <w:szCs w:val="22"/>
        </w:rPr>
        <w:fldChar w:fldCharType="separate"/>
      </w:r>
      <w:r w:rsidR="00901A3B" w:rsidRPr="00136F3A">
        <w:rPr>
          <w:rFonts w:ascii="Calibri" w:hAnsi="Calibri" w:cs="Calibri"/>
          <w:noProof/>
          <w:sz w:val="22"/>
          <w:szCs w:val="22"/>
        </w:rPr>
        <w:t>(Ulrich, 2017, p. 193)</w:t>
      </w:r>
      <w:r w:rsidR="00901A3B" w:rsidRPr="00136F3A">
        <w:rPr>
          <w:rFonts w:ascii="Calibri" w:hAnsi="Calibri" w:cs="Calibri"/>
          <w:sz w:val="22"/>
          <w:szCs w:val="22"/>
        </w:rPr>
        <w:fldChar w:fldCharType="end"/>
      </w:r>
      <w:r w:rsidR="00901A3B" w:rsidRPr="00136F3A">
        <w:rPr>
          <w:rFonts w:ascii="Calibri" w:hAnsi="Calibri" w:cs="Calibri"/>
          <w:sz w:val="22"/>
          <w:szCs w:val="22"/>
        </w:rPr>
        <w:t>.</w:t>
      </w:r>
    </w:p>
    <w:p w14:paraId="02827BB9" w14:textId="77777777" w:rsidR="00D55873" w:rsidRPr="00136F3A" w:rsidRDefault="00D55873" w:rsidP="00FF525C">
      <w:pPr>
        <w:jc w:val="both"/>
        <w:rPr>
          <w:rFonts w:ascii="Calibri" w:hAnsi="Calibri" w:cs="Calibri"/>
          <w:sz w:val="22"/>
          <w:szCs w:val="22"/>
        </w:rPr>
      </w:pPr>
    </w:p>
    <w:p w14:paraId="5DB323E3" w14:textId="7916B0C0" w:rsidR="00AC214E" w:rsidRDefault="001A189F" w:rsidP="00FF525C">
      <w:pPr>
        <w:jc w:val="both"/>
        <w:rPr>
          <w:rFonts w:ascii="Calibri" w:hAnsi="Calibri" w:cs="Calibri"/>
          <w:sz w:val="22"/>
          <w:szCs w:val="22"/>
        </w:rPr>
      </w:pPr>
      <w:r>
        <w:rPr>
          <w:rFonts w:ascii="Calibri" w:hAnsi="Calibri" w:cs="Calibri"/>
          <w:sz w:val="22"/>
          <w:szCs w:val="22"/>
        </w:rPr>
        <w:t>From the perspective of the ‘business’ element of the research, i</w:t>
      </w:r>
      <w:r w:rsidR="00121A30" w:rsidRPr="00136F3A">
        <w:rPr>
          <w:rFonts w:ascii="Calibri" w:hAnsi="Calibri" w:cs="Calibri"/>
          <w:sz w:val="22"/>
          <w:szCs w:val="22"/>
        </w:rPr>
        <w:t xml:space="preserve">t is important </w:t>
      </w:r>
      <w:r w:rsidR="00B22830" w:rsidRPr="00136F3A">
        <w:rPr>
          <w:rFonts w:ascii="Calibri" w:hAnsi="Calibri" w:cs="Calibri"/>
          <w:sz w:val="22"/>
          <w:szCs w:val="22"/>
        </w:rPr>
        <w:t xml:space="preserve">also </w:t>
      </w:r>
      <w:r w:rsidR="00121A30" w:rsidRPr="00136F3A">
        <w:rPr>
          <w:rFonts w:ascii="Calibri" w:hAnsi="Calibri" w:cs="Calibri"/>
          <w:sz w:val="22"/>
          <w:szCs w:val="22"/>
        </w:rPr>
        <w:t xml:space="preserve">to examine the broader political and social impact of the proposed research </w:t>
      </w:r>
      <w:r w:rsidR="00D54A42" w:rsidRPr="00136F3A">
        <w:rPr>
          <w:rFonts w:ascii="Calibri" w:hAnsi="Calibri" w:cs="Calibri"/>
          <w:sz w:val="22"/>
          <w:szCs w:val="22"/>
        </w:rPr>
        <w:fldChar w:fldCharType="begin" w:fldLock="1"/>
      </w:r>
      <w:r w:rsidR="00136C33" w:rsidRPr="00136F3A">
        <w:rPr>
          <w:rFonts w:ascii="Calibri" w:hAnsi="Calibri" w:cs="Calibri"/>
          <w:sz w:val="22"/>
          <w:szCs w:val="22"/>
        </w:rPr>
        <w:instrText>ADDIN CSL_CITATION {"citationItems":[{"id":"ITEM-1","itemData":{"author":[{"dropping-particle":"","family":"UK Socio-Legal Studies Association","given":"","non-dropping-particle":"","parse-names":false,"suffix":""}],"id":"ITEM-1","issued":{"date-parts":[["2009"]]},"number-of-pages":"1-9","title":"Statement of Principles of Ethical Research Practice","type":"report"},"locator":"7","uris":["http://www.mendeley.com/documents/?uuid=f2af032b-e6d3-4042-a59d-523181eae21c"]}],"mendeley":{"formattedCitation":"(UK Socio-Legal Studies Association, 2009, p. 7)","plainTextFormattedCitation":"(UK Socio-Legal Studies Association, 2009, p. 7)","previouslyFormattedCitation":"(UK Socio-Legal Studies Association, 2009, p. 7)"},"properties":{"noteIndex":0},"schema":"https://github.com/citation-style-language/schema/raw/master/csl-citation.json"}</w:instrText>
      </w:r>
      <w:r w:rsidR="00D54A42" w:rsidRPr="00136F3A">
        <w:rPr>
          <w:rFonts w:ascii="Calibri" w:hAnsi="Calibri" w:cs="Calibri"/>
          <w:sz w:val="22"/>
          <w:szCs w:val="22"/>
        </w:rPr>
        <w:fldChar w:fldCharType="separate"/>
      </w:r>
      <w:r w:rsidR="00D54A42" w:rsidRPr="00136F3A">
        <w:rPr>
          <w:rFonts w:ascii="Calibri" w:hAnsi="Calibri" w:cs="Calibri"/>
          <w:noProof/>
          <w:sz w:val="22"/>
          <w:szCs w:val="22"/>
        </w:rPr>
        <w:t>(UK Socio-Legal Studies Association, 2009, p. 7)</w:t>
      </w:r>
      <w:r w:rsidR="00D54A42" w:rsidRPr="00136F3A">
        <w:rPr>
          <w:rFonts w:ascii="Calibri" w:hAnsi="Calibri" w:cs="Calibri"/>
          <w:sz w:val="22"/>
          <w:szCs w:val="22"/>
        </w:rPr>
        <w:fldChar w:fldCharType="end"/>
      </w:r>
      <w:r w:rsidR="007D3033" w:rsidRPr="00136F3A">
        <w:rPr>
          <w:rFonts w:ascii="Calibri" w:hAnsi="Calibri" w:cs="Calibri"/>
          <w:sz w:val="22"/>
          <w:szCs w:val="22"/>
        </w:rPr>
        <w:t>.</w:t>
      </w:r>
      <w:r w:rsidR="00686787" w:rsidRPr="00136F3A">
        <w:rPr>
          <w:rFonts w:ascii="Calibri" w:hAnsi="Calibri" w:cs="Calibri"/>
          <w:sz w:val="22"/>
          <w:szCs w:val="22"/>
        </w:rPr>
        <w:t xml:space="preserve"> </w:t>
      </w:r>
      <w:r w:rsidR="003E34C5">
        <w:rPr>
          <w:rFonts w:ascii="Calibri" w:hAnsi="Calibri" w:cs="Calibri"/>
          <w:sz w:val="22"/>
          <w:szCs w:val="22"/>
        </w:rPr>
        <w:t>From</w:t>
      </w:r>
      <w:r w:rsidR="00C63279" w:rsidRPr="00136F3A">
        <w:rPr>
          <w:rFonts w:ascii="Calibri" w:hAnsi="Calibri" w:cs="Calibri"/>
          <w:sz w:val="22"/>
          <w:szCs w:val="22"/>
        </w:rPr>
        <w:t xml:space="preserve"> the perspective of the </w:t>
      </w:r>
      <w:proofErr w:type="gramStart"/>
      <w:r w:rsidR="00C63279" w:rsidRPr="00136F3A">
        <w:rPr>
          <w:rFonts w:ascii="Calibri" w:hAnsi="Calibri" w:cs="Calibri"/>
          <w:sz w:val="22"/>
          <w:szCs w:val="22"/>
        </w:rPr>
        <w:t>corporation</w:t>
      </w:r>
      <w:r w:rsidR="007D3033" w:rsidRPr="00136F3A">
        <w:rPr>
          <w:rFonts w:ascii="Calibri" w:hAnsi="Calibri" w:cs="Calibri"/>
          <w:sz w:val="22"/>
          <w:szCs w:val="22"/>
        </w:rPr>
        <w:t>;</w:t>
      </w:r>
      <w:proofErr w:type="gramEnd"/>
      <w:r w:rsidR="00C63279" w:rsidRPr="00136F3A">
        <w:rPr>
          <w:rFonts w:ascii="Calibri" w:hAnsi="Calibri" w:cs="Calibri"/>
          <w:sz w:val="22"/>
          <w:szCs w:val="22"/>
        </w:rPr>
        <w:t xml:space="preserve"> where </w:t>
      </w:r>
      <w:r w:rsidR="005748E7">
        <w:rPr>
          <w:rFonts w:ascii="Calibri" w:hAnsi="Calibri" w:cs="Calibri"/>
          <w:sz w:val="22"/>
          <w:szCs w:val="22"/>
        </w:rPr>
        <w:t xml:space="preserve">the </w:t>
      </w:r>
      <w:r w:rsidR="00C63279" w:rsidRPr="00136F3A">
        <w:rPr>
          <w:rFonts w:ascii="Calibri" w:hAnsi="Calibri" w:cs="Calibri"/>
          <w:sz w:val="22"/>
          <w:szCs w:val="22"/>
        </w:rPr>
        <w:t xml:space="preserve">practice </w:t>
      </w:r>
      <w:r w:rsidR="00876F7C">
        <w:rPr>
          <w:rFonts w:ascii="Calibri" w:hAnsi="Calibri" w:cs="Calibri"/>
          <w:sz w:val="22"/>
          <w:szCs w:val="22"/>
        </w:rPr>
        <w:t>causes</w:t>
      </w:r>
      <w:r w:rsidR="00C63279" w:rsidRPr="00136F3A">
        <w:rPr>
          <w:rFonts w:ascii="Calibri" w:hAnsi="Calibri" w:cs="Calibri"/>
          <w:sz w:val="22"/>
          <w:szCs w:val="22"/>
        </w:rPr>
        <w:t xml:space="preserve"> harm, yet </w:t>
      </w:r>
      <w:r w:rsidR="00683F56" w:rsidRPr="00136F3A">
        <w:rPr>
          <w:rFonts w:ascii="Calibri" w:hAnsi="Calibri" w:cs="Calibri"/>
          <w:sz w:val="22"/>
          <w:szCs w:val="22"/>
        </w:rPr>
        <w:t xml:space="preserve">does not technically violate any </w:t>
      </w:r>
      <w:r w:rsidR="00B45797" w:rsidRPr="00136F3A">
        <w:rPr>
          <w:rFonts w:ascii="Calibri" w:hAnsi="Calibri" w:cs="Calibri"/>
          <w:sz w:val="22"/>
          <w:szCs w:val="22"/>
        </w:rPr>
        <w:t>law</w:t>
      </w:r>
      <w:r w:rsidR="00683F56" w:rsidRPr="00136F3A">
        <w:rPr>
          <w:rFonts w:ascii="Calibri" w:hAnsi="Calibri" w:cs="Calibri"/>
          <w:sz w:val="22"/>
          <w:szCs w:val="22"/>
        </w:rPr>
        <w:t xml:space="preserve">, </w:t>
      </w:r>
      <w:r w:rsidR="007156A2">
        <w:rPr>
          <w:rFonts w:ascii="Calibri" w:hAnsi="Calibri" w:cs="Calibri"/>
          <w:sz w:val="22"/>
          <w:szCs w:val="22"/>
        </w:rPr>
        <w:t>how must blame be attributed</w:t>
      </w:r>
      <w:r w:rsidR="0038633A" w:rsidRPr="00136F3A">
        <w:rPr>
          <w:rFonts w:ascii="Calibri" w:hAnsi="Calibri" w:cs="Calibri"/>
          <w:sz w:val="22"/>
          <w:szCs w:val="22"/>
        </w:rPr>
        <w:t>?</w:t>
      </w:r>
      <w:r w:rsidR="00683F56" w:rsidRPr="00136F3A">
        <w:rPr>
          <w:rFonts w:ascii="Calibri" w:hAnsi="Calibri" w:cs="Calibri"/>
          <w:sz w:val="22"/>
          <w:szCs w:val="22"/>
        </w:rPr>
        <w:t xml:space="preserve"> </w:t>
      </w:r>
      <w:r w:rsidR="0038633A" w:rsidRPr="00136F3A">
        <w:rPr>
          <w:rFonts w:ascii="Calibri" w:hAnsi="Calibri" w:cs="Calibri"/>
          <w:sz w:val="22"/>
          <w:szCs w:val="22"/>
        </w:rPr>
        <w:t>F</w:t>
      </w:r>
      <w:r w:rsidR="00683F56" w:rsidRPr="00136F3A">
        <w:rPr>
          <w:rFonts w:ascii="Calibri" w:hAnsi="Calibri" w:cs="Calibri"/>
          <w:sz w:val="22"/>
          <w:szCs w:val="22"/>
        </w:rPr>
        <w:t>urther</w:t>
      </w:r>
      <w:r w:rsidR="0038633A" w:rsidRPr="00136F3A">
        <w:rPr>
          <w:rFonts w:ascii="Calibri" w:hAnsi="Calibri" w:cs="Calibri"/>
          <w:sz w:val="22"/>
          <w:szCs w:val="22"/>
        </w:rPr>
        <w:t>more,</w:t>
      </w:r>
      <w:r w:rsidR="00683F56" w:rsidRPr="00136F3A">
        <w:rPr>
          <w:rFonts w:ascii="Calibri" w:hAnsi="Calibri" w:cs="Calibri"/>
          <w:sz w:val="22"/>
          <w:szCs w:val="22"/>
        </w:rPr>
        <w:t xml:space="preserve"> where must </w:t>
      </w:r>
      <w:r w:rsidR="000754FE">
        <w:rPr>
          <w:rFonts w:ascii="Calibri" w:hAnsi="Calibri" w:cs="Calibri"/>
          <w:sz w:val="22"/>
          <w:szCs w:val="22"/>
        </w:rPr>
        <w:t xml:space="preserve">the </w:t>
      </w:r>
      <w:r w:rsidR="00683F56" w:rsidRPr="00136F3A">
        <w:rPr>
          <w:rFonts w:ascii="Calibri" w:hAnsi="Calibri" w:cs="Calibri"/>
          <w:sz w:val="22"/>
          <w:szCs w:val="22"/>
        </w:rPr>
        <w:t>ethical</w:t>
      </w:r>
      <w:r w:rsidR="000754FE">
        <w:rPr>
          <w:rFonts w:ascii="Calibri" w:hAnsi="Calibri" w:cs="Calibri"/>
          <w:sz w:val="22"/>
          <w:szCs w:val="22"/>
        </w:rPr>
        <w:t xml:space="preserve"> line </w:t>
      </w:r>
      <w:proofErr w:type="gramStart"/>
      <w:r w:rsidR="000754FE">
        <w:rPr>
          <w:rFonts w:ascii="Calibri" w:hAnsi="Calibri" w:cs="Calibri"/>
          <w:sz w:val="22"/>
          <w:szCs w:val="22"/>
        </w:rPr>
        <w:t>be drawn</w:t>
      </w:r>
      <w:proofErr w:type="gramEnd"/>
      <w:r w:rsidR="00683F56" w:rsidRPr="00136F3A">
        <w:rPr>
          <w:rFonts w:ascii="Calibri" w:hAnsi="Calibri" w:cs="Calibri"/>
          <w:sz w:val="22"/>
          <w:szCs w:val="22"/>
        </w:rPr>
        <w:t xml:space="preserve"> between the attribution of responsibility and the attribution of accountability?</w:t>
      </w:r>
      <w:r w:rsidR="002422DC" w:rsidRPr="00136F3A">
        <w:rPr>
          <w:rFonts w:ascii="Calibri" w:hAnsi="Calibri" w:cs="Calibri"/>
          <w:sz w:val="22"/>
          <w:szCs w:val="22"/>
        </w:rPr>
        <w:t xml:space="preserve"> </w:t>
      </w:r>
      <w:r w:rsidR="0038633A" w:rsidRPr="00136F3A">
        <w:rPr>
          <w:rFonts w:ascii="Calibri" w:hAnsi="Calibri" w:cs="Calibri"/>
          <w:sz w:val="22"/>
          <w:szCs w:val="22"/>
        </w:rPr>
        <w:t>E</w:t>
      </w:r>
      <w:r w:rsidR="002422DC" w:rsidRPr="00136F3A">
        <w:rPr>
          <w:rFonts w:ascii="Calibri" w:hAnsi="Calibri" w:cs="Calibri"/>
          <w:sz w:val="22"/>
          <w:szCs w:val="22"/>
        </w:rPr>
        <w:t xml:space="preserve">thical questions </w:t>
      </w:r>
      <w:proofErr w:type="gramStart"/>
      <w:r w:rsidR="002422DC" w:rsidRPr="00136F3A">
        <w:rPr>
          <w:rFonts w:ascii="Calibri" w:hAnsi="Calibri" w:cs="Calibri"/>
          <w:sz w:val="22"/>
          <w:szCs w:val="22"/>
        </w:rPr>
        <w:t>are also raised</w:t>
      </w:r>
      <w:proofErr w:type="gramEnd"/>
      <w:r w:rsidR="002422DC" w:rsidRPr="00136F3A">
        <w:rPr>
          <w:rFonts w:ascii="Calibri" w:hAnsi="Calibri" w:cs="Calibri"/>
          <w:sz w:val="22"/>
          <w:szCs w:val="22"/>
        </w:rPr>
        <w:t xml:space="preserve"> as to the positions of pharmaceutical companies as developers and producers of essential medicines. Indeed, </w:t>
      </w:r>
      <w:r w:rsidR="005748E7">
        <w:rPr>
          <w:rFonts w:ascii="Calibri" w:hAnsi="Calibri" w:cs="Calibri"/>
          <w:sz w:val="22"/>
          <w:szCs w:val="22"/>
        </w:rPr>
        <w:t>whilst</w:t>
      </w:r>
      <w:r w:rsidR="002422DC" w:rsidRPr="00136F3A">
        <w:rPr>
          <w:rFonts w:ascii="Calibri" w:hAnsi="Calibri" w:cs="Calibri"/>
          <w:sz w:val="22"/>
          <w:szCs w:val="22"/>
        </w:rPr>
        <w:t xml:space="preserve"> this might </w:t>
      </w:r>
      <w:r w:rsidR="00B45797" w:rsidRPr="00136F3A">
        <w:rPr>
          <w:rFonts w:ascii="Calibri" w:hAnsi="Calibri" w:cs="Calibri"/>
          <w:sz w:val="22"/>
          <w:szCs w:val="22"/>
        </w:rPr>
        <w:t>supply</w:t>
      </w:r>
      <w:r w:rsidR="002422DC" w:rsidRPr="00136F3A">
        <w:rPr>
          <w:rFonts w:ascii="Calibri" w:hAnsi="Calibri" w:cs="Calibri"/>
          <w:sz w:val="22"/>
          <w:szCs w:val="22"/>
        </w:rPr>
        <w:t xml:space="preserve"> a platform for abuse, it is also a platform for </w:t>
      </w:r>
      <w:r w:rsidR="00E53289" w:rsidRPr="00136F3A">
        <w:rPr>
          <w:rFonts w:ascii="Calibri" w:hAnsi="Calibri" w:cs="Calibri"/>
          <w:sz w:val="22"/>
          <w:szCs w:val="22"/>
        </w:rPr>
        <w:t>good</w:t>
      </w:r>
      <w:r w:rsidR="008778C1" w:rsidRPr="00136F3A">
        <w:rPr>
          <w:rFonts w:ascii="Calibri" w:hAnsi="Calibri" w:cs="Calibri"/>
          <w:sz w:val="22"/>
          <w:szCs w:val="22"/>
        </w:rPr>
        <w:t xml:space="preserve"> and </w:t>
      </w:r>
      <w:r w:rsidR="00F532CD" w:rsidRPr="00136F3A">
        <w:rPr>
          <w:rFonts w:ascii="Calibri" w:hAnsi="Calibri" w:cs="Calibri"/>
          <w:sz w:val="22"/>
          <w:szCs w:val="22"/>
        </w:rPr>
        <w:t>is heavily relied upon.</w:t>
      </w:r>
      <w:r w:rsidR="001E2722">
        <w:rPr>
          <w:rFonts w:ascii="Calibri" w:hAnsi="Calibri" w:cs="Calibri"/>
          <w:sz w:val="22"/>
          <w:szCs w:val="22"/>
        </w:rPr>
        <w:t xml:space="preserve"> </w:t>
      </w:r>
      <w:r w:rsidR="008D1D37">
        <w:rPr>
          <w:rFonts w:ascii="Calibri" w:hAnsi="Calibri" w:cs="Calibri"/>
          <w:sz w:val="22"/>
          <w:szCs w:val="22"/>
        </w:rPr>
        <w:t xml:space="preserve">There is a duality in the relationship between the right to health and the pharmaceutical industry. </w:t>
      </w:r>
      <w:r w:rsidR="00781F5D">
        <w:rPr>
          <w:rFonts w:ascii="Calibri" w:hAnsi="Calibri" w:cs="Calibri"/>
          <w:sz w:val="22"/>
          <w:szCs w:val="22"/>
        </w:rPr>
        <w:t xml:space="preserve">They </w:t>
      </w:r>
      <w:r w:rsidR="00401535">
        <w:rPr>
          <w:rFonts w:ascii="Calibri" w:hAnsi="Calibri" w:cs="Calibri"/>
          <w:sz w:val="22"/>
          <w:szCs w:val="22"/>
        </w:rPr>
        <w:t>supply</w:t>
      </w:r>
      <w:r w:rsidR="00781F5D">
        <w:rPr>
          <w:rFonts w:ascii="Calibri" w:hAnsi="Calibri" w:cs="Calibri"/>
          <w:sz w:val="22"/>
          <w:szCs w:val="22"/>
        </w:rPr>
        <w:t xml:space="preserve"> those medicines which allow the state to fulfil its human rights obligations under the right to health, yet simultaneously exist as entities entirely capable</w:t>
      </w:r>
      <w:r w:rsidR="00E33D91">
        <w:rPr>
          <w:rFonts w:ascii="Calibri" w:hAnsi="Calibri" w:cs="Calibri"/>
          <w:sz w:val="22"/>
          <w:szCs w:val="22"/>
        </w:rPr>
        <w:t xml:space="preserve"> of (and often guilty of) directly infringing upon the right to health through pricing practices which </w:t>
      </w:r>
      <w:r w:rsidR="00B530E9">
        <w:rPr>
          <w:rFonts w:ascii="Calibri" w:hAnsi="Calibri" w:cs="Calibri"/>
          <w:sz w:val="22"/>
          <w:szCs w:val="22"/>
        </w:rPr>
        <w:t>restrict access to essential medicines. In this way, researchers must</w:t>
      </w:r>
      <w:r w:rsidR="00D42950">
        <w:rPr>
          <w:rFonts w:ascii="Calibri" w:hAnsi="Calibri" w:cs="Calibri"/>
          <w:sz w:val="22"/>
          <w:szCs w:val="22"/>
        </w:rPr>
        <w:t xml:space="preserve"> reflect upon their research and</w:t>
      </w:r>
      <w:r w:rsidR="00B530E9">
        <w:rPr>
          <w:rFonts w:ascii="Calibri" w:hAnsi="Calibri" w:cs="Calibri"/>
          <w:sz w:val="22"/>
          <w:szCs w:val="22"/>
        </w:rPr>
        <w:t xml:space="preserve"> position themselves </w:t>
      </w:r>
      <w:r w:rsidR="00D4526F">
        <w:rPr>
          <w:rFonts w:ascii="Calibri" w:hAnsi="Calibri" w:cs="Calibri"/>
          <w:sz w:val="22"/>
          <w:szCs w:val="22"/>
        </w:rPr>
        <w:t xml:space="preserve">ethically in a manner which balances these competing </w:t>
      </w:r>
      <w:proofErr w:type="gramStart"/>
      <w:r w:rsidR="00D4526F">
        <w:rPr>
          <w:rFonts w:ascii="Calibri" w:hAnsi="Calibri" w:cs="Calibri"/>
          <w:sz w:val="22"/>
          <w:szCs w:val="22"/>
        </w:rPr>
        <w:t>realities, and</w:t>
      </w:r>
      <w:proofErr w:type="gramEnd"/>
      <w:r w:rsidR="00D4526F">
        <w:rPr>
          <w:rFonts w:ascii="Calibri" w:hAnsi="Calibri" w:cs="Calibri"/>
          <w:sz w:val="22"/>
          <w:szCs w:val="22"/>
        </w:rPr>
        <w:t xml:space="preserve"> understanding the potential impact for their research to </w:t>
      </w:r>
      <w:r w:rsidR="00D42950">
        <w:rPr>
          <w:rFonts w:ascii="Calibri" w:hAnsi="Calibri" w:cs="Calibri"/>
          <w:sz w:val="22"/>
          <w:szCs w:val="22"/>
        </w:rPr>
        <w:t>tip the scales in one direction or another. Indeed, g</w:t>
      </w:r>
      <w:r w:rsidR="004F0D2E" w:rsidRPr="00136F3A">
        <w:rPr>
          <w:rFonts w:ascii="Calibri" w:hAnsi="Calibri" w:cs="Calibri"/>
          <w:sz w:val="22"/>
          <w:szCs w:val="22"/>
        </w:rPr>
        <w:t xml:space="preserve">iven this trifecta of benefit, </w:t>
      </w:r>
      <w:r w:rsidR="001603CD" w:rsidRPr="00136F3A">
        <w:rPr>
          <w:rFonts w:ascii="Calibri" w:hAnsi="Calibri" w:cs="Calibri"/>
          <w:sz w:val="22"/>
          <w:szCs w:val="22"/>
        </w:rPr>
        <w:t>harm,</w:t>
      </w:r>
      <w:r w:rsidR="004F0D2E" w:rsidRPr="00136F3A">
        <w:rPr>
          <w:rFonts w:ascii="Calibri" w:hAnsi="Calibri" w:cs="Calibri"/>
          <w:sz w:val="22"/>
          <w:szCs w:val="22"/>
        </w:rPr>
        <w:t xml:space="preserve"> and reliance, </w:t>
      </w:r>
      <w:r w:rsidR="0016108A">
        <w:rPr>
          <w:rFonts w:ascii="Calibri" w:hAnsi="Calibri" w:cs="Calibri"/>
          <w:sz w:val="22"/>
          <w:szCs w:val="22"/>
        </w:rPr>
        <w:t>how</w:t>
      </w:r>
      <w:r w:rsidR="00E53289" w:rsidRPr="00136F3A">
        <w:rPr>
          <w:rFonts w:ascii="Calibri" w:hAnsi="Calibri" w:cs="Calibri"/>
          <w:sz w:val="22"/>
          <w:szCs w:val="22"/>
        </w:rPr>
        <w:t xml:space="preserve"> the present research ethically navigates this </w:t>
      </w:r>
      <w:r w:rsidR="004F0D2E" w:rsidRPr="00136F3A">
        <w:rPr>
          <w:rFonts w:ascii="Calibri" w:hAnsi="Calibri" w:cs="Calibri"/>
          <w:sz w:val="22"/>
          <w:szCs w:val="22"/>
        </w:rPr>
        <w:t xml:space="preserve">minefield of </w:t>
      </w:r>
      <w:r w:rsidR="00E53289" w:rsidRPr="00136F3A">
        <w:rPr>
          <w:rFonts w:ascii="Calibri" w:hAnsi="Calibri" w:cs="Calibri"/>
          <w:sz w:val="22"/>
          <w:szCs w:val="22"/>
        </w:rPr>
        <w:t>dissonance will be vital.</w:t>
      </w:r>
      <w:r w:rsidR="000A0C44" w:rsidRPr="00136F3A">
        <w:rPr>
          <w:rFonts w:ascii="Calibri" w:hAnsi="Calibri" w:cs="Calibri"/>
          <w:sz w:val="22"/>
          <w:szCs w:val="22"/>
        </w:rPr>
        <w:t xml:space="preserve"> This requirement for proper navigation of the research context also requires </w:t>
      </w:r>
      <w:r w:rsidR="005916E4" w:rsidRPr="00136F3A">
        <w:rPr>
          <w:rFonts w:ascii="Calibri" w:hAnsi="Calibri" w:cs="Calibri"/>
          <w:sz w:val="22"/>
          <w:szCs w:val="22"/>
        </w:rPr>
        <w:t>consideration of a reflexive space, within which the researcher’s positionality can be considered. In the following section, this requirement shall be explored.</w:t>
      </w:r>
    </w:p>
    <w:p w14:paraId="4286E077" w14:textId="77777777" w:rsidR="009C26C9" w:rsidRPr="00136F3A" w:rsidRDefault="009C26C9" w:rsidP="00FF525C">
      <w:pPr>
        <w:jc w:val="both"/>
        <w:rPr>
          <w:rFonts w:ascii="Calibri" w:hAnsi="Calibri" w:cs="Calibri"/>
          <w:sz w:val="22"/>
          <w:szCs w:val="22"/>
        </w:rPr>
      </w:pPr>
    </w:p>
    <w:p w14:paraId="59F5A91A" w14:textId="77777777" w:rsidR="00A70DF6" w:rsidRPr="00136F3A" w:rsidRDefault="00A70DF6" w:rsidP="00FF525C">
      <w:pPr>
        <w:jc w:val="both"/>
        <w:rPr>
          <w:rFonts w:ascii="Calibri" w:hAnsi="Calibri" w:cs="Calibri"/>
          <w:sz w:val="22"/>
          <w:szCs w:val="22"/>
        </w:rPr>
      </w:pPr>
    </w:p>
    <w:p w14:paraId="6CBBC6F5" w14:textId="476D58FE" w:rsidR="007D32B3" w:rsidRPr="007D32B3" w:rsidRDefault="00536954" w:rsidP="00FF525C">
      <w:pPr>
        <w:pStyle w:val="ListParagraph"/>
        <w:numPr>
          <w:ilvl w:val="0"/>
          <w:numId w:val="6"/>
        </w:numPr>
        <w:spacing w:after="240"/>
        <w:jc w:val="both"/>
        <w:rPr>
          <w:rFonts w:ascii="Calibri" w:hAnsi="Calibri" w:cs="Calibri"/>
          <w:sz w:val="22"/>
          <w:szCs w:val="22"/>
        </w:rPr>
      </w:pPr>
      <w:r w:rsidRPr="007D32B3">
        <w:rPr>
          <w:rFonts w:ascii="Calibri" w:hAnsi="Calibri" w:cs="Calibri"/>
          <w:b/>
          <w:bCs/>
          <w:sz w:val="22"/>
          <w:szCs w:val="22"/>
        </w:rPr>
        <w:t xml:space="preserve">Reflexivity and positionality </w:t>
      </w:r>
      <w:r w:rsidR="007D32B3">
        <w:rPr>
          <w:rFonts w:ascii="Calibri" w:hAnsi="Calibri" w:cs="Calibri"/>
          <w:b/>
          <w:bCs/>
          <w:sz w:val="22"/>
          <w:szCs w:val="22"/>
        </w:rPr>
        <w:t>in desk-based socio-legal human rights research</w:t>
      </w:r>
    </w:p>
    <w:p w14:paraId="53AFADFD" w14:textId="041AC311" w:rsidR="000E5B46" w:rsidRDefault="00BB69E0" w:rsidP="007D32B3">
      <w:pPr>
        <w:spacing w:after="240"/>
        <w:jc w:val="both"/>
        <w:rPr>
          <w:rFonts w:ascii="Calibri" w:hAnsi="Calibri" w:cs="Calibri"/>
          <w:sz w:val="22"/>
          <w:szCs w:val="22"/>
        </w:rPr>
      </w:pPr>
      <w:r w:rsidRPr="007D32B3">
        <w:rPr>
          <w:rFonts w:ascii="Calibri" w:hAnsi="Calibri" w:cs="Calibri"/>
          <w:sz w:val="22"/>
          <w:szCs w:val="22"/>
        </w:rPr>
        <w:t>Reflexivity is</w:t>
      </w:r>
      <w:r w:rsidR="00FB3B0F" w:rsidRPr="007D32B3">
        <w:rPr>
          <w:rFonts w:ascii="Calibri" w:hAnsi="Calibri" w:cs="Calibri"/>
          <w:sz w:val="22"/>
          <w:szCs w:val="22"/>
        </w:rPr>
        <w:t xml:space="preserve"> </w:t>
      </w:r>
      <w:r w:rsidR="00F35624" w:rsidRPr="007D32B3">
        <w:rPr>
          <w:rFonts w:ascii="Calibri" w:hAnsi="Calibri" w:cs="Calibri"/>
          <w:sz w:val="22"/>
          <w:szCs w:val="22"/>
        </w:rPr>
        <w:t>a tool</w:t>
      </w:r>
      <w:r w:rsidR="004B1B7E" w:rsidRPr="007D32B3">
        <w:rPr>
          <w:rFonts w:ascii="Calibri" w:hAnsi="Calibri" w:cs="Calibri"/>
          <w:sz w:val="22"/>
          <w:szCs w:val="22"/>
        </w:rPr>
        <w:t xml:space="preserve">, commonly utilised within social science research, which invites </w:t>
      </w:r>
      <w:r w:rsidR="00F35624" w:rsidRPr="007D32B3">
        <w:rPr>
          <w:rFonts w:ascii="Calibri" w:hAnsi="Calibri" w:cs="Calibri"/>
          <w:sz w:val="22"/>
          <w:szCs w:val="22"/>
        </w:rPr>
        <w:t xml:space="preserve">the researcher </w:t>
      </w:r>
      <w:r w:rsidR="004B1B7E" w:rsidRPr="007D32B3">
        <w:rPr>
          <w:rFonts w:ascii="Calibri" w:hAnsi="Calibri" w:cs="Calibri"/>
          <w:sz w:val="22"/>
          <w:szCs w:val="22"/>
        </w:rPr>
        <w:t xml:space="preserve">to critically </w:t>
      </w:r>
      <w:r w:rsidR="008A2065" w:rsidRPr="007D32B3">
        <w:rPr>
          <w:rFonts w:ascii="Calibri" w:hAnsi="Calibri" w:cs="Calibri"/>
          <w:sz w:val="22"/>
          <w:szCs w:val="22"/>
        </w:rPr>
        <w:t>reflect</w:t>
      </w:r>
      <w:r w:rsidR="00F35624" w:rsidRPr="007D32B3">
        <w:rPr>
          <w:rFonts w:ascii="Calibri" w:hAnsi="Calibri" w:cs="Calibri"/>
          <w:sz w:val="22"/>
          <w:szCs w:val="22"/>
        </w:rPr>
        <w:t xml:space="preserve"> upon their knowledge production, placing it within the context </w:t>
      </w:r>
      <w:r w:rsidR="00896F6F" w:rsidRPr="007D32B3">
        <w:rPr>
          <w:rFonts w:ascii="Calibri" w:hAnsi="Calibri" w:cs="Calibri"/>
          <w:sz w:val="22"/>
          <w:szCs w:val="22"/>
        </w:rPr>
        <w:t>of their “values, biases, and decisions” (Bryman, 201</w:t>
      </w:r>
      <w:r w:rsidR="008A2065" w:rsidRPr="007D32B3">
        <w:rPr>
          <w:rFonts w:ascii="Calibri" w:hAnsi="Calibri" w:cs="Calibri"/>
          <w:sz w:val="22"/>
          <w:szCs w:val="22"/>
        </w:rPr>
        <w:t>6</w:t>
      </w:r>
      <w:r w:rsidR="00896F6F" w:rsidRPr="007D32B3">
        <w:rPr>
          <w:rFonts w:ascii="Calibri" w:hAnsi="Calibri" w:cs="Calibri"/>
          <w:sz w:val="22"/>
          <w:szCs w:val="22"/>
        </w:rPr>
        <w:t>, p</w:t>
      </w:r>
      <w:r w:rsidR="008A2065" w:rsidRPr="007D32B3">
        <w:rPr>
          <w:rFonts w:ascii="Calibri" w:hAnsi="Calibri" w:cs="Calibri"/>
          <w:sz w:val="22"/>
          <w:szCs w:val="22"/>
        </w:rPr>
        <w:t xml:space="preserve">. </w:t>
      </w:r>
      <w:r w:rsidR="00896F6F" w:rsidRPr="007D32B3">
        <w:rPr>
          <w:rFonts w:ascii="Calibri" w:hAnsi="Calibri" w:cs="Calibri"/>
          <w:sz w:val="22"/>
          <w:szCs w:val="22"/>
        </w:rPr>
        <w:t>388).</w:t>
      </w:r>
      <w:r w:rsidR="00FB3B0F" w:rsidRPr="007D32B3">
        <w:rPr>
          <w:rFonts w:ascii="Calibri" w:hAnsi="Calibri" w:cs="Calibri"/>
          <w:sz w:val="22"/>
          <w:szCs w:val="22"/>
        </w:rPr>
        <w:t xml:space="preserve"> </w:t>
      </w:r>
      <w:r w:rsidR="008443F1" w:rsidRPr="007D32B3">
        <w:rPr>
          <w:rFonts w:ascii="Calibri" w:hAnsi="Calibri" w:cs="Calibri"/>
          <w:sz w:val="22"/>
          <w:szCs w:val="22"/>
        </w:rPr>
        <w:t xml:space="preserve">Intrinsically linked to reflexivity is the idea of positionality, </w:t>
      </w:r>
      <w:r w:rsidR="008443F1" w:rsidRPr="007D32B3">
        <w:rPr>
          <w:rFonts w:ascii="Calibri" w:hAnsi="Calibri" w:cs="Calibri"/>
          <w:sz w:val="22"/>
          <w:szCs w:val="22"/>
        </w:rPr>
        <w:lastRenderedPageBreak/>
        <w:t xml:space="preserve">which </w:t>
      </w:r>
      <w:r w:rsidR="00427A86" w:rsidRPr="007D32B3">
        <w:rPr>
          <w:rFonts w:ascii="Calibri" w:hAnsi="Calibri" w:cs="Calibri"/>
          <w:sz w:val="22"/>
          <w:szCs w:val="22"/>
        </w:rPr>
        <w:t>similarly invites the research</w:t>
      </w:r>
      <w:r w:rsidR="005113D3" w:rsidRPr="007D32B3">
        <w:rPr>
          <w:rFonts w:ascii="Calibri" w:hAnsi="Calibri" w:cs="Calibri"/>
          <w:sz w:val="22"/>
          <w:szCs w:val="22"/>
        </w:rPr>
        <w:t>er</w:t>
      </w:r>
      <w:r w:rsidR="00427A86" w:rsidRPr="007D32B3">
        <w:rPr>
          <w:rFonts w:ascii="Calibri" w:hAnsi="Calibri" w:cs="Calibri"/>
          <w:sz w:val="22"/>
          <w:szCs w:val="22"/>
        </w:rPr>
        <w:t xml:space="preserve"> to consider their position </w:t>
      </w:r>
      <w:proofErr w:type="gramStart"/>
      <w:r w:rsidR="005113D3" w:rsidRPr="007D32B3">
        <w:rPr>
          <w:rFonts w:ascii="Calibri" w:hAnsi="Calibri" w:cs="Calibri"/>
          <w:sz w:val="22"/>
          <w:szCs w:val="22"/>
        </w:rPr>
        <w:t>rel</w:t>
      </w:r>
      <w:r w:rsidR="00D74FCD" w:rsidRPr="007D32B3">
        <w:rPr>
          <w:rFonts w:ascii="Calibri" w:hAnsi="Calibri" w:cs="Calibri"/>
          <w:sz w:val="22"/>
          <w:szCs w:val="22"/>
        </w:rPr>
        <w:t>ative</w:t>
      </w:r>
      <w:r w:rsidR="00427A86" w:rsidRPr="007D32B3">
        <w:rPr>
          <w:rFonts w:ascii="Calibri" w:hAnsi="Calibri" w:cs="Calibri"/>
          <w:sz w:val="22"/>
          <w:szCs w:val="22"/>
        </w:rPr>
        <w:t xml:space="preserve"> to</w:t>
      </w:r>
      <w:proofErr w:type="gramEnd"/>
      <w:r w:rsidR="00427A86" w:rsidRPr="007D32B3">
        <w:rPr>
          <w:rFonts w:ascii="Calibri" w:hAnsi="Calibri" w:cs="Calibri"/>
          <w:sz w:val="22"/>
          <w:szCs w:val="22"/>
        </w:rPr>
        <w:t xml:space="preserve"> the research context.</w:t>
      </w:r>
      <w:r w:rsidR="00C56305">
        <w:rPr>
          <w:rFonts w:ascii="Calibri" w:hAnsi="Calibri" w:cs="Calibri"/>
          <w:sz w:val="22"/>
          <w:szCs w:val="22"/>
        </w:rPr>
        <w:t xml:space="preserve"> As </w:t>
      </w:r>
      <w:r w:rsidR="000E5B46">
        <w:rPr>
          <w:rFonts w:ascii="Calibri" w:hAnsi="Calibri" w:cs="Calibri"/>
          <w:sz w:val="22"/>
          <w:szCs w:val="22"/>
        </w:rPr>
        <w:t>England outlines,</w:t>
      </w:r>
    </w:p>
    <w:p w14:paraId="2D1D5E28" w14:textId="5C7A340E" w:rsidR="000E5B46" w:rsidRPr="000E5B46" w:rsidRDefault="000E5B46" w:rsidP="000E5B46">
      <w:pPr>
        <w:spacing w:after="240"/>
        <w:ind w:left="720"/>
        <w:jc w:val="both"/>
        <w:rPr>
          <w:rFonts w:ascii="Calibri" w:hAnsi="Calibri" w:cs="Calibri"/>
          <w:sz w:val="22"/>
          <w:szCs w:val="22"/>
        </w:rPr>
      </w:pPr>
      <w:r w:rsidRPr="000E5B46">
        <w:rPr>
          <w:rFonts w:ascii="Calibri" w:hAnsi="Calibri" w:cs="Calibri"/>
          <w:i/>
          <w:iCs/>
          <w:sz w:val="22"/>
          <w:szCs w:val="22"/>
        </w:rPr>
        <w:t>“</w:t>
      </w:r>
      <w:r w:rsidRPr="000E5B46">
        <w:rPr>
          <w:rFonts w:ascii="Calibri" w:hAnsi="Calibri" w:cs="Calibri"/>
          <w:i/>
          <w:iCs/>
          <w:sz w:val="22"/>
          <w:szCs w:val="22"/>
        </w:rPr>
        <w:t>Positionality highlights how people, including</w:t>
      </w:r>
      <w:r w:rsidRPr="000E5B46">
        <w:rPr>
          <w:rFonts w:ascii="Calibri" w:hAnsi="Calibri" w:cs="Calibri"/>
          <w:i/>
          <w:iCs/>
          <w:sz w:val="22"/>
          <w:szCs w:val="22"/>
        </w:rPr>
        <w:t xml:space="preserve"> </w:t>
      </w:r>
      <w:r w:rsidRPr="000E5B46">
        <w:rPr>
          <w:rFonts w:ascii="Calibri" w:hAnsi="Calibri" w:cs="Calibri"/>
          <w:i/>
          <w:iCs/>
          <w:sz w:val="22"/>
          <w:szCs w:val="22"/>
        </w:rPr>
        <w:t>researchers, come to know and interpret the</w:t>
      </w:r>
      <w:r w:rsidRPr="000E5B46">
        <w:rPr>
          <w:rFonts w:ascii="Calibri" w:hAnsi="Calibri" w:cs="Calibri"/>
          <w:i/>
          <w:iCs/>
          <w:sz w:val="22"/>
          <w:szCs w:val="22"/>
        </w:rPr>
        <w:t xml:space="preserve"> </w:t>
      </w:r>
      <w:r w:rsidRPr="000E5B46">
        <w:rPr>
          <w:rFonts w:ascii="Calibri" w:hAnsi="Calibri" w:cs="Calibri"/>
          <w:i/>
          <w:iCs/>
          <w:sz w:val="22"/>
          <w:szCs w:val="22"/>
        </w:rPr>
        <w:t>world from different social locations; positionality</w:t>
      </w:r>
      <w:r w:rsidRPr="000E5B46">
        <w:rPr>
          <w:rFonts w:ascii="Calibri" w:hAnsi="Calibri" w:cs="Calibri"/>
          <w:i/>
          <w:iCs/>
          <w:sz w:val="22"/>
          <w:szCs w:val="22"/>
        </w:rPr>
        <w:t xml:space="preserve"> </w:t>
      </w:r>
      <w:r w:rsidRPr="000E5B46">
        <w:rPr>
          <w:rFonts w:ascii="Calibri" w:hAnsi="Calibri" w:cs="Calibri"/>
          <w:i/>
          <w:iCs/>
          <w:sz w:val="22"/>
          <w:szCs w:val="22"/>
        </w:rPr>
        <w:t>shapes research, and may inhibit or enable</w:t>
      </w:r>
      <w:r w:rsidRPr="000E5B46">
        <w:rPr>
          <w:rFonts w:ascii="Calibri" w:hAnsi="Calibri" w:cs="Calibri"/>
          <w:i/>
          <w:iCs/>
          <w:sz w:val="22"/>
          <w:szCs w:val="22"/>
        </w:rPr>
        <w:t xml:space="preserve"> </w:t>
      </w:r>
      <w:r w:rsidRPr="000E5B46">
        <w:rPr>
          <w:rFonts w:ascii="Calibri" w:hAnsi="Calibri" w:cs="Calibri"/>
          <w:i/>
          <w:iCs/>
          <w:sz w:val="22"/>
          <w:szCs w:val="22"/>
        </w:rPr>
        <w:t>certain research insights</w:t>
      </w:r>
      <w:proofErr w:type="gramStart"/>
      <w:r w:rsidRPr="000E5B46">
        <w:rPr>
          <w:rFonts w:ascii="Calibri" w:hAnsi="Calibri" w:cs="Calibri"/>
          <w:i/>
          <w:iCs/>
          <w:sz w:val="22"/>
          <w:szCs w:val="22"/>
        </w:rPr>
        <w:t>.</w:t>
      </w:r>
      <w:r w:rsidRPr="000E5B46">
        <w:rPr>
          <w:rFonts w:ascii="Calibri" w:hAnsi="Calibri" w:cs="Calibri"/>
          <w:i/>
          <w:iCs/>
          <w:sz w:val="22"/>
          <w:szCs w:val="22"/>
        </w:rPr>
        <w:t>”</w:t>
      </w:r>
      <w:proofErr w:type="gramEnd"/>
      <w:r>
        <w:rPr>
          <w:rFonts w:ascii="Calibri" w:hAnsi="Calibri" w:cs="Calibri"/>
          <w:sz w:val="22"/>
          <w:szCs w:val="22"/>
        </w:rPr>
        <w:t xml:space="preserve"> (England,</w:t>
      </w:r>
      <w:r w:rsidR="00EB3580">
        <w:rPr>
          <w:rFonts w:ascii="Calibri" w:hAnsi="Calibri" w:cs="Calibri"/>
          <w:sz w:val="22"/>
          <w:szCs w:val="22"/>
        </w:rPr>
        <w:t xml:space="preserve"> </w:t>
      </w:r>
      <w:proofErr w:type="gramStart"/>
      <w:r w:rsidR="0092051F">
        <w:rPr>
          <w:rFonts w:ascii="Calibri" w:hAnsi="Calibri" w:cs="Calibri"/>
          <w:sz w:val="22"/>
          <w:szCs w:val="22"/>
        </w:rPr>
        <w:t>2017</w:t>
      </w:r>
      <w:r>
        <w:rPr>
          <w:rFonts w:ascii="Calibri" w:hAnsi="Calibri" w:cs="Calibri"/>
          <w:sz w:val="22"/>
          <w:szCs w:val="22"/>
        </w:rPr>
        <w:t xml:space="preserve"> </w:t>
      </w:r>
      <w:r w:rsidR="00EB3580">
        <w:rPr>
          <w:rFonts w:ascii="Calibri" w:hAnsi="Calibri" w:cs="Calibri"/>
          <w:sz w:val="22"/>
          <w:szCs w:val="22"/>
        </w:rPr>
        <w:t>,</w:t>
      </w:r>
      <w:proofErr w:type="gramEnd"/>
      <w:r w:rsidR="00EB3580">
        <w:rPr>
          <w:rFonts w:ascii="Calibri" w:hAnsi="Calibri" w:cs="Calibri"/>
          <w:sz w:val="22"/>
          <w:szCs w:val="22"/>
        </w:rPr>
        <w:t xml:space="preserve"> p. 1.)</w:t>
      </w:r>
    </w:p>
    <w:p w14:paraId="5BECB1F7" w14:textId="11BA24AB" w:rsidR="00680768" w:rsidRPr="007D32B3" w:rsidRDefault="003323AA" w:rsidP="007D32B3">
      <w:pPr>
        <w:spacing w:after="240"/>
        <w:jc w:val="both"/>
        <w:rPr>
          <w:rFonts w:ascii="Calibri" w:hAnsi="Calibri" w:cs="Calibri"/>
          <w:sz w:val="22"/>
          <w:szCs w:val="22"/>
        </w:rPr>
      </w:pPr>
      <w:r w:rsidRPr="007D32B3">
        <w:rPr>
          <w:rFonts w:ascii="Calibri" w:hAnsi="Calibri" w:cs="Calibri"/>
          <w:sz w:val="22"/>
          <w:szCs w:val="22"/>
        </w:rPr>
        <w:t xml:space="preserve">For example, a male researcher investigating issues primarily related </w:t>
      </w:r>
      <w:r w:rsidR="007D64F0" w:rsidRPr="007D32B3">
        <w:rPr>
          <w:rFonts w:ascii="Calibri" w:hAnsi="Calibri" w:cs="Calibri"/>
          <w:sz w:val="22"/>
          <w:szCs w:val="22"/>
        </w:rPr>
        <w:t>to women</w:t>
      </w:r>
      <w:r w:rsidRPr="007D32B3">
        <w:rPr>
          <w:rFonts w:ascii="Calibri" w:hAnsi="Calibri" w:cs="Calibri"/>
          <w:sz w:val="22"/>
          <w:szCs w:val="22"/>
        </w:rPr>
        <w:t xml:space="preserve"> would benefit significantly from </w:t>
      </w:r>
      <w:r w:rsidR="00680768" w:rsidRPr="007D32B3">
        <w:rPr>
          <w:rFonts w:ascii="Calibri" w:hAnsi="Calibri" w:cs="Calibri"/>
          <w:sz w:val="22"/>
          <w:szCs w:val="22"/>
        </w:rPr>
        <w:t xml:space="preserve">reflexive practice and to be clear and critical in their research about their positionality and the implications it could have for the research and its outcomes. </w:t>
      </w:r>
      <w:r w:rsidR="007D4436" w:rsidRPr="007D32B3">
        <w:rPr>
          <w:rFonts w:ascii="Calibri" w:hAnsi="Calibri" w:cs="Calibri"/>
          <w:sz w:val="22"/>
          <w:szCs w:val="22"/>
        </w:rPr>
        <w:t>A researcher whose position is reflective of their research context</w:t>
      </w:r>
      <w:r w:rsidR="003613DF" w:rsidRPr="007D32B3">
        <w:rPr>
          <w:rFonts w:ascii="Calibri" w:hAnsi="Calibri" w:cs="Calibri"/>
          <w:sz w:val="22"/>
          <w:szCs w:val="22"/>
        </w:rPr>
        <w:t xml:space="preserve"> might also deploy reflexive and positional critiques to their work, </w:t>
      </w:r>
      <w:r w:rsidR="00701BD9" w:rsidRPr="007D32B3">
        <w:rPr>
          <w:rFonts w:ascii="Calibri" w:hAnsi="Calibri" w:cs="Calibri"/>
          <w:sz w:val="22"/>
          <w:szCs w:val="22"/>
        </w:rPr>
        <w:t xml:space="preserve">given the dual benefit </w:t>
      </w:r>
      <w:r w:rsidR="00336EB2" w:rsidRPr="007D32B3">
        <w:rPr>
          <w:rFonts w:ascii="Calibri" w:hAnsi="Calibri" w:cs="Calibri"/>
          <w:sz w:val="22"/>
          <w:szCs w:val="22"/>
        </w:rPr>
        <w:t xml:space="preserve">of knowledge </w:t>
      </w:r>
      <w:r w:rsidR="00701BD9" w:rsidRPr="007D32B3">
        <w:rPr>
          <w:rFonts w:ascii="Calibri" w:hAnsi="Calibri" w:cs="Calibri"/>
          <w:sz w:val="22"/>
          <w:szCs w:val="22"/>
        </w:rPr>
        <w:t>and disadvantage</w:t>
      </w:r>
      <w:r w:rsidR="00336EB2" w:rsidRPr="007D32B3">
        <w:rPr>
          <w:rFonts w:ascii="Calibri" w:hAnsi="Calibri" w:cs="Calibri"/>
          <w:sz w:val="22"/>
          <w:szCs w:val="22"/>
        </w:rPr>
        <w:t xml:space="preserve"> of bias inherent within</w:t>
      </w:r>
      <w:r w:rsidR="00701BD9" w:rsidRPr="007D32B3">
        <w:rPr>
          <w:rFonts w:ascii="Calibri" w:hAnsi="Calibri" w:cs="Calibri"/>
          <w:sz w:val="22"/>
          <w:szCs w:val="22"/>
        </w:rPr>
        <w:t xml:space="preserve"> direct personal experience.</w:t>
      </w:r>
    </w:p>
    <w:p w14:paraId="254FEBC8" w14:textId="77777777" w:rsidR="00680768" w:rsidRDefault="00680768" w:rsidP="00FF525C">
      <w:pPr>
        <w:jc w:val="both"/>
        <w:rPr>
          <w:rFonts w:ascii="Calibri" w:hAnsi="Calibri" w:cs="Calibri"/>
          <w:sz w:val="22"/>
          <w:szCs w:val="22"/>
        </w:rPr>
      </w:pPr>
    </w:p>
    <w:p w14:paraId="6BFEB08A" w14:textId="4148F891" w:rsidR="0039230F" w:rsidRPr="00D70FB7" w:rsidRDefault="0039230F" w:rsidP="00D70FB7">
      <w:pPr>
        <w:pStyle w:val="ListParagraph"/>
        <w:numPr>
          <w:ilvl w:val="1"/>
          <w:numId w:val="6"/>
        </w:numPr>
        <w:jc w:val="both"/>
        <w:rPr>
          <w:rFonts w:ascii="Calibri" w:hAnsi="Calibri" w:cs="Calibri"/>
          <w:i/>
          <w:iCs/>
          <w:sz w:val="22"/>
          <w:szCs w:val="22"/>
        </w:rPr>
      </w:pPr>
      <w:r w:rsidRPr="00D70FB7">
        <w:rPr>
          <w:rFonts w:ascii="Calibri" w:hAnsi="Calibri" w:cs="Calibri"/>
          <w:i/>
          <w:iCs/>
          <w:sz w:val="22"/>
          <w:szCs w:val="22"/>
        </w:rPr>
        <w:t>Reflexivity</w:t>
      </w:r>
    </w:p>
    <w:p w14:paraId="17F867AA" w14:textId="77777777" w:rsidR="0039230F" w:rsidRDefault="0039230F" w:rsidP="00FF525C">
      <w:pPr>
        <w:jc w:val="both"/>
        <w:rPr>
          <w:rFonts w:ascii="Calibri" w:hAnsi="Calibri" w:cs="Calibri"/>
          <w:sz w:val="22"/>
          <w:szCs w:val="22"/>
        </w:rPr>
      </w:pPr>
    </w:p>
    <w:p w14:paraId="43355FFB" w14:textId="50CD3889" w:rsidR="00313AE4" w:rsidRDefault="004041AF" w:rsidP="00FF525C">
      <w:pPr>
        <w:jc w:val="both"/>
        <w:rPr>
          <w:rFonts w:ascii="Calibri" w:hAnsi="Calibri" w:cs="Calibri"/>
          <w:sz w:val="22"/>
          <w:szCs w:val="22"/>
        </w:rPr>
      </w:pPr>
      <w:r w:rsidRPr="00136F3A">
        <w:rPr>
          <w:rFonts w:ascii="Calibri" w:hAnsi="Calibri" w:cs="Calibri"/>
          <w:sz w:val="22"/>
          <w:szCs w:val="22"/>
        </w:rPr>
        <w:t xml:space="preserve">Despite the </w:t>
      </w:r>
      <w:r w:rsidR="00BD04A0" w:rsidRPr="00136F3A">
        <w:rPr>
          <w:rFonts w:ascii="Calibri" w:hAnsi="Calibri" w:cs="Calibri"/>
          <w:sz w:val="22"/>
          <w:szCs w:val="22"/>
        </w:rPr>
        <w:t xml:space="preserve">clear placement of </w:t>
      </w:r>
      <w:r w:rsidR="00895FF8">
        <w:rPr>
          <w:rFonts w:ascii="Calibri" w:hAnsi="Calibri" w:cs="Calibri"/>
          <w:sz w:val="22"/>
          <w:szCs w:val="22"/>
        </w:rPr>
        <w:t>desk-based,</w:t>
      </w:r>
      <w:r w:rsidR="00BD04A0" w:rsidRPr="00136F3A">
        <w:rPr>
          <w:rFonts w:ascii="Calibri" w:hAnsi="Calibri" w:cs="Calibri"/>
          <w:sz w:val="22"/>
          <w:szCs w:val="22"/>
        </w:rPr>
        <w:t xml:space="preserve"> socio-legal</w:t>
      </w:r>
      <w:r w:rsidR="00895FF8">
        <w:rPr>
          <w:rFonts w:ascii="Calibri" w:hAnsi="Calibri" w:cs="Calibri"/>
          <w:sz w:val="22"/>
          <w:szCs w:val="22"/>
        </w:rPr>
        <w:t xml:space="preserve"> human rights research</w:t>
      </w:r>
      <w:r w:rsidR="00BD04A0" w:rsidRPr="00136F3A">
        <w:rPr>
          <w:rFonts w:ascii="Calibri" w:hAnsi="Calibri" w:cs="Calibri"/>
          <w:sz w:val="22"/>
          <w:szCs w:val="22"/>
        </w:rPr>
        <w:t xml:space="preserve"> within the wider framework of </w:t>
      </w:r>
      <w:r w:rsidR="004B1B7E">
        <w:rPr>
          <w:rFonts w:ascii="Calibri" w:hAnsi="Calibri" w:cs="Calibri"/>
          <w:sz w:val="22"/>
          <w:szCs w:val="22"/>
        </w:rPr>
        <w:t>social science</w:t>
      </w:r>
      <w:r w:rsidR="004B1B7E" w:rsidRPr="00136F3A">
        <w:rPr>
          <w:rFonts w:ascii="Calibri" w:hAnsi="Calibri" w:cs="Calibri"/>
          <w:sz w:val="22"/>
          <w:szCs w:val="22"/>
        </w:rPr>
        <w:t xml:space="preserve"> </w:t>
      </w:r>
      <w:r w:rsidR="00BD04A0" w:rsidRPr="00136F3A">
        <w:rPr>
          <w:rFonts w:ascii="Calibri" w:hAnsi="Calibri" w:cs="Calibri"/>
          <w:sz w:val="22"/>
          <w:szCs w:val="22"/>
        </w:rPr>
        <w:t xml:space="preserve">research, </w:t>
      </w:r>
      <w:proofErr w:type="gramStart"/>
      <w:r w:rsidR="00F05F90" w:rsidRPr="00136F3A">
        <w:rPr>
          <w:rFonts w:ascii="Calibri" w:hAnsi="Calibri" w:cs="Calibri"/>
          <w:sz w:val="22"/>
          <w:szCs w:val="22"/>
        </w:rPr>
        <w:t>reflexivity</w:t>
      </w:r>
      <w:proofErr w:type="gramEnd"/>
      <w:r w:rsidR="0039230F">
        <w:rPr>
          <w:rFonts w:ascii="Calibri" w:hAnsi="Calibri" w:cs="Calibri"/>
          <w:sz w:val="22"/>
          <w:szCs w:val="22"/>
        </w:rPr>
        <w:t xml:space="preserve"> and reflexive practice,</w:t>
      </w:r>
      <w:r w:rsidR="008C2075">
        <w:rPr>
          <w:rFonts w:ascii="Calibri" w:hAnsi="Calibri" w:cs="Calibri"/>
          <w:sz w:val="22"/>
          <w:szCs w:val="22"/>
        </w:rPr>
        <w:t xml:space="preserve"> </w:t>
      </w:r>
      <w:r w:rsidR="00444995">
        <w:rPr>
          <w:rFonts w:ascii="Calibri" w:hAnsi="Calibri" w:cs="Calibri"/>
          <w:sz w:val="22"/>
          <w:szCs w:val="22"/>
        </w:rPr>
        <w:t>present</w:t>
      </w:r>
      <w:r w:rsidR="00BD04A0" w:rsidRPr="00136F3A">
        <w:rPr>
          <w:rFonts w:ascii="Calibri" w:hAnsi="Calibri" w:cs="Calibri"/>
          <w:sz w:val="22"/>
          <w:szCs w:val="22"/>
        </w:rPr>
        <w:t xml:space="preserve"> within </w:t>
      </w:r>
      <w:r w:rsidR="00444995" w:rsidRPr="00136F3A">
        <w:rPr>
          <w:rFonts w:ascii="Calibri" w:hAnsi="Calibri" w:cs="Calibri"/>
          <w:sz w:val="22"/>
          <w:szCs w:val="22"/>
        </w:rPr>
        <w:t>most</w:t>
      </w:r>
      <w:r w:rsidR="00BD04A0" w:rsidRPr="00136F3A">
        <w:rPr>
          <w:rFonts w:ascii="Calibri" w:hAnsi="Calibri" w:cs="Calibri"/>
          <w:sz w:val="22"/>
          <w:szCs w:val="22"/>
        </w:rPr>
        <w:t xml:space="preserve"> social-science </w:t>
      </w:r>
      <w:r w:rsidR="00B16B3E" w:rsidRPr="00136F3A">
        <w:rPr>
          <w:rFonts w:ascii="Calibri" w:hAnsi="Calibri" w:cs="Calibri"/>
          <w:sz w:val="22"/>
          <w:szCs w:val="22"/>
        </w:rPr>
        <w:t xml:space="preserve">disciplines, is notably absent from </w:t>
      </w:r>
      <w:r w:rsidR="00B22914" w:rsidRPr="00136F3A">
        <w:rPr>
          <w:rFonts w:ascii="Calibri" w:hAnsi="Calibri" w:cs="Calibri"/>
          <w:sz w:val="22"/>
          <w:szCs w:val="22"/>
        </w:rPr>
        <w:t xml:space="preserve">much of </w:t>
      </w:r>
      <w:r w:rsidR="00B16B3E" w:rsidRPr="00136F3A">
        <w:rPr>
          <w:rFonts w:ascii="Calibri" w:hAnsi="Calibri" w:cs="Calibri"/>
          <w:sz w:val="22"/>
          <w:szCs w:val="22"/>
        </w:rPr>
        <w:t>contemporary legal research</w:t>
      </w:r>
      <w:r w:rsidR="00631679" w:rsidRPr="00136F3A">
        <w:rPr>
          <w:rFonts w:ascii="Calibri" w:hAnsi="Calibri" w:cs="Calibri"/>
          <w:sz w:val="22"/>
          <w:szCs w:val="22"/>
        </w:rPr>
        <w:t xml:space="preserve">. </w:t>
      </w:r>
      <w:r w:rsidR="00B16B3E" w:rsidRPr="00136F3A">
        <w:rPr>
          <w:rFonts w:ascii="Calibri" w:hAnsi="Calibri" w:cs="Calibri"/>
          <w:sz w:val="22"/>
          <w:szCs w:val="22"/>
        </w:rPr>
        <w:t>This is arguably a combination of the aforementioned ‘legal exceptionalism’ present within legal academia</w:t>
      </w:r>
      <w:r w:rsidR="00630CBB" w:rsidRPr="00136F3A">
        <w:rPr>
          <w:rFonts w:ascii="Calibri" w:hAnsi="Calibri" w:cs="Calibri"/>
          <w:sz w:val="22"/>
          <w:szCs w:val="22"/>
        </w:rPr>
        <w:t xml:space="preserve"> </w:t>
      </w:r>
      <w:r w:rsidR="00FD7753" w:rsidRPr="00136F3A">
        <w:rPr>
          <w:rFonts w:ascii="Calibri" w:hAnsi="Calibri" w:cs="Calibri"/>
          <w:sz w:val="22"/>
          <w:szCs w:val="22"/>
        </w:rPr>
        <w:fldChar w:fldCharType="begin" w:fldLock="1"/>
      </w:r>
      <w:r w:rsidR="00136F3A" w:rsidRPr="00136F3A">
        <w:rPr>
          <w:rFonts w:ascii="Calibri" w:hAnsi="Calibri" w:cs="Calibri"/>
          <w:sz w:val="22"/>
          <w:szCs w:val="22"/>
        </w:rPr>
        <w:instrText>ADDIN CSL_CITATION {"citationItems":[{"id":"ITEM-1","itemData":{"abstract":"This article deals with the qualitative approach to empirical studies. This approach is presumed to be closer to the social sciences. Data collection in the qualitative approach follows a combination of these three methods-direct observations, in-depth interviews, and document analysis. It typically starts with the identification of methodology, data collection, analysis, ethical concerns, and adapt to the dynamics if working in a team. Well-compiled qualitative research enhances comprehensibility of social phenomenon. The technique used in the selection of data collection depends on the research question, leading to the research strategy that best fits the research objective, availability/access to particular data sources, and available resources. While various beliefs are held in common between the quantitative and the qualitative, a researcher must first assert the purpose and nature of the project, in order to come to a deterministic conclusion as to which approach is best suited for the research to be conducted.","author":[{"dropping-particle":"","family":"Webley","given":"Lisa","non-dropping-particle":"","parse-names":false,"suffix":""}],"chapter-number":"38","container-title":"The Oxford Handbook of Empirical Legal Research","editor":[{"dropping-particle":"","family":"Cane","given":"Peter","non-dropping-particle":"","parse-names":false,"suffix":""},{"dropping-particle":"","family":"Kritzer","given":"Herbert","non-dropping-particle":"","parse-names":false,"suffix":""}],"id":"ITEM-1","issued":{"date-parts":[["2012"]]},"page":"927-942","publisher":"Oxford University Press","title":"Qualitative Approaches to Empirical Legal Research","type":"chapter"},"locator":"927","uris":["http://www.mendeley.com/documents/?uuid=9e1ae66d-4009-4567-9d60-749ebcbdc17d"]}],"mendeley":{"formattedCitation":"(Webley, 2012, p. 927)","plainTextFormattedCitation":"(Webley, 2012, p. 927)","previouslyFormattedCitation":"(Webley, 2012, p. 927)"},"properties":{"noteIndex":0},"schema":"https://github.com/citation-style-language/schema/raw/master/csl-citation.json"}</w:instrText>
      </w:r>
      <w:r w:rsidR="00FD7753" w:rsidRPr="00136F3A">
        <w:rPr>
          <w:rFonts w:ascii="Calibri" w:hAnsi="Calibri" w:cs="Calibri"/>
          <w:sz w:val="22"/>
          <w:szCs w:val="22"/>
        </w:rPr>
        <w:fldChar w:fldCharType="separate"/>
      </w:r>
      <w:r w:rsidR="00FD7753" w:rsidRPr="00136F3A">
        <w:rPr>
          <w:rFonts w:ascii="Calibri" w:hAnsi="Calibri" w:cs="Calibri"/>
          <w:noProof/>
          <w:sz w:val="22"/>
          <w:szCs w:val="22"/>
        </w:rPr>
        <w:t>(Webley, 2012, p. 927)</w:t>
      </w:r>
      <w:r w:rsidR="00FD7753" w:rsidRPr="00136F3A">
        <w:rPr>
          <w:rFonts w:ascii="Calibri" w:hAnsi="Calibri" w:cs="Calibri"/>
          <w:sz w:val="22"/>
          <w:szCs w:val="22"/>
        </w:rPr>
        <w:fldChar w:fldCharType="end"/>
      </w:r>
      <w:r w:rsidR="007C3FF8">
        <w:rPr>
          <w:rFonts w:ascii="Calibri" w:hAnsi="Calibri" w:cs="Calibri"/>
          <w:sz w:val="22"/>
          <w:szCs w:val="22"/>
        </w:rPr>
        <w:t>.</w:t>
      </w:r>
      <w:r w:rsidR="00B16B3E" w:rsidRPr="00136F3A">
        <w:rPr>
          <w:rFonts w:ascii="Calibri" w:hAnsi="Calibri" w:cs="Calibri"/>
          <w:sz w:val="22"/>
          <w:szCs w:val="22"/>
        </w:rPr>
        <w:t xml:space="preserve"> </w:t>
      </w:r>
      <w:r w:rsidR="007C3FF8">
        <w:rPr>
          <w:rFonts w:ascii="Calibri" w:hAnsi="Calibri" w:cs="Calibri"/>
          <w:sz w:val="22"/>
          <w:szCs w:val="22"/>
        </w:rPr>
        <w:t xml:space="preserve">Additionally, the </w:t>
      </w:r>
      <w:r w:rsidR="0080771B" w:rsidRPr="00136F3A">
        <w:rPr>
          <w:rFonts w:ascii="Calibri" w:hAnsi="Calibri" w:cs="Calibri"/>
          <w:sz w:val="22"/>
          <w:szCs w:val="22"/>
        </w:rPr>
        <w:t xml:space="preserve">significant focus of reflexivity literature upon research </w:t>
      </w:r>
      <w:r w:rsidR="005748E7">
        <w:rPr>
          <w:rFonts w:ascii="Calibri" w:hAnsi="Calibri" w:cs="Calibri"/>
          <w:sz w:val="22"/>
          <w:szCs w:val="22"/>
        </w:rPr>
        <w:t>that</w:t>
      </w:r>
      <w:r w:rsidR="0080771B" w:rsidRPr="00136F3A">
        <w:rPr>
          <w:rFonts w:ascii="Calibri" w:hAnsi="Calibri" w:cs="Calibri"/>
          <w:sz w:val="22"/>
          <w:szCs w:val="22"/>
        </w:rPr>
        <w:t xml:space="preserve"> </w:t>
      </w:r>
      <w:r w:rsidR="00F05F90">
        <w:rPr>
          <w:rFonts w:ascii="Calibri" w:hAnsi="Calibri" w:cs="Calibri"/>
          <w:sz w:val="22"/>
          <w:szCs w:val="22"/>
        </w:rPr>
        <w:t>uses</w:t>
      </w:r>
      <w:r w:rsidR="0080771B" w:rsidRPr="00136F3A">
        <w:rPr>
          <w:rFonts w:ascii="Calibri" w:hAnsi="Calibri" w:cs="Calibri"/>
          <w:sz w:val="22"/>
          <w:szCs w:val="22"/>
        </w:rPr>
        <w:t xml:space="preserve"> </w:t>
      </w:r>
      <w:r w:rsidR="00630CBB" w:rsidRPr="00136F3A">
        <w:rPr>
          <w:rFonts w:ascii="Calibri" w:hAnsi="Calibri" w:cs="Calibri"/>
          <w:sz w:val="22"/>
          <w:szCs w:val="22"/>
        </w:rPr>
        <w:t xml:space="preserve">the </w:t>
      </w:r>
      <w:r w:rsidR="0080771B" w:rsidRPr="00136F3A">
        <w:rPr>
          <w:rFonts w:ascii="Calibri" w:hAnsi="Calibri" w:cs="Calibri"/>
          <w:sz w:val="22"/>
          <w:szCs w:val="22"/>
        </w:rPr>
        <w:t xml:space="preserve">direct </w:t>
      </w:r>
      <w:r w:rsidR="00E52FAB" w:rsidRPr="00136F3A">
        <w:rPr>
          <w:rFonts w:ascii="Calibri" w:hAnsi="Calibri" w:cs="Calibri"/>
          <w:sz w:val="22"/>
          <w:szCs w:val="22"/>
        </w:rPr>
        <w:t>participation</w:t>
      </w:r>
      <w:r w:rsidR="00630CBB" w:rsidRPr="00136F3A">
        <w:rPr>
          <w:rFonts w:ascii="Calibri" w:hAnsi="Calibri" w:cs="Calibri"/>
          <w:sz w:val="22"/>
          <w:szCs w:val="22"/>
        </w:rPr>
        <w:t xml:space="preserve"> of subjects</w:t>
      </w:r>
      <w:r w:rsidR="007C3FF8">
        <w:rPr>
          <w:rFonts w:ascii="Calibri" w:hAnsi="Calibri" w:cs="Calibri"/>
          <w:sz w:val="22"/>
          <w:szCs w:val="22"/>
        </w:rPr>
        <w:t xml:space="preserve"> might also contribute to its absence in </w:t>
      </w:r>
      <w:proofErr w:type="gramStart"/>
      <w:r w:rsidR="007C3FF8">
        <w:rPr>
          <w:rFonts w:ascii="Calibri" w:hAnsi="Calibri" w:cs="Calibri"/>
          <w:sz w:val="22"/>
          <w:szCs w:val="22"/>
        </w:rPr>
        <w:t>predominantly desk-based</w:t>
      </w:r>
      <w:proofErr w:type="gramEnd"/>
      <w:r w:rsidR="007C3FF8">
        <w:rPr>
          <w:rFonts w:ascii="Calibri" w:hAnsi="Calibri" w:cs="Calibri"/>
          <w:sz w:val="22"/>
          <w:szCs w:val="22"/>
        </w:rPr>
        <w:t xml:space="preserve"> legal research</w:t>
      </w:r>
      <w:r w:rsidR="006F46E0" w:rsidRPr="00136F3A">
        <w:rPr>
          <w:rFonts w:ascii="Calibri" w:hAnsi="Calibri" w:cs="Calibri"/>
          <w:sz w:val="22"/>
          <w:szCs w:val="22"/>
        </w:rPr>
        <w:t xml:space="preserve">. As noted </w:t>
      </w:r>
      <w:r w:rsidR="007069BC" w:rsidRPr="00136F3A">
        <w:rPr>
          <w:rFonts w:ascii="Calibri" w:hAnsi="Calibri" w:cs="Calibri"/>
          <w:sz w:val="22"/>
          <w:szCs w:val="22"/>
        </w:rPr>
        <w:t>above</w:t>
      </w:r>
      <w:r w:rsidR="006F46E0" w:rsidRPr="00136F3A">
        <w:rPr>
          <w:rFonts w:ascii="Calibri" w:hAnsi="Calibri" w:cs="Calibri"/>
          <w:sz w:val="22"/>
          <w:szCs w:val="22"/>
        </w:rPr>
        <w:t>, t</w:t>
      </w:r>
      <w:r w:rsidR="00631679" w:rsidRPr="00136F3A">
        <w:rPr>
          <w:rFonts w:ascii="Calibri" w:hAnsi="Calibri" w:cs="Calibri"/>
          <w:sz w:val="22"/>
          <w:szCs w:val="22"/>
        </w:rPr>
        <w:t>h</w:t>
      </w:r>
      <w:r w:rsidR="006F46E0" w:rsidRPr="00136F3A">
        <w:rPr>
          <w:rFonts w:ascii="Calibri" w:hAnsi="Calibri" w:cs="Calibri"/>
          <w:sz w:val="22"/>
          <w:szCs w:val="22"/>
        </w:rPr>
        <w:t xml:space="preserve">e </w:t>
      </w:r>
      <w:r w:rsidR="007069BC" w:rsidRPr="00136F3A">
        <w:rPr>
          <w:rFonts w:ascii="Calibri" w:hAnsi="Calibri" w:cs="Calibri"/>
          <w:sz w:val="22"/>
          <w:szCs w:val="22"/>
        </w:rPr>
        <w:t>primary</w:t>
      </w:r>
      <w:r w:rsidR="006F46E0" w:rsidRPr="00136F3A">
        <w:rPr>
          <w:rFonts w:ascii="Calibri" w:hAnsi="Calibri" w:cs="Calibri"/>
          <w:sz w:val="22"/>
          <w:szCs w:val="22"/>
        </w:rPr>
        <w:t xml:space="preserve"> methods present</w:t>
      </w:r>
      <w:r w:rsidR="00444995">
        <w:rPr>
          <w:rFonts w:ascii="Calibri" w:hAnsi="Calibri" w:cs="Calibri"/>
          <w:sz w:val="22"/>
          <w:szCs w:val="22"/>
        </w:rPr>
        <w:t xml:space="preserve"> in</w:t>
      </w:r>
      <w:r w:rsidR="006F46E0" w:rsidRPr="00136F3A">
        <w:rPr>
          <w:rFonts w:ascii="Calibri" w:hAnsi="Calibri" w:cs="Calibri"/>
          <w:sz w:val="22"/>
          <w:szCs w:val="22"/>
        </w:rPr>
        <w:t xml:space="preserve"> </w:t>
      </w:r>
      <w:r w:rsidR="00444995">
        <w:rPr>
          <w:rFonts w:ascii="Calibri" w:hAnsi="Calibri" w:cs="Calibri"/>
          <w:sz w:val="22"/>
          <w:szCs w:val="22"/>
        </w:rPr>
        <w:t xml:space="preserve">legal </w:t>
      </w:r>
      <w:r w:rsidR="00F005EA" w:rsidRPr="00136F3A">
        <w:rPr>
          <w:rFonts w:ascii="Calibri" w:hAnsi="Calibri" w:cs="Calibri"/>
          <w:sz w:val="22"/>
          <w:szCs w:val="22"/>
        </w:rPr>
        <w:t xml:space="preserve">research </w:t>
      </w:r>
      <w:r w:rsidR="00ED5279" w:rsidRPr="00136F3A">
        <w:rPr>
          <w:rFonts w:ascii="Calibri" w:hAnsi="Calibri" w:cs="Calibri"/>
          <w:sz w:val="22"/>
          <w:szCs w:val="22"/>
        </w:rPr>
        <w:t>centre</w:t>
      </w:r>
      <w:r w:rsidR="00F005EA" w:rsidRPr="00136F3A">
        <w:rPr>
          <w:rFonts w:ascii="Calibri" w:hAnsi="Calibri" w:cs="Calibri"/>
          <w:sz w:val="22"/>
          <w:szCs w:val="22"/>
        </w:rPr>
        <w:t xml:space="preserve"> around</w:t>
      </w:r>
      <w:r w:rsidR="004B1D23">
        <w:rPr>
          <w:rFonts w:ascii="Calibri" w:hAnsi="Calibri" w:cs="Calibri"/>
          <w:sz w:val="22"/>
          <w:szCs w:val="22"/>
        </w:rPr>
        <w:t xml:space="preserve"> such</w:t>
      </w:r>
      <w:r w:rsidR="00F005EA" w:rsidRPr="00136F3A">
        <w:rPr>
          <w:rFonts w:ascii="Calibri" w:hAnsi="Calibri" w:cs="Calibri"/>
          <w:sz w:val="22"/>
          <w:szCs w:val="22"/>
        </w:rPr>
        <w:t xml:space="preserve"> </w:t>
      </w:r>
      <w:r w:rsidR="00630CBB" w:rsidRPr="00136F3A">
        <w:rPr>
          <w:rFonts w:ascii="Calibri" w:hAnsi="Calibri" w:cs="Calibri"/>
          <w:sz w:val="22"/>
          <w:szCs w:val="22"/>
        </w:rPr>
        <w:t>desk-based</w:t>
      </w:r>
      <w:r w:rsidR="004B1D23">
        <w:rPr>
          <w:rFonts w:ascii="Calibri" w:hAnsi="Calibri" w:cs="Calibri"/>
          <w:sz w:val="22"/>
          <w:szCs w:val="22"/>
        </w:rPr>
        <w:t xml:space="preserve"> research</w:t>
      </w:r>
      <w:r w:rsidR="00630CBB" w:rsidRPr="00136F3A">
        <w:rPr>
          <w:rFonts w:ascii="Calibri" w:hAnsi="Calibri" w:cs="Calibri"/>
          <w:sz w:val="22"/>
          <w:szCs w:val="22"/>
        </w:rPr>
        <w:t>,</w:t>
      </w:r>
      <w:r w:rsidR="004B1D23">
        <w:rPr>
          <w:rFonts w:ascii="Calibri" w:hAnsi="Calibri" w:cs="Calibri"/>
          <w:sz w:val="22"/>
          <w:szCs w:val="22"/>
        </w:rPr>
        <w:t xml:space="preserve"> engaging primarily with</w:t>
      </w:r>
      <w:r w:rsidR="00630CBB" w:rsidRPr="00136F3A">
        <w:rPr>
          <w:rFonts w:ascii="Calibri" w:hAnsi="Calibri" w:cs="Calibri"/>
          <w:sz w:val="22"/>
          <w:szCs w:val="22"/>
        </w:rPr>
        <w:t xml:space="preserve"> </w:t>
      </w:r>
      <w:r w:rsidR="001F42C9" w:rsidRPr="00136F3A">
        <w:rPr>
          <w:rFonts w:ascii="Calibri" w:hAnsi="Calibri" w:cs="Calibri"/>
          <w:sz w:val="22"/>
          <w:szCs w:val="22"/>
        </w:rPr>
        <w:t>textual and legal analysis of documents and secondary sources</w:t>
      </w:r>
      <w:r w:rsidR="00E2454E" w:rsidRPr="00136F3A">
        <w:rPr>
          <w:rFonts w:ascii="Calibri" w:hAnsi="Calibri" w:cs="Calibri"/>
          <w:sz w:val="22"/>
          <w:szCs w:val="22"/>
        </w:rPr>
        <w:t xml:space="preserve">. </w:t>
      </w:r>
      <w:r w:rsidR="00BD73CE">
        <w:rPr>
          <w:rFonts w:ascii="Calibri" w:hAnsi="Calibri" w:cs="Calibri"/>
          <w:sz w:val="22"/>
          <w:szCs w:val="22"/>
        </w:rPr>
        <w:t xml:space="preserve">As I have </w:t>
      </w:r>
      <w:r w:rsidR="00F05F90">
        <w:rPr>
          <w:rFonts w:ascii="Calibri" w:hAnsi="Calibri" w:cs="Calibri"/>
          <w:sz w:val="22"/>
          <w:szCs w:val="22"/>
        </w:rPr>
        <w:t>argued above</w:t>
      </w:r>
      <w:r w:rsidR="0004726F" w:rsidRPr="00136F3A">
        <w:rPr>
          <w:rFonts w:ascii="Calibri" w:hAnsi="Calibri" w:cs="Calibri"/>
          <w:sz w:val="22"/>
          <w:szCs w:val="22"/>
        </w:rPr>
        <w:t xml:space="preserve"> </w:t>
      </w:r>
      <w:r w:rsidR="00E2454E" w:rsidRPr="00136F3A">
        <w:rPr>
          <w:rFonts w:ascii="Calibri" w:hAnsi="Calibri" w:cs="Calibri"/>
          <w:sz w:val="22"/>
          <w:szCs w:val="22"/>
        </w:rPr>
        <w:t>the</w:t>
      </w:r>
      <w:r w:rsidR="00444995">
        <w:rPr>
          <w:rFonts w:ascii="Calibri" w:hAnsi="Calibri" w:cs="Calibri"/>
          <w:sz w:val="22"/>
          <w:szCs w:val="22"/>
        </w:rPr>
        <w:t>se</w:t>
      </w:r>
      <w:r w:rsidR="00E2454E" w:rsidRPr="00136F3A">
        <w:rPr>
          <w:rFonts w:ascii="Calibri" w:hAnsi="Calibri" w:cs="Calibri"/>
          <w:sz w:val="22"/>
          <w:szCs w:val="22"/>
        </w:rPr>
        <w:t xml:space="preserve"> methods </w:t>
      </w:r>
      <w:r w:rsidR="00772086" w:rsidRPr="00136F3A">
        <w:rPr>
          <w:rFonts w:ascii="Calibri" w:hAnsi="Calibri" w:cs="Calibri"/>
          <w:sz w:val="22"/>
          <w:szCs w:val="22"/>
        </w:rPr>
        <w:t xml:space="preserve">do not </w:t>
      </w:r>
      <w:r w:rsidR="00F05F90" w:rsidRPr="00136F3A">
        <w:rPr>
          <w:rFonts w:ascii="Calibri" w:hAnsi="Calibri" w:cs="Calibri"/>
          <w:sz w:val="22"/>
          <w:szCs w:val="22"/>
        </w:rPr>
        <w:t>use</w:t>
      </w:r>
      <w:r w:rsidR="00E2454E" w:rsidRPr="00136F3A">
        <w:rPr>
          <w:rFonts w:ascii="Calibri" w:hAnsi="Calibri" w:cs="Calibri"/>
          <w:sz w:val="22"/>
          <w:szCs w:val="22"/>
        </w:rPr>
        <w:t xml:space="preserve"> direct </w:t>
      </w:r>
      <w:r w:rsidR="007069BC" w:rsidRPr="00136F3A">
        <w:rPr>
          <w:rFonts w:ascii="Calibri" w:hAnsi="Calibri" w:cs="Calibri"/>
          <w:sz w:val="22"/>
          <w:szCs w:val="22"/>
        </w:rPr>
        <w:t>participants</w:t>
      </w:r>
      <w:r w:rsidR="00E2454E" w:rsidRPr="00136F3A">
        <w:rPr>
          <w:rFonts w:ascii="Calibri" w:hAnsi="Calibri" w:cs="Calibri"/>
          <w:sz w:val="22"/>
          <w:szCs w:val="22"/>
        </w:rPr>
        <w:t xml:space="preserve"> mean</w:t>
      </w:r>
      <w:r w:rsidR="0004726F" w:rsidRPr="00136F3A">
        <w:rPr>
          <w:rFonts w:ascii="Calibri" w:hAnsi="Calibri" w:cs="Calibri"/>
          <w:sz w:val="22"/>
          <w:szCs w:val="22"/>
        </w:rPr>
        <w:t>s</w:t>
      </w:r>
      <w:r w:rsidR="00E2454E" w:rsidRPr="00136F3A">
        <w:rPr>
          <w:rFonts w:ascii="Calibri" w:hAnsi="Calibri" w:cs="Calibri"/>
          <w:sz w:val="22"/>
          <w:szCs w:val="22"/>
        </w:rPr>
        <w:t xml:space="preserve"> that much of the </w:t>
      </w:r>
      <w:r w:rsidR="00B52BF8" w:rsidRPr="00136F3A">
        <w:rPr>
          <w:rFonts w:ascii="Calibri" w:hAnsi="Calibri" w:cs="Calibri"/>
          <w:sz w:val="22"/>
          <w:szCs w:val="22"/>
        </w:rPr>
        <w:t xml:space="preserve">concern around </w:t>
      </w:r>
      <w:r w:rsidR="000252F2" w:rsidRPr="00136F3A">
        <w:rPr>
          <w:rFonts w:ascii="Calibri" w:hAnsi="Calibri" w:cs="Calibri"/>
          <w:sz w:val="22"/>
          <w:szCs w:val="22"/>
        </w:rPr>
        <w:t>one’s</w:t>
      </w:r>
      <w:r w:rsidR="00B52BF8" w:rsidRPr="00136F3A">
        <w:rPr>
          <w:rFonts w:ascii="Calibri" w:hAnsi="Calibri" w:cs="Calibri"/>
          <w:sz w:val="22"/>
          <w:szCs w:val="22"/>
        </w:rPr>
        <w:t xml:space="preserve"> positionality and the need for reflexivity by the researcher </w:t>
      </w:r>
      <w:r w:rsidR="0021336E" w:rsidRPr="00136F3A">
        <w:rPr>
          <w:rFonts w:ascii="Calibri" w:hAnsi="Calibri" w:cs="Calibri"/>
          <w:sz w:val="22"/>
          <w:szCs w:val="22"/>
        </w:rPr>
        <w:t>might</w:t>
      </w:r>
      <w:r w:rsidR="00B52BF8" w:rsidRPr="00136F3A">
        <w:rPr>
          <w:rFonts w:ascii="Calibri" w:hAnsi="Calibri" w:cs="Calibri"/>
          <w:sz w:val="22"/>
          <w:szCs w:val="22"/>
        </w:rPr>
        <w:t xml:space="preserve"> </w:t>
      </w:r>
      <w:proofErr w:type="gramStart"/>
      <w:r w:rsidR="00B52BF8" w:rsidRPr="00136F3A">
        <w:rPr>
          <w:rFonts w:ascii="Calibri" w:hAnsi="Calibri" w:cs="Calibri"/>
          <w:sz w:val="22"/>
          <w:szCs w:val="22"/>
        </w:rPr>
        <w:t>be presumed</w:t>
      </w:r>
      <w:proofErr w:type="gramEnd"/>
      <w:r w:rsidR="00B52BF8" w:rsidRPr="00136F3A">
        <w:rPr>
          <w:rFonts w:ascii="Calibri" w:hAnsi="Calibri" w:cs="Calibri"/>
          <w:sz w:val="22"/>
          <w:szCs w:val="22"/>
        </w:rPr>
        <w:t xml:space="preserve"> </w:t>
      </w:r>
      <w:r w:rsidR="007069BC" w:rsidRPr="00136F3A">
        <w:rPr>
          <w:rFonts w:ascii="Calibri" w:hAnsi="Calibri" w:cs="Calibri"/>
          <w:sz w:val="22"/>
          <w:szCs w:val="22"/>
        </w:rPr>
        <w:t>absent</w:t>
      </w:r>
      <w:r w:rsidR="00B52BF8" w:rsidRPr="00136F3A">
        <w:rPr>
          <w:rFonts w:ascii="Calibri" w:hAnsi="Calibri" w:cs="Calibri"/>
          <w:sz w:val="22"/>
          <w:szCs w:val="22"/>
        </w:rPr>
        <w:t>.</w:t>
      </w:r>
      <w:r w:rsidR="0004726F" w:rsidRPr="00136F3A">
        <w:rPr>
          <w:rFonts w:ascii="Calibri" w:hAnsi="Calibri" w:cs="Calibri"/>
          <w:sz w:val="22"/>
          <w:szCs w:val="22"/>
        </w:rPr>
        <w:t xml:space="preserve"> </w:t>
      </w:r>
      <w:r w:rsidR="00553C54">
        <w:rPr>
          <w:rFonts w:ascii="Calibri" w:hAnsi="Calibri" w:cs="Calibri"/>
          <w:sz w:val="22"/>
          <w:szCs w:val="22"/>
        </w:rPr>
        <w:t>I argue however</w:t>
      </w:r>
      <w:r w:rsidR="00B52BF8" w:rsidRPr="00136F3A">
        <w:rPr>
          <w:rFonts w:ascii="Calibri" w:hAnsi="Calibri" w:cs="Calibri"/>
          <w:sz w:val="22"/>
          <w:szCs w:val="22"/>
        </w:rPr>
        <w:t xml:space="preserve"> that </w:t>
      </w:r>
      <w:r w:rsidR="00643DBE">
        <w:rPr>
          <w:rFonts w:ascii="Calibri" w:hAnsi="Calibri" w:cs="Calibri"/>
          <w:sz w:val="22"/>
          <w:szCs w:val="22"/>
        </w:rPr>
        <w:t>we</w:t>
      </w:r>
      <w:r w:rsidR="00643DBE" w:rsidRPr="00136F3A">
        <w:rPr>
          <w:rFonts w:ascii="Calibri" w:hAnsi="Calibri" w:cs="Calibri"/>
          <w:sz w:val="22"/>
          <w:szCs w:val="22"/>
        </w:rPr>
        <w:t xml:space="preserve"> </w:t>
      </w:r>
      <w:r w:rsidR="00B52BF8" w:rsidRPr="00136F3A">
        <w:rPr>
          <w:rFonts w:ascii="Calibri" w:hAnsi="Calibri" w:cs="Calibri"/>
          <w:sz w:val="22"/>
          <w:szCs w:val="22"/>
        </w:rPr>
        <w:t xml:space="preserve">cannot </w:t>
      </w:r>
      <w:r w:rsidR="000063A1" w:rsidRPr="00136F3A">
        <w:rPr>
          <w:rFonts w:ascii="Calibri" w:hAnsi="Calibri" w:cs="Calibri"/>
          <w:sz w:val="22"/>
          <w:szCs w:val="22"/>
        </w:rPr>
        <w:t>conduct</w:t>
      </w:r>
      <w:r w:rsidR="000543D8" w:rsidRPr="00136F3A">
        <w:rPr>
          <w:rFonts w:ascii="Calibri" w:hAnsi="Calibri" w:cs="Calibri"/>
          <w:sz w:val="22"/>
          <w:szCs w:val="22"/>
        </w:rPr>
        <w:t xml:space="preserve"> research devoid of </w:t>
      </w:r>
      <w:r w:rsidR="007069BC" w:rsidRPr="00136F3A">
        <w:rPr>
          <w:rFonts w:ascii="Calibri" w:hAnsi="Calibri" w:cs="Calibri"/>
          <w:sz w:val="22"/>
          <w:szCs w:val="22"/>
        </w:rPr>
        <w:t>reflexivity</w:t>
      </w:r>
      <w:r w:rsidR="000543D8" w:rsidRPr="00136F3A">
        <w:rPr>
          <w:rFonts w:ascii="Calibri" w:hAnsi="Calibri" w:cs="Calibri"/>
          <w:sz w:val="22"/>
          <w:szCs w:val="22"/>
        </w:rPr>
        <w:t xml:space="preserve"> purely </w:t>
      </w:r>
      <w:r w:rsidR="0016108A">
        <w:rPr>
          <w:rFonts w:ascii="Calibri" w:hAnsi="Calibri" w:cs="Calibri"/>
          <w:sz w:val="22"/>
          <w:szCs w:val="22"/>
        </w:rPr>
        <w:t>based on</w:t>
      </w:r>
      <w:r w:rsidR="000543D8" w:rsidRPr="00136F3A">
        <w:rPr>
          <w:rFonts w:ascii="Calibri" w:hAnsi="Calibri" w:cs="Calibri"/>
          <w:sz w:val="22"/>
          <w:szCs w:val="22"/>
        </w:rPr>
        <w:t xml:space="preserve"> a lack of direct participation. </w:t>
      </w:r>
      <w:r w:rsidR="00553C54">
        <w:rPr>
          <w:rFonts w:ascii="Calibri" w:hAnsi="Calibri" w:cs="Calibri"/>
          <w:sz w:val="22"/>
          <w:szCs w:val="22"/>
        </w:rPr>
        <w:t>T</w:t>
      </w:r>
      <w:r w:rsidR="006751CB" w:rsidRPr="00136F3A">
        <w:rPr>
          <w:rFonts w:ascii="Calibri" w:hAnsi="Calibri" w:cs="Calibri"/>
          <w:sz w:val="22"/>
          <w:szCs w:val="22"/>
        </w:rPr>
        <w:t xml:space="preserve">he lives </w:t>
      </w:r>
      <w:r w:rsidR="006C6A75" w:rsidRPr="00136F3A">
        <w:rPr>
          <w:rFonts w:ascii="Calibri" w:hAnsi="Calibri" w:cs="Calibri"/>
          <w:sz w:val="22"/>
          <w:szCs w:val="22"/>
        </w:rPr>
        <w:t xml:space="preserve">and interests </w:t>
      </w:r>
      <w:r w:rsidR="006751CB" w:rsidRPr="00136F3A">
        <w:rPr>
          <w:rFonts w:ascii="Calibri" w:hAnsi="Calibri" w:cs="Calibri"/>
          <w:sz w:val="22"/>
          <w:szCs w:val="22"/>
        </w:rPr>
        <w:t xml:space="preserve">of individuals </w:t>
      </w:r>
      <w:r w:rsidR="00F05F90" w:rsidRPr="00136F3A">
        <w:rPr>
          <w:rFonts w:ascii="Calibri" w:hAnsi="Calibri" w:cs="Calibri"/>
          <w:sz w:val="22"/>
          <w:szCs w:val="22"/>
        </w:rPr>
        <w:t>are still</w:t>
      </w:r>
      <w:r w:rsidR="006751CB" w:rsidRPr="00136F3A">
        <w:rPr>
          <w:rFonts w:ascii="Calibri" w:hAnsi="Calibri" w:cs="Calibri"/>
          <w:sz w:val="22"/>
          <w:szCs w:val="22"/>
        </w:rPr>
        <w:t xml:space="preserve"> present within the relevant secondary sources</w:t>
      </w:r>
      <w:r w:rsidR="00093AD6" w:rsidRPr="00136F3A">
        <w:rPr>
          <w:rFonts w:ascii="Calibri" w:hAnsi="Calibri" w:cs="Calibri"/>
          <w:sz w:val="22"/>
          <w:szCs w:val="22"/>
        </w:rPr>
        <w:t xml:space="preserve">. </w:t>
      </w:r>
      <w:r w:rsidR="001603CD">
        <w:rPr>
          <w:rFonts w:ascii="Calibri" w:hAnsi="Calibri" w:cs="Calibri"/>
          <w:sz w:val="22"/>
          <w:szCs w:val="22"/>
        </w:rPr>
        <w:t>Wh</w:t>
      </w:r>
      <w:r w:rsidR="00C52FB3" w:rsidRPr="00136F3A">
        <w:rPr>
          <w:rFonts w:ascii="Calibri" w:hAnsi="Calibri" w:cs="Calibri"/>
          <w:sz w:val="22"/>
          <w:szCs w:val="22"/>
        </w:rPr>
        <w:t xml:space="preserve">ere </w:t>
      </w:r>
      <w:r w:rsidR="00643DBE">
        <w:rPr>
          <w:rFonts w:ascii="Calibri" w:hAnsi="Calibri" w:cs="Calibri"/>
          <w:sz w:val="22"/>
          <w:szCs w:val="22"/>
        </w:rPr>
        <w:t>we</w:t>
      </w:r>
      <w:r w:rsidR="00643DBE" w:rsidRPr="00136F3A">
        <w:rPr>
          <w:rFonts w:ascii="Calibri" w:hAnsi="Calibri" w:cs="Calibri"/>
          <w:sz w:val="22"/>
          <w:szCs w:val="22"/>
        </w:rPr>
        <w:t xml:space="preserve"> </w:t>
      </w:r>
      <w:r w:rsidR="00C52FB3" w:rsidRPr="00136F3A">
        <w:rPr>
          <w:rFonts w:ascii="Calibri" w:hAnsi="Calibri" w:cs="Calibri"/>
          <w:sz w:val="22"/>
          <w:szCs w:val="22"/>
        </w:rPr>
        <w:t xml:space="preserve">do not have </w:t>
      </w:r>
      <w:r w:rsidR="006C6A75" w:rsidRPr="00136F3A">
        <w:rPr>
          <w:rFonts w:ascii="Calibri" w:hAnsi="Calibri" w:cs="Calibri"/>
          <w:sz w:val="22"/>
          <w:szCs w:val="22"/>
        </w:rPr>
        <w:t>active</w:t>
      </w:r>
      <w:r w:rsidR="00C52FB3" w:rsidRPr="00136F3A">
        <w:rPr>
          <w:rFonts w:ascii="Calibri" w:hAnsi="Calibri" w:cs="Calibri"/>
          <w:sz w:val="22"/>
          <w:szCs w:val="22"/>
        </w:rPr>
        <w:t xml:space="preserve"> participation which </w:t>
      </w:r>
      <w:r w:rsidR="00F05F90" w:rsidRPr="00136F3A">
        <w:rPr>
          <w:rFonts w:ascii="Calibri" w:hAnsi="Calibri" w:cs="Calibri"/>
          <w:sz w:val="22"/>
          <w:szCs w:val="22"/>
        </w:rPr>
        <w:t>supplies</w:t>
      </w:r>
      <w:r w:rsidR="00C52FB3" w:rsidRPr="00136F3A">
        <w:rPr>
          <w:rFonts w:ascii="Calibri" w:hAnsi="Calibri" w:cs="Calibri"/>
          <w:sz w:val="22"/>
          <w:szCs w:val="22"/>
        </w:rPr>
        <w:t xml:space="preserve"> a direct line of voice for participants</w:t>
      </w:r>
      <w:r w:rsidR="006C6A75" w:rsidRPr="00136F3A">
        <w:rPr>
          <w:rFonts w:ascii="Calibri" w:hAnsi="Calibri" w:cs="Calibri"/>
          <w:sz w:val="22"/>
          <w:szCs w:val="22"/>
        </w:rPr>
        <w:t>,</w:t>
      </w:r>
      <w:r w:rsidR="00C52FB3" w:rsidRPr="00136F3A">
        <w:rPr>
          <w:rFonts w:ascii="Calibri" w:hAnsi="Calibri" w:cs="Calibri"/>
          <w:sz w:val="22"/>
          <w:szCs w:val="22"/>
        </w:rPr>
        <w:t xml:space="preserve"> it is more important to </w:t>
      </w:r>
      <w:r w:rsidR="00C25238" w:rsidRPr="00136F3A">
        <w:rPr>
          <w:rFonts w:ascii="Calibri" w:hAnsi="Calibri" w:cs="Calibri"/>
          <w:sz w:val="22"/>
          <w:szCs w:val="22"/>
        </w:rPr>
        <w:t>employ</w:t>
      </w:r>
      <w:r w:rsidR="00C52FB3" w:rsidRPr="00136F3A">
        <w:rPr>
          <w:rFonts w:ascii="Calibri" w:hAnsi="Calibri" w:cs="Calibri"/>
          <w:sz w:val="22"/>
          <w:szCs w:val="22"/>
        </w:rPr>
        <w:t xml:space="preserve"> reflexive techniques </w:t>
      </w:r>
      <w:r w:rsidR="0016108A">
        <w:rPr>
          <w:rFonts w:ascii="Calibri" w:hAnsi="Calibri" w:cs="Calibri"/>
          <w:sz w:val="22"/>
          <w:szCs w:val="22"/>
        </w:rPr>
        <w:t>to</w:t>
      </w:r>
      <w:r w:rsidR="00C52FB3" w:rsidRPr="00136F3A">
        <w:rPr>
          <w:rFonts w:ascii="Calibri" w:hAnsi="Calibri" w:cs="Calibri"/>
          <w:sz w:val="22"/>
          <w:szCs w:val="22"/>
        </w:rPr>
        <w:t xml:space="preserve"> ensure that </w:t>
      </w:r>
      <w:r w:rsidR="00643DBE">
        <w:rPr>
          <w:rFonts w:ascii="Calibri" w:hAnsi="Calibri" w:cs="Calibri"/>
          <w:sz w:val="22"/>
          <w:szCs w:val="22"/>
        </w:rPr>
        <w:t>we</w:t>
      </w:r>
      <w:r w:rsidR="00643DBE" w:rsidRPr="00136F3A">
        <w:rPr>
          <w:rFonts w:ascii="Calibri" w:hAnsi="Calibri" w:cs="Calibri"/>
          <w:sz w:val="22"/>
          <w:szCs w:val="22"/>
        </w:rPr>
        <w:t xml:space="preserve"> </w:t>
      </w:r>
      <w:r w:rsidR="00643DBE">
        <w:rPr>
          <w:rFonts w:ascii="Calibri" w:hAnsi="Calibri" w:cs="Calibri"/>
          <w:sz w:val="22"/>
          <w:szCs w:val="22"/>
        </w:rPr>
        <w:t>are</w:t>
      </w:r>
      <w:r w:rsidR="00643DBE" w:rsidRPr="00136F3A">
        <w:rPr>
          <w:rFonts w:ascii="Calibri" w:hAnsi="Calibri" w:cs="Calibri"/>
          <w:sz w:val="22"/>
          <w:szCs w:val="22"/>
        </w:rPr>
        <w:t xml:space="preserve"> </w:t>
      </w:r>
      <w:r w:rsidR="00C874E6" w:rsidRPr="00136F3A">
        <w:rPr>
          <w:rFonts w:ascii="Calibri" w:hAnsi="Calibri" w:cs="Calibri"/>
          <w:sz w:val="22"/>
          <w:szCs w:val="22"/>
        </w:rPr>
        <w:t>speaking appropriately</w:t>
      </w:r>
      <w:r w:rsidR="004C1820" w:rsidRPr="00136F3A">
        <w:rPr>
          <w:rFonts w:ascii="Calibri" w:hAnsi="Calibri" w:cs="Calibri"/>
          <w:sz w:val="22"/>
          <w:szCs w:val="22"/>
        </w:rPr>
        <w:t xml:space="preserve"> </w:t>
      </w:r>
      <w:proofErr w:type="gramStart"/>
      <w:r w:rsidR="00C874E6" w:rsidRPr="00136F3A">
        <w:rPr>
          <w:rFonts w:ascii="Calibri" w:hAnsi="Calibri" w:cs="Calibri"/>
          <w:sz w:val="22"/>
          <w:szCs w:val="22"/>
        </w:rPr>
        <w:t>regarding</w:t>
      </w:r>
      <w:proofErr w:type="gramEnd"/>
      <w:r w:rsidR="00C874E6" w:rsidRPr="00136F3A">
        <w:rPr>
          <w:rFonts w:ascii="Calibri" w:hAnsi="Calibri" w:cs="Calibri"/>
          <w:sz w:val="22"/>
          <w:szCs w:val="22"/>
        </w:rPr>
        <w:t xml:space="preserve"> the research subjects or </w:t>
      </w:r>
      <w:r w:rsidR="001603CD" w:rsidRPr="00136F3A">
        <w:rPr>
          <w:rFonts w:ascii="Calibri" w:hAnsi="Calibri" w:cs="Calibri"/>
          <w:sz w:val="22"/>
          <w:szCs w:val="22"/>
        </w:rPr>
        <w:t>sources</w:t>
      </w:r>
      <w:r w:rsidR="001603CD">
        <w:rPr>
          <w:rFonts w:ascii="Calibri" w:hAnsi="Calibri" w:cs="Calibri"/>
          <w:sz w:val="22"/>
          <w:szCs w:val="22"/>
        </w:rPr>
        <w:t>.</w:t>
      </w:r>
    </w:p>
    <w:p w14:paraId="08D235F0" w14:textId="77777777" w:rsidR="00313AE4" w:rsidRPr="00136F3A" w:rsidRDefault="00313AE4" w:rsidP="00FF525C">
      <w:pPr>
        <w:jc w:val="both"/>
        <w:rPr>
          <w:rFonts w:ascii="Calibri" w:hAnsi="Calibri" w:cs="Calibri"/>
          <w:sz w:val="22"/>
          <w:szCs w:val="22"/>
        </w:rPr>
      </w:pPr>
    </w:p>
    <w:p w14:paraId="61A01C94" w14:textId="174BF918" w:rsidR="000D1C43" w:rsidRPr="00136F3A" w:rsidRDefault="00E6623C" w:rsidP="00FF525C">
      <w:pPr>
        <w:jc w:val="both"/>
        <w:rPr>
          <w:rFonts w:ascii="Calibri" w:hAnsi="Calibri" w:cs="Calibri"/>
          <w:sz w:val="22"/>
          <w:szCs w:val="22"/>
        </w:rPr>
      </w:pPr>
      <w:r>
        <w:rPr>
          <w:rFonts w:ascii="Calibri" w:hAnsi="Calibri" w:cs="Calibri"/>
          <w:sz w:val="22"/>
          <w:szCs w:val="22"/>
        </w:rPr>
        <w:t>Applied to the present</w:t>
      </w:r>
      <w:r w:rsidR="00BC229B">
        <w:rPr>
          <w:rFonts w:ascii="Calibri" w:hAnsi="Calibri" w:cs="Calibri"/>
          <w:sz w:val="22"/>
          <w:szCs w:val="22"/>
        </w:rPr>
        <w:t xml:space="preserve"> research example</w:t>
      </w:r>
      <w:r>
        <w:rPr>
          <w:rFonts w:ascii="Calibri" w:hAnsi="Calibri" w:cs="Calibri"/>
          <w:sz w:val="22"/>
          <w:szCs w:val="22"/>
        </w:rPr>
        <w:t xml:space="preserve">, </w:t>
      </w:r>
      <w:r w:rsidR="00F05F90">
        <w:rPr>
          <w:rFonts w:ascii="Calibri" w:hAnsi="Calibri" w:cs="Calibri"/>
          <w:sz w:val="22"/>
          <w:szCs w:val="22"/>
        </w:rPr>
        <w:t>r</w:t>
      </w:r>
      <w:r w:rsidR="00802C81" w:rsidRPr="00136F3A">
        <w:rPr>
          <w:rFonts w:ascii="Calibri" w:hAnsi="Calibri" w:cs="Calibri"/>
          <w:sz w:val="22"/>
          <w:szCs w:val="22"/>
        </w:rPr>
        <w:t>eflexivity and positionality</w:t>
      </w:r>
      <w:r w:rsidR="00C31A17" w:rsidRPr="00136F3A">
        <w:rPr>
          <w:rFonts w:ascii="Calibri" w:hAnsi="Calibri" w:cs="Calibri"/>
          <w:sz w:val="22"/>
          <w:szCs w:val="22"/>
        </w:rPr>
        <w:t xml:space="preserve"> </w:t>
      </w:r>
      <w:r w:rsidR="002D5738">
        <w:rPr>
          <w:rFonts w:ascii="Calibri" w:hAnsi="Calibri" w:cs="Calibri"/>
          <w:sz w:val="22"/>
          <w:szCs w:val="22"/>
        </w:rPr>
        <w:t xml:space="preserve">are </w:t>
      </w:r>
      <w:r w:rsidR="00C31A17" w:rsidRPr="00136F3A">
        <w:rPr>
          <w:rFonts w:ascii="Calibri" w:hAnsi="Calibri" w:cs="Calibri"/>
          <w:sz w:val="22"/>
          <w:szCs w:val="22"/>
        </w:rPr>
        <w:t>especially pressing concern</w:t>
      </w:r>
      <w:r>
        <w:rPr>
          <w:rFonts w:ascii="Calibri" w:hAnsi="Calibri" w:cs="Calibri"/>
          <w:sz w:val="22"/>
          <w:szCs w:val="22"/>
        </w:rPr>
        <w:t>s.</w:t>
      </w:r>
      <w:r w:rsidR="002D5738">
        <w:rPr>
          <w:rFonts w:ascii="Calibri" w:hAnsi="Calibri" w:cs="Calibri"/>
          <w:sz w:val="22"/>
          <w:szCs w:val="22"/>
        </w:rPr>
        <w:t xml:space="preserve"> </w:t>
      </w:r>
      <w:r>
        <w:rPr>
          <w:rFonts w:ascii="Calibri" w:hAnsi="Calibri" w:cs="Calibri"/>
          <w:sz w:val="22"/>
          <w:szCs w:val="22"/>
        </w:rPr>
        <w:t>I</w:t>
      </w:r>
      <w:r w:rsidR="002D5738">
        <w:rPr>
          <w:rFonts w:ascii="Calibri" w:hAnsi="Calibri" w:cs="Calibri"/>
          <w:sz w:val="22"/>
          <w:szCs w:val="22"/>
        </w:rPr>
        <w:t xml:space="preserve">n </w:t>
      </w:r>
      <w:r w:rsidR="00BC229B">
        <w:rPr>
          <w:rFonts w:ascii="Calibri" w:hAnsi="Calibri" w:cs="Calibri"/>
          <w:sz w:val="22"/>
          <w:szCs w:val="22"/>
        </w:rPr>
        <w:t>BHR</w:t>
      </w:r>
      <w:r w:rsidR="002D5738">
        <w:rPr>
          <w:rFonts w:ascii="Calibri" w:hAnsi="Calibri" w:cs="Calibri"/>
          <w:sz w:val="22"/>
          <w:szCs w:val="22"/>
        </w:rPr>
        <w:t xml:space="preserve"> and </w:t>
      </w:r>
      <w:r w:rsidR="00FD167E">
        <w:rPr>
          <w:rFonts w:ascii="Calibri" w:hAnsi="Calibri" w:cs="Calibri"/>
          <w:sz w:val="22"/>
          <w:szCs w:val="22"/>
        </w:rPr>
        <w:t xml:space="preserve">Right to Health </w:t>
      </w:r>
      <w:r w:rsidR="002D5738">
        <w:rPr>
          <w:rFonts w:ascii="Calibri" w:hAnsi="Calibri" w:cs="Calibri"/>
          <w:sz w:val="22"/>
          <w:szCs w:val="22"/>
        </w:rPr>
        <w:t>research</w:t>
      </w:r>
      <w:r>
        <w:rPr>
          <w:rFonts w:ascii="Calibri" w:hAnsi="Calibri" w:cs="Calibri"/>
          <w:sz w:val="22"/>
          <w:szCs w:val="22"/>
        </w:rPr>
        <w:t xml:space="preserve"> those</w:t>
      </w:r>
      <w:r w:rsidR="00C31A17" w:rsidRPr="00136F3A">
        <w:rPr>
          <w:rFonts w:ascii="Calibri" w:hAnsi="Calibri" w:cs="Calibri"/>
          <w:sz w:val="22"/>
          <w:szCs w:val="22"/>
        </w:rPr>
        <w:t xml:space="preserve"> individuals </w:t>
      </w:r>
      <w:r w:rsidR="002F7864">
        <w:rPr>
          <w:rFonts w:ascii="Calibri" w:hAnsi="Calibri" w:cs="Calibri"/>
          <w:sz w:val="22"/>
          <w:szCs w:val="22"/>
        </w:rPr>
        <w:t xml:space="preserve">whose rights may have </w:t>
      </w:r>
      <w:proofErr w:type="gramStart"/>
      <w:r w:rsidR="002F7864">
        <w:rPr>
          <w:rFonts w:ascii="Calibri" w:hAnsi="Calibri" w:cs="Calibri"/>
          <w:sz w:val="22"/>
          <w:szCs w:val="22"/>
        </w:rPr>
        <w:t>been infringed</w:t>
      </w:r>
      <w:proofErr w:type="gramEnd"/>
      <w:r w:rsidR="002F7864">
        <w:rPr>
          <w:rFonts w:ascii="Calibri" w:hAnsi="Calibri" w:cs="Calibri"/>
          <w:sz w:val="22"/>
          <w:szCs w:val="22"/>
        </w:rPr>
        <w:t xml:space="preserve"> </w:t>
      </w:r>
      <w:r w:rsidR="00A751A8" w:rsidRPr="00136F3A">
        <w:rPr>
          <w:rFonts w:ascii="Calibri" w:hAnsi="Calibri" w:cs="Calibri"/>
          <w:sz w:val="22"/>
          <w:szCs w:val="22"/>
        </w:rPr>
        <w:t xml:space="preserve">will </w:t>
      </w:r>
      <w:r w:rsidR="00F05F90">
        <w:rPr>
          <w:rFonts w:ascii="Calibri" w:hAnsi="Calibri" w:cs="Calibri"/>
          <w:sz w:val="22"/>
          <w:szCs w:val="22"/>
        </w:rPr>
        <w:t>no doubt</w:t>
      </w:r>
      <w:r w:rsidR="002F7864">
        <w:rPr>
          <w:rFonts w:ascii="Calibri" w:hAnsi="Calibri" w:cs="Calibri"/>
          <w:sz w:val="22"/>
          <w:szCs w:val="22"/>
        </w:rPr>
        <w:t xml:space="preserve"> be</w:t>
      </w:r>
      <w:r w:rsidR="002F7864" w:rsidRPr="00136F3A">
        <w:rPr>
          <w:rFonts w:ascii="Calibri" w:hAnsi="Calibri" w:cs="Calibri"/>
          <w:sz w:val="22"/>
          <w:szCs w:val="22"/>
        </w:rPr>
        <w:t xml:space="preserve"> </w:t>
      </w:r>
      <w:r w:rsidR="00A751A8" w:rsidRPr="00136F3A">
        <w:rPr>
          <w:rFonts w:ascii="Calibri" w:hAnsi="Calibri" w:cs="Calibri"/>
          <w:sz w:val="22"/>
          <w:szCs w:val="22"/>
        </w:rPr>
        <w:t>in less powerful position t</w:t>
      </w:r>
      <w:r w:rsidR="002F7864">
        <w:rPr>
          <w:rFonts w:ascii="Calibri" w:hAnsi="Calibri" w:cs="Calibri"/>
          <w:sz w:val="22"/>
          <w:szCs w:val="22"/>
        </w:rPr>
        <w:t xml:space="preserve">o </w:t>
      </w:r>
      <w:r w:rsidR="00A751A8" w:rsidRPr="00136F3A">
        <w:rPr>
          <w:rFonts w:ascii="Calibri" w:hAnsi="Calibri" w:cs="Calibri"/>
          <w:sz w:val="22"/>
          <w:szCs w:val="22"/>
        </w:rPr>
        <w:t>both the researcher and the corporations</w:t>
      </w:r>
      <w:r w:rsidR="002F7864">
        <w:rPr>
          <w:rFonts w:ascii="Calibri" w:hAnsi="Calibri" w:cs="Calibri"/>
          <w:sz w:val="22"/>
          <w:szCs w:val="22"/>
        </w:rPr>
        <w:t xml:space="preserve"> who have caused them harm</w:t>
      </w:r>
      <w:r w:rsidR="00A751A8" w:rsidRPr="00136F3A">
        <w:rPr>
          <w:rFonts w:ascii="Calibri" w:hAnsi="Calibri" w:cs="Calibri"/>
          <w:sz w:val="22"/>
          <w:szCs w:val="22"/>
        </w:rPr>
        <w:t>.</w:t>
      </w:r>
      <w:r w:rsidR="006E5B57">
        <w:rPr>
          <w:rFonts w:ascii="Calibri" w:hAnsi="Calibri" w:cs="Calibri"/>
          <w:sz w:val="22"/>
          <w:szCs w:val="22"/>
        </w:rPr>
        <w:t xml:space="preserve"> The financial imbalance between multinational pharmaceutical corporations and an individual who cannot afford essential medicines </w:t>
      </w:r>
      <w:r w:rsidR="00280760">
        <w:rPr>
          <w:rFonts w:ascii="Calibri" w:hAnsi="Calibri" w:cs="Calibri"/>
          <w:sz w:val="22"/>
          <w:szCs w:val="22"/>
        </w:rPr>
        <w:t>is stark. Additionally, t</w:t>
      </w:r>
      <w:r w:rsidR="00267036">
        <w:rPr>
          <w:rFonts w:ascii="Calibri" w:hAnsi="Calibri" w:cs="Calibri"/>
          <w:sz w:val="22"/>
          <w:szCs w:val="22"/>
        </w:rPr>
        <w:t>hese</w:t>
      </w:r>
      <w:r w:rsidR="00A751A8" w:rsidRPr="00136F3A">
        <w:rPr>
          <w:rFonts w:ascii="Calibri" w:hAnsi="Calibri" w:cs="Calibri"/>
          <w:sz w:val="22"/>
          <w:szCs w:val="22"/>
        </w:rPr>
        <w:t xml:space="preserve"> individuals may not </w:t>
      </w:r>
      <w:r w:rsidR="001603CD" w:rsidRPr="00136F3A">
        <w:rPr>
          <w:rFonts w:ascii="Calibri" w:hAnsi="Calibri" w:cs="Calibri"/>
          <w:sz w:val="22"/>
          <w:szCs w:val="22"/>
        </w:rPr>
        <w:t>have</w:t>
      </w:r>
      <w:r w:rsidR="00A751A8" w:rsidRPr="00136F3A">
        <w:rPr>
          <w:rFonts w:ascii="Calibri" w:hAnsi="Calibri" w:cs="Calibri"/>
          <w:sz w:val="22"/>
          <w:szCs w:val="22"/>
        </w:rPr>
        <w:t xml:space="preserve"> </w:t>
      </w:r>
      <w:r w:rsidR="00741495">
        <w:rPr>
          <w:rFonts w:ascii="Calibri" w:hAnsi="Calibri" w:cs="Calibri"/>
          <w:sz w:val="22"/>
          <w:szCs w:val="22"/>
        </w:rPr>
        <w:t xml:space="preserve">the </w:t>
      </w:r>
      <w:r w:rsidR="00A751A8" w:rsidRPr="00136F3A">
        <w:rPr>
          <w:rFonts w:ascii="Calibri" w:hAnsi="Calibri" w:cs="Calibri"/>
          <w:sz w:val="22"/>
          <w:szCs w:val="22"/>
        </w:rPr>
        <w:t xml:space="preserve">political or social power to shape their </w:t>
      </w:r>
      <w:r w:rsidR="002F7864">
        <w:rPr>
          <w:rFonts w:ascii="Calibri" w:hAnsi="Calibri" w:cs="Calibri"/>
          <w:sz w:val="22"/>
          <w:szCs w:val="22"/>
        </w:rPr>
        <w:t xml:space="preserve">own </w:t>
      </w:r>
      <w:r w:rsidR="00A751A8" w:rsidRPr="00136F3A">
        <w:rPr>
          <w:rFonts w:ascii="Calibri" w:hAnsi="Calibri" w:cs="Calibri"/>
          <w:sz w:val="22"/>
          <w:szCs w:val="22"/>
        </w:rPr>
        <w:t>narratives</w:t>
      </w:r>
      <w:r w:rsidR="002F7864">
        <w:rPr>
          <w:rFonts w:ascii="Calibri" w:hAnsi="Calibri" w:cs="Calibri"/>
          <w:sz w:val="22"/>
          <w:szCs w:val="22"/>
        </w:rPr>
        <w:t>,</w:t>
      </w:r>
      <w:r w:rsidR="00A751A8" w:rsidRPr="00136F3A">
        <w:rPr>
          <w:rFonts w:ascii="Calibri" w:hAnsi="Calibri" w:cs="Calibri"/>
          <w:sz w:val="22"/>
          <w:szCs w:val="22"/>
        </w:rPr>
        <w:t xml:space="preserve"> </w:t>
      </w:r>
      <w:r w:rsidR="002F7864">
        <w:rPr>
          <w:rFonts w:ascii="Calibri" w:hAnsi="Calibri" w:cs="Calibri"/>
          <w:sz w:val="22"/>
          <w:szCs w:val="22"/>
        </w:rPr>
        <w:t>un</w:t>
      </w:r>
      <w:r w:rsidR="00267036">
        <w:rPr>
          <w:rFonts w:ascii="Calibri" w:hAnsi="Calibri" w:cs="Calibri"/>
          <w:sz w:val="22"/>
          <w:szCs w:val="22"/>
        </w:rPr>
        <w:t>like</w:t>
      </w:r>
      <w:r w:rsidR="00A751A8" w:rsidRPr="00136F3A">
        <w:rPr>
          <w:rFonts w:ascii="Calibri" w:hAnsi="Calibri" w:cs="Calibri"/>
          <w:sz w:val="22"/>
          <w:szCs w:val="22"/>
        </w:rPr>
        <w:t xml:space="preserve"> </w:t>
      </w:r>
      <w:r w:rsidR="002F7864">
        <w:rPr>
          <w:rFonts w:ascii="Calibri" w:hAnsi="Calibri" w:cs="Calibri"/>
          <w:sz w:val="22"/>
          <w:szCs w:val="22"/>
        </w:rPr>
        <w:t xml:space="preserve">those </w:t>
      </w:r>
      <w:r w:rsidR="00A751A8" w:rsidRPr="00136F3A">
        <w:rPr>
          <w:rFonts w:ascii="Calibri" w:hAnsi="Calibri" w:cs="Calibri"/>
          <w:sz w:val="22"/>
          <w:szCs w:val="22"/>
        </w:rPr>
        <w:t xml:space="preserve">more powerful </w:t>
      </w:r>
      <w:r w:rsidR="009D2B5C">
        <w:rPr>
          <w:rFonts w:ascii="Calibri" w:hAnsi="Calibri" w:cs="Calibri"/>
          <w:sz w:val="22"/>
          <w:szCs w:val="22"/>
        </w:rPr>
        <w:t>corporate entities</w:t>
      </w:r>
      <w:r w:rsidR="009D2B5C">
        <w:rPr>
          <w:rFonts w:ascii="Calibri" w:hAnsi="Calibri" w:cs="Calibri"/>
          <w:sz w:val="22"/>
          <w:szCs w:val="22"/>
        </w:rPr>
        <w:t xml:space="preserve"> </w:t>
      </w:r>
      <w:r w:rsidR="00280760">
        <w:rPr>
          <w:rFonts w:ascii="Calibri" w:hAnsi="Calibri" w:cs="Calibri"/>
          <w:sz w:val="22"/>
          <w:szCs w:val="22"/>
        </w:rPr>
        <w:t xml:space="preserve">whose influence over </w:t>
      </w:r>
      <w:r w:rsidR="009D2B5C">
        <w:rPr>
          <w:rFonts w:ascii="Calibri" w:hAnsi="Calibri" w:cs="Calibri"/>
          <w:sz w:val="22"/>
          <w:szCs w:val="22"/>
        </w:rPr>
        <w:t>the nation state can often be overwhelming</w:t>
      </w:r>
      <w:r w:rsidR="00A751A8" w:rsidRPr="00136F3A">
        <w:rPr>
          <w:rFonts w:ascii="Calibri" w:hAnsi="Calibri" w:cs="Calibri"/>
          <w:sz w:val="22"/>
          <w:szCs w:val="22"/>
        </w:rPr>
        <w:t>.</w:t>
      </w:r>
      <w:r w:rsidR="00FE57C3" w:rsidRPr="00136F3A">
        <w:rPr>
          <w:rFonts w:ascii="Calibri" w:hAnsi="Calibri" w:cs="Calibri"/>
          <w:sz w:val="22"/>
          <w:szCs w:val="22"/>
        </w:rPr>
        <w:t xml:space="preserve"> </w:t>
      </w:r>
      <w:r w:rsidR="00752E71">
        <w:rPr>
          <w:rFonts w:ascii="Calibri" w:hAnsi="Calibri" w:cs="Calibri"/>
          <w:sz w:val="22"/>
          <w:szCs w:val="22"/>
        </w:rPr>
        <w:t>Thus, in conducting research of this kind, r</w:t>
      </w:r>
      <w:r w:rsidR="009D2B5C">
        <w:rPr>
          <w:rFonts w:ascii="Calibri" w:hAnsi="Calibri" w:cs="Calibri"/>
          <w:sz w:val="22"/>
          <w:szCs w:val="22"/>
        </w:rPr>
        <w:t>eflexive practice</w:t>
      </w:r>
      <w:r w:rsidR="009D2B5C" w:rsidRPr="00136F3A">
        <w:rPr>
          <w:rFonts w:ascii="Calibri" w:hAnsi="Calibri" w:cs="Calibri"/>
          <w:sz w:val="22"/>
          <w:szCs w:val="22"/>
        </w:rPr>
        <w:t xml:space="preserve"> </w:t>
      </w:r>
      <w:r w:rsidR="00FE57C3" w:rsidRPr="00136F3A">
        <w:rPr>
          <w:rFonts w:ascii="Calibri" w:hAnsi="Calibri" w:cs="Calibri"/>
          <w:sz w:val="22"/>
          <w:szCs w:val="22"/>
        </w:rPr>
        <w:t xml:space="preserve">and </w:t>
      </w:r>
      <w:r w:rsidR="00752E71">
        <w:rPr>
          <w:rFonts w:ascii="Calibri" w:hAnsi="Calibri" w:cs="Calibri"/>
          <w:sz w:val="22"/>
          <w:szCs w:val="22"/>
        </w:rPr>
        <w:t xml:space="preserve">critical use of </w:t>
      </w:r>
      <w:r w:rsidR="00FE57C3" w:rsidRPr="00136F3A">
        <w:rPr>
          <w:rFonts w:ascii="Calibri" w:hAnsi="Calibri" w:cs="Calibri"/>
          <w:sz w:val="22"/>
          <w:szCs w:val="22"/>
        </w:rPr>
        <w:t xml:space="preserve">positionality are critical in </w:t>
      </w:r>
      <w:r w:rsidR="00A17EA4" w:rsidRPr="00136F3A">
        <w:rPr>
          <w:rFonts w:ascii="Calibri" w:hAnsi="Calibri" w:cs="Calibri"/>
          <w:sz w:val="22"/>
          <w:szCs w:val="22"/>
        </w:rPr>
        <w:t>navigating</w:t>
      </w:r>
      <w:r w:rsidR="00FE57C3" w:rsidRPr="00136F3A">
        <w:rPr>
          <w:rFonts w:ascii="Calibri" w:hAnsi="Calibri" w:cs="Calibri"/>
          <w:sz w:val="22"/>
          <w:szCs w:val="22"/>
        </w:rPr>
        <w:t xml:space="preserve"> these power dynamics </w:t>
      </w:r>
      <w:r w:rsidR="00B168AB" w:rsidRPr="00136F3A">
        <w:rPr>
          <w:rFonts w:ascii="Calibri" w:hAnsi="Calibri" w:cs="Calibri"/>
          <w:sz w:val="22"/>
          <w:szCs w:val="22"/>
        </w:rPr>
        <w:fldChar w:fldCharType="begin" w:fldLock="1"/>
      </w:r>
      <w:r w:rsidR="00237CD4" w:rsidRPr="00136F3A">
        <w:rPr>
          <w:rFonts w:ascii="Calibri" w:hAnsi="Calibri" w:cs="Calibri"/>
          <w:sz w:val="22"/>
          <w:szCs w:val="22"/>
        </w:rPr>
        <w:instrText>ADDIN CSL_CITATION {"citationItems":[{"id":"ITEM-1","itemData":{"abstract":"Early discussions of insider/outsider status assumed that the researcher was predominately an insider or an outsider and that each status carried with it certain advantages and disadvantages. More recent discussions have unveiled the complexity inherent in either status and have acknowledged that the boundaries between the two positions are not all that clearly delineated. Four case studies – a Black woman interviewing other Black women, Asian graduate students in the US interviewing people from 'back home', an African professor learning from African businesswomen, and a cross-cultural team studying aging in a non-Western culture – are used as the data base to explore the complexities of researching within and across cultures. Positionality, power, and representation proved to be useful concepts for exploring insider/outsider dynamics. What does it mean to be an insider or an outsider to a particular group under study? Can women understand men's experience? Can Whites study Blacks? Straights study gays? The colonized study the colonizer? Early discussions in anthropology and sociology of insider/outsider status assumed that the researcher was either an insider or an outsider and that each status carried with it certain advantages and disadvantages. More recent discussions of insider/outsider status have unveiled the complexity inherent in either status and have acknowledged that the boundaries between the two positions are not all that clearly delineated. In the real world of data collection, there is a good bit of slippage and fluidity between these two states. Critical and feminist theory, postmodernism, multiculturalism, participatory and action research are now framing our understanding of insider/ outsider issues. In particular, the reconstruing of insider/outsider status in terms of one's positionality vis-à -vis race, class, gender, culture and other factors, offer us better tools for understanding the dynamics of researching within and across one's culture.","author":[{"dropping-particle":"","family":"Merriam","given":"Sharan B.","non-dropping-particle":"","parse-names":false,"suffix":""},{"dropping-particle":"","family":"Johnson-Bailey","given":"Juanita","non-dropping-particle":"","parse-names":false,"suffix":""},{"dropping-particle":"","family":"Lee","given":"Ming-Yeh","non-dropping-particle":"","parse-names":false,"suffix":""},{"dropping-particle":"","family":"Kee","given":"Youngwha","non-dropping-particle":"","parse-names":false,"suffix":""},{"dropping-particle":"","family":"Ntseane","given":"Gabo","non-dropping-particle":"","parse-names":false,"suffix":""},{"dropping-particle":"","family":"Muhamad","given":"Mazanah","non-dropping-particle":"","parse-names":false,"suffix":""}],"container-title":"International Journal of Lifelong Education","id":"ITEM-1","issue":"5","issued":{"date-parts":[["2001"]]},"page":"405-416","title":"Power and positionality: negotiating insider/outsider status within and across cultures","type":"article-journal","volume":"20"},"locator":"413","uris":["http://www.mendeley.com/documents/?uuid=8abba5ce-f498-49e0-b518-9a3e8fd0b88a"]}],"mendeley":{"formattedCitation":"(Merriam &lt;i&gt;et al.&lt;/i&gt;, 2001, p. 413)","plainTextFormattedCitation":"(Merriam et al., 2001, p. 413)","previouslyFormattedCitation":"(Merriam &lt;i&gt;et al.&lt;/i&gt;, 2001, p. 413)"},"properties":{"noteIndex":0},"schema":"https://github.com/citation-style-language/schema/raw/master/csl-citation.json"}</w:instrText>
      </w:r>
      <w:r w:rsidR="00B168AB" w:rsidRPr="00136F3A">
        <w:rPr>
          <w:rFonts w:ascii="Calibri" w:hAnsi="Calibri" w:cs="Calibri"/>
          <w:sz w:val="22"/>
          <w:szCs w:val="22"/>
        </w:rPr>
        <w:fldChar w:fldCharType="separate"/>
      </w:r>
      <w:r w:rsidR="00B168AB" w:rsidRPr="00136F3A">
        <w:rPr>
          <w:rFonts w:ascii="Calibri" w:hAnsi="Calibri" w:cs="Calibri"/>
          <w:noProof/>
          <w:sz w:val="22"/>
          <w:szCs w:val="22"/>
        </w:rPr>
        <w:t xml:space="preserve">(Merriam </w:t>
      </w:r>
      <w:r w:rsidR="00B168AB" w:rsidRPr="00136F3A">
        <w:rPr>
          <w:rFonts w:ascii="Calibri" w:hAnsi="Calibri" w:cs="Calibri"/>
          <w:i/>
          <w:noProof/>
          <w:sz w:val="22"/>
          <w:szCs w:val="22"/>
        </w:rPr>
        <w:t>et al.</w:t>
      </w:r>
      <w:r w:rsidR="00B168AB" w:rsidRPr="00136F3A">
        <w:rPr>
          <w:rFonts w:ascii="Calibri" w:hAnsi="Calibri" w:cs="Calibri"/>
          <w:noProof/>
          <w:sz w:val="22"/>
          <w:szCs w:val="22"/>
        </w:rPr>
        <w:t>, 2001, p. 413)</w:t>
      </w:r>
      <w:r w:rsidR="00B168AB" w:rsidRPr="00136F3A">
        <w:rPr>
          <w:rFonts w:ascii="Calibri" w:hAnsi="Calibri" w:cs="Calibri"/>
          <w:sz w:val="22"/>
          <w:szCs w:val="22"/>
        </w:rPr>
        <w:fldChar w:fldCharType="end"/>
      </w:r>
      <w:r w:rsidR="00A17EA4" w:rsidRPr="00136F3A">
        <w:rPr>
          <w:rFonts w:ascii="Calibri" w:hAnsi="Calibri" w:cs="Calibri"/>
          <w:sz w:val="22"/>
          <w:szCs w:val="22"/>
        </w:rPr>
        <w:t>.</w:t>
      </w:r>
      <w:r w:rsidR="00A751A8" w:rsidRPr="00136F3A">
        <w:rPr>
          <w:rFonts w:ascii="Calibri" w:hAnsi="Calibri" w:cs="Calibri"/>
          <w:sz w:val="22"/>
          <w:szCs w:val="22"/>
        </w:rPr>
        <w:t xml:space="preserve"> </w:t>
      </w:r>
      <w:r w:rsidR="007A7D3A">
        <w:rPr>
          <w:rFonts w:ascii="Calibri" w:hAnsi="Calibri" w:cs="Calibri"/>
          <w:sz w:val="22"/>
          <w:szCs w:val="22"/>
        </w:rPr>
        <w:t>The sources</w:t>
      </w:r>
      <w:r w:rsidR="00A751A8" w:rsidRPr="00136F3A">
        <w:rPr>
          <w:rFonts w:ascii="Calibri" w:hAnsi="Calibri" w:cs="Calibri"/>
          <w:sz w:val="22"/>
          <w:szCs w:val="22"/>
        </w:rPr>
        <w:t xml:space="preserve"> </w:t>
      </w:r>
      <w:r w:rsidR="00866016">
        <w:rPr>
          <w:rFonts w:ascii="Calibri" w:hAnsi="Calibri" w:cs="Calibri"/>
          <w:sz w:val="22"/>
          <w:szCs w:val="22"/>
        </w:rPr>
        <w:t xml:space="preserve">used within the legal analysis </w:t>
      </w:r>
      <w:r w:rsidR="000D1C43" w:rsidRPr="00136F3A">
        <w:rPr>
          <w:rFonts w:ascii="Calibri" w:hAnsi="Calibri" w:cs="Calibri"/>
          <w:sz w:val="22"/>
          <w:szCs w:val="22"/>
        </w:rPr>
        <w:t xml:space="preserve">and </w:t>
      </w:r>
      <w:r w:rsidR="00866016">
        <w:rPr>
          <w:rFonts w:ascii="Calibri" w:hAnsi="Calibri" w:cs="Calibri"/>
          <w:sz w:val="22"/>
          <w:szCs w:val="22"/>
        </w:rPr>
        <w:t>the researcher’s usage</w:t>
      </w:r>
      <w:r w:rsidR="00866016" w:rsidRPr="00136F3A">
        <w:rPr>
          <w:rFonts w:ascii="Calibri" w:hAnsi="Calibri" w:cs="Calibri"/>
          <w:sz w:val="22"/>
          <w:szCs w:val="22"/>
        </w:rPr>
        <w:t xml:space="preserve"> </w:t>
      </w:r>
      <w:r w:rsidR="000D1C43" w:rsidRPr="00136F3A">
        <w:rPr>
          <w:rFonts w:ascii="Calibri" w:hAnsi="Calibri" w:cs="Calibri"/>
          <w:sz w:val="22"/>
          <w:szCs w:val="22"/>
        </w:rPr>
        <w:t>o</w:t>
      </w:r>
      <w:r w:rsidR="00DF6F0F">
        <w:rPr>
          <w:rFonts w:ascii="Calibri" w:hAnsi="Calibri" w:cs="Calibri"/>
          <w:sz w:val="22"/>
          <w:szCs w:val="22"/>
        </w:rPr>
        <w:t>f</w:t>
      </w:r>
      <w:r w:rsidR="003E54AA">
        <w:rPr>
          <w:rFonts w:ascii="Calibri" w:hAnsi="Calibri" w:cs="Calibri"/>
          <w:sz w:val="22"/>
          <w:szCs w:val="22"/>
        </w:rPr>
        <w:t xml:space="preserve"> lived</w:t>
      </w:r>
      <w:r w:rsidR="000D1C43" w:rsidRPr="00136F3A">
        <w:rPr>
          <w:rFonts w:ascii="Calibri" w:hAnsi="Calibri" w:cs="Calibri"/>
          <w:sz w:val="22"/>
          <w:szCs w:val="22"/>
        </w:rPr>
        <w:t xml:space="preserve"> experiences must </w:t>
      </w:r>
      <w:proofErr w:type="gramStart"/>
      <w:r w:rsidR="000D1C43" w:rsidRPr="00136F3A">
        <w:rPr>
          <w:rFonts w:ascii="Calibri" w:hAnsi="Calibri" w:cs="Calibri"/>
          <w:sz w:val="22"/>
          <w:szCs w:val="22"/>
        </w:rPr>
        <w:t>be seen</w:t>
      </w:r>
      <w:proofErr w:type="gramEnd"/>
      <w:r w:rsidR="000D1C43" w:rsidRPr="00136F3A">
        <w:rPr>
          <w:rFonts w:ascii="Calibri" w:hAnsi="Calibri" w:cs="Calibri"/>
          <w:sz w:val="22"/>
          <w:szCs w:val="22"/>
        </w:rPr>
        <w:t xml:space="preserve"> through a reflexive lens</w:t>
      </w:r>
      <w:r w:rsidR="00A17EA4" w:rsidRPr="00136F3A">
        <w:rPr>
          <w:rFonts w:ascii="Calibri" w:hAnsi="Calibri" w:cs="Calibri"/>
          <w:sz w:val="22"/>
          <w:szCs w:val="22"/>
        </w:rPr>
        <w:t xml:space="preserve"> </w:t>
      </w:r>
      <w:r w:rsidR="000D1C43" w:rsidRPr="00136F3A">
        <w:rPr>
          <w:rFonts w:ascii="Calibri" w:hAnsi="Calibri" w:cs="Calibri"/>
          <w:sz w:val="22"/>
          <w:szCs w:val="22"/>
        </w:rPr>
        <w:t xml:space="preserve">to ensure that the analysis and understanding of </w:t>
      </w:r>
      <w:r w:rsidR="005748E7">
        <w:rPr>
          <w:rFonts w:ascii="Calibri" w:hAnsi="Calibri" w:cs="Calibri"/>
          <w:sz w:val="22"/>
          <w:szCs w:val="22"/>
        </w:rPr>
        <w:t>individuals’</w:t>
      </w:r>
      <w:r w:rsidR="000D1C43" w:rsidRPr="00136F3A">
        <w:rPr>
          <w:rFonts w:ascii="Calibri" w:hAnsi="Calibri" w:cs="Calibri"/>
          <w:sz w:val="22"/>
          <w:szCs w:val="22"/>
        </w:rPr>
        <w:t xml:space="preserve"> experiences reflects th</w:t>
      </w:r>
      <w:r w:rsidR="003E54AA">
        <w:rPr>
          <w:rFonts w:ascii="Calibri" w:hAnsi="Calibri" w:cs="Calibri"/>
          <w:sz w:val="22"/>
          <w:szCs w:val="22"/>
        </w:rPr>
        <w:t>e</w:t>
      </w:r>
      <w:r w:rsidR="000D1C43" w:rsidRPr="00136F3A">
        <w:rPr>
          <w:rFonts w:ascii="Calibri" w:hAnsi="Calibri" w:cs="Calibri"/>
          <w:sz w:val="22"/>
          <w:szCs w:val="22"/>
        </w:rPr>
        <w:t xml:space="preserve"> imbalance of power </w:t>
      </w:r>
      <w:r w:rsidR="00E802EE">
        <w:rPr>
          <w:rFonts w:ascii="Calibri" w:hAnsi="Calibri" w:cs="Calibri"/>
          <w:sz w:val="22"/>
          <w:szCs w:val="22"/>
        </w:rPr>
        <w:t>between the subjects of the</w:t>
      </w:r>
      <w:r w:rsidR="000D1C43" w:rsidRPr="00136F3A">
        <w:rPr>
          <w:rFonts w:ascii="Calibri" w:hAnsi="Calibri" w:cs="Calibri"/>
          <w:sz w:val="22"/>
          <w:szCs w:val="22"/>
        </w:rPr>
        <w:t xml:space="preserve"> research.</w:t>
      </w:r>
    </w:p>
    <w:p w14:paraId="77B6421E" w14:textId="261380AC" w:rsidR="004F5BB7" w:rsidRPr="00136F3A" w:rsidRDefault="004F5BB7" w:rsidP="00FF525C">
      <w:pPr>
        <w:jc w:val="both"/>
        <w:rPr>
          <w:rFonts w:ascii="Calibri" w:hAnsi="Calibri" w:cs="Calibri"/>
          <w:sz w:val="22"/>
          <w:szCs w:val="22"/>
        </w:rPr>
      </w:pPr>
    </w:p>
    <w:p w14:paraId="795F1463" w14:textId="44D90642" w:rsidR="00012494" w:rsidRPr="00136F3A" w:rsidRDefault="00C859D6" w:rsidP="00FF525C">
      <w:pPr>
        <w:jc w:val="both"/>
        <w:rPr>
          <w:rFonts w:ascii="Calibri" w:hAnsi="Calibri" w:cs="Calibri"/>
          <w:sz w:val="22"/>
          <w:szCs w:val="22"/>
        </w:rPr>
      </w:pPr>
      <w:r>
        <w:rPr>
          <w:rFonts w:ascii="Calibri" w:hAnsi="Calibri" w:cs="Calibri"/>
          <w:sz w:val="22"/>
          <w:szCs w:val="22"/>
        </w:rPr>
        <w:t xml:space="preserve">In drawing upon principles from wider social science research, we must also be conscious of adaptations needed to fit within the bounds of legal research. To this end, one element of reflexive practice are </w:t>
      </w:r>
      <w:r w:rsidR="008643AF">
        <w:rPr>
          <w:rFonts w:ascii="Calibri" w:hAnsi="Calibri" w:cs="Calibri"/>
          <w:sz w:val="22"/>
          <w:szCs w:val="22"/>
        </w:rPr>
        <w:t xml:space="preserve">ways for </w:t>
      </w:r>
      <w:r w:rsidR="00313AE4" w:rsidRPr="00136F3A">
        <w:rPr>
          <w:rFonts w:ascii="Calibri" w:hAnsi="Calibri" w:cs="Calibri"/>
          <w:sz w:val="22"/>
          <w:szCs w:val="22"/>
        </w:rPr>
        <w:t xml:space="preserve">the researcher </w:t>
      </w:r>
      <w:r w:rsidR="00B94D09">
        <w:rPr>
          <w:rFonts w:ascii="Calibri" w:hAnsi="Calibri" w:cs="Calibri"/>
          <w:sz w:val="22"/>
          <w:szCs w:val="22"/>
        </w:rPr>
        <w:t>to</w:t>
      </w:r>
      <w:r w:rsidR="00313AE4" w:rsidRPr="00136F3A">
        <w:rPr>
          <w:rFonts w:ascii="Calibri" w:hAnsi="Calibri" w:cs="Calibri"/>
          <w:sz w:val="22"/>
          <w:szCs w:val="22"/>
        </w:rPr>
        <w:t xml:space="preserve"> detach themselves from their</w:t>
      </w:r>
      <w:r w:rsidR="000D79F6" w:rsidRPr="00136F3A">
        <w:rPr>
          <w:rFonts w:ascii="Calibri" w:hAnsi="Calibri" w:cs="Calibri"/>
          <w:sz w:val="22"/>
          <w:szCs w:val="22"/>
        </w:rPr>
        <w:t xml:space="preserve"> own experiences and position (most commonly through </w:t>
      </w:r>
      <w:r w:rsidR="005748E7">
        <w:rPr>
          <w:rFonts w:ascii="Calibri" w:hAnsi="Calibri" w:cs="Calibri"/>
          <w:sz w:val="22"/>
          <w:szCs w:val="22"/>
        </w:rPr>
        <w:t xml:space="preserve">the </w:t>
      </w:r>
      <w:r w:rsidR="000D79F6" w:rsidRPr="00136F3A">
        <w:rPr>
          <w:rFonts w:ascii="Calibri" w:hAnsi="Calibri" w:cs="Calibri"/>
          <w:sz w:val="22"/>
          <w:szCs w:val="22"/>
        </w:rPr>
        <w:t xml:space="preserve">construction of positionality) </w:t>
      </w:r>
      <w:r w:rsidR="00B718D1">
        <w:rPr>
          <w:rFonts w:ascii="Calibri" w:hAnsi="Calibri" w:cs="Calibri"/>
          <w:sz w:val="22"/>
          <w:szCs w:val="22"/>
        </w:rPr>
        <w:t>to</w:t>
      </w:r>
      <w:r w:rsidR="000D79F6" w:rsidRPr="00136F3A">
        <w:rPr>
          <w:rFonts w:ascii="Calibri" w:hAnsi="Calibri" w:cs="Calibri"/>
          <w:sz w:val="22"/>
          <w:szCs w:val="22"/>
        </w:rPr>
        <w:t xml:space="preserve"> strive towards a greater level of objectivity within their research.</w:t>
      </w:r>
      <w:r w:rsidR="00313AE4" w:rsidRPr="00136F3A">
        <w:rPr>
          <w:rFonts w:ascii="Calibri" w:hAnsi="Calibri" w:cs="Calibri"/>
          <w:sz w:val="22"/>
          <w:szCs w:val="22"/>
        </w:rPr>
        <w:t xml:space="preserve"> </w:t>
      </w:r>
      <w:r w:rsidR="008557A3">
        <w:rPr>
          <w:rFonts w:ascii="Calibri" w:hAnsi="Calibri" w:cs="Calibri"/>
          <w:sz w:val="22"/>
          <w:szCs w:val="22"/>
        </w:rPr>
        <w:t xml:space="preserve">Some, such as </w:t>
      </w:r>
      <w:r w:rsidR="00762146" w:rsidRPr="00136F3A">
        <w:rPr>
          <w:rFonts w:ascii="Calibri" w:hAnsi="Calibri" w:cs="Calibri"/>
          <w:sz w:val="22"/>
          <w:szCs w:val="22"/>
        </w:rPr>
        <w:t>Madsen</w:t>
      </w:r>
      <w:r w:rsidR="008557A3">
        <w:rPr>
          <w:rFonts w:ascii="Calibri" w:hAnsi="Calibri" w:cs="Calibri"/>
          <w:sz w:val="22"/>
          <w:szCs w:val="22"/>
        </w:rPr>
        <w:t>,</w:t>
      </w:r>
      <w:r w:rsidR="00762146" w:rsidRPr="00136F3A">
        <w:rPr>
          <w:rFonts w:ascii="Calibri" w:hAnsi="Calibri" w:cs="Calibri"/>
          <w:sz w:val="22"/>
          <w:szCs w:val="22"/>
        </w:rPr>
        <w:t xml:space="preserve"> argue</w:t>
      </w:r>
      <w:r w:rsidR="008557A3">
        <w:rPr>
          <w:rFonts w:ascii="Calibri" w:hAnsi="Calibri" w:cs="Calibri"/>
          <w:sz w:val="22"/>
          <w:szCs w:val="22"/>
        </w:rPr>
        <w:t xml:space="preserve"> </w:t>
      </w:r>
      <w:r w:rsidR="00762146" w:rsidRPr="00136F3A">
        <w:rPr>
          <w:rFonts w:ascii="Calibri" w:hAnsi="Calibri" w:cs="Calibri"/>
          <w:sz w:val="22"/>
          <w:szCs w:val="22"/>
        </w:rPr>
        <w:t xml:space="preserve">that the study of human rights should be objective and that the researcher should seek to </w:t>
      </w:r>
      <w:r w:rsidR="00F220E6">
        <w:rPr>
          <w:rFonts w:ascii="Calibri" w:hAnsi="Calibri" w:cs="Calibri"/>
          <w:sz w:val="22"/>
          <w:szCs w:val="22"/>
        </w:rPr>
        <w:t>‘</w:t>
      </w:r>
      <w:r w:rsidR="00762146" w:rsidRPr="00136F3A">
        <w:rPr>
          <w:rFonts w:ascii="Calibri" w:hAnsi="Calibri" w:cs="Calibri"/>
          <w:sz w:val="22"/>
          <w:szCs w:val="22"/>
        </w:rPr>
        <w:t xml:space="preserve">﻿avoid being swayed by the many readily available </w:t>
      </w:r>
      <w:r w:rsidR="00762146" w:rsidRPr="00136F3A">
        <w:rPr>
          <w:rFonts w:ascii="Calibri" w:hAnsi="Calibri" w:cs="Calibri"/>
          <w:sz w:val="22"/>
          <w:szCs w:val="22"/>
        </w:rPr>
        <w:lastRenderedPageBreak/>
        <w:t>prescriptive discourses related to the subject area, including obviously one’s own</w:t>
      </w:r>
      <w:r w:rsidR="00F220E6">
        <w:rPr>
          <w:rFonts w:ascii="Calibri" w:hAnsi="Calibri" w:cs="Calibri"/>
          <w:sz w:val="22"/>
          <w:szCs w:val="22"/>
        </w:rPr>
        <w:t>’</w:t>
      </w:r>
      <w:r w:rsidR="00762146" w:rsidRPr="00136F3A">
        <w:rPr>
          <w:rFonts w:ascii="Calibri" w:hAnsi="Calibri" w:cs="Calibri"/>
          <w:sz w:val="22"/>
          <w:szCs w:val="22"/>
        </w:rPr>
        <w:t xml:space="preserve"> </w:t>
      </w:r>
      <w:r w:rsidR="00762146" w:rsidRPr="00136F3A">
        <w:rPr>
          <w:rFonts w:ascii="Calibri" w:hAnsi="Calibri" w:cs="Calibri"/>
          <w:sz w:val="22"/>
          <w:szCs w:val="22"/>
        </w:rPr>
        <w:fldChar w:fldCharType="begin" w:fldLock="1"/>
      </w:r>
      <w:r w:rsidR="006142B1" w:rsidRPr="00136F3A">
        <w:rPr>
          <w:rFonts w:ascii="Calibri" w:hAnsi="Calibri" w:cs="Calibri"/>
          <w:sz w:val="22"/>
          <w:szCs w:val="22"/>
        </w:rPr>
        <w:instrText>ADDIN CSL_CITATION {"citationItems":[{"id":"ITEM-1","itemData":{"ISSN":"17495679","abstract":"Recent years have seen a surge of interest in applying the sociology of Pierre Bourdieu in international studies as part of a more general sociological turn observable in both international and European studies. However, different from earlier attempts at deploying Bourdieusian sociology in the context of international law, economics, and politics, most of this new Bourdieu-inspired constructivist political science research only marginally addresses what in many ways was the cardinal point of Bourdieu's work: his attempt at devising a reflexive sociology. This article's basic claim is that the most significant contribution Bourdieusian sociology can make to international (and European) studies is not achieved by adaptation or transplantation of key concepts (field, habitus, and so on) to a set of research objects that remain by and large predefined by other disciplines. Instead, I contend that it is by deploying the underlying sociological practice of Bourdieusian sociology to international objects in terms of conducting a reflexive sociology of the international. To substantiate my claim, I make three more specific arguments. In the first section, I argue for the need for \"objectivizing\" the research object in terms of \"double reflexivity\" with respect to both object and researcher. In the second part, I suggest that key Bourdieusian notions are precisely tools for this scientific operation by providing a relational and integrative approach. In the third part, I compare this approach with a cross section of research on international human rights and thereby suggest how it provides a different reading of the international. © 2011 International Studies Association.","author":[{"dropping-particle":"","family":"Madsen","given":"Mikael Rask","non-dropping-particle":"","parse-names":false,"suffix":""}],"container-title":"International Political Sociology","id":"ITEM-1","issue":"3","issued":{"date-parts":[["2011"]]},"page":"259-275","title":"Reflexivity and the construction of the international object: The case of human rights","type":"article-journal","volume":"5"},"locator":"261","uris":["http://www.mendeley.com/documents/?uuid=c3761e61-3885-4f68-a7b1-058969c4b1e3"]}],"mendeley":{"formattedCitation":"(Madsen, 2011, p. 261)","plainTextFormattedCitation":"(Madsen, 2011, p. 261)","previouslyFormattedCitation":"(Madsen, 2011, p. 261)"},"properties":{"noteIndex":0},"schema":"https://github.com/citation-style-language/schema/raw/master/csl-citation.json"}</w:instrText>
      </w:r>
      <w:r w:rsidR="00762146" w:rsidRPr="00136F3A">
        <w:rPr>
          <w:rFonts w:ascii="Calibri" w:hAnsi="Calibri" w:cs="Calibri"/>
          <w:sz w:val="22"/>
          <w:szCs w:val="22"/>
        </w:rPr>
        <w:fldChar w:fldCharType="separate"/>
      </w:r>
      <w:r w:rsidR="00762146" w:rsidRPr="00136F3A">
        <w:rPr>
          <w:rFonts w:ascii="Calibri" w:hAnsi="Calibri" w:cs="Calibri"/>
          <w:noProof/>
          <w:sz w:val="22"/>
          <w:szCs w:val="22"/>
        </w:rPr>
        <w:t>(Madsen, 2011, p. 261)</w:t>
      </w:r>
      <w:r w:rsidR="00762146" w:rsidRPr="00136F3A">
        <w:rPr>
          <w:rFonts w:ascii="Calibri" w:hAnsi="Calibri" w:cs="Calibri"/>
          <w:sz w:val="22"/>
          <w:szCs w:val="22"/>
        </w:rPr>
        <w:fldChar w:fldCharType="end"/>
      </w:r>
      <w:r w:rsidR="00762146" w:rsidRPr="00136F3A">
        <w:rPr>
          <w:rFonts w:ascii="Calibri" w:hAnsi="Calibri" w:cs="Calibri"/>
          <w:sz w:val="22"/>
          <w:szCs w:val="22"/>
        </w:rPr>
        <w:t xml:space="preserve">. </w:t>
      </w:r>
      <w:r w:rsidR="008557A3">
        <w:rPr>
          <w:rFonts w:ascii="Calibri" w:hAnsi="Calibri" w:cs="Calibri"/>
          <w:sz w:val="22"/>
          <w:szCs w:val="22"/>
        </w:rPr>
        <w:t>For Madsen then, a wholesale import of this form of reflexive practice is desirable. However, I argue that to exclude the researcher from the research context in this way</w:t>
      </w:r>
      <w:r w:rsidR="00762146" w:rsidRPr="00136F3A">
        <w:rPr>
          <w:rFonts w:ascii="Calibri" w:hAnsi="Calibri" w:cs="Calibri"/>
          <w:sz w:val="22"/>
          <w:szCs w:val="22"/>
        </w:rPr>
        <w:t xml:space="preserve"> is not only a practical impossibility, given the indivisibility of the researcher from their own lived experience, but an undesirable position</w:t>
      </w:r>
      <w:r w:rsidR="008557A3">
        <w:rPr>
          <w:rFonts w:ascii="Calibri" w:hAnsi="Calibri" w:cs="Calibri"/>
          <w:sz w:val="22"/>
          <w:szCs w:val="22"/>
        </w:rPr>
        <w:t>.</w:t>
      </w:r>
      <w:r w:rsidR="00762146" w:rsidRPr="00136F3A">
        <w:rPr>
          <w:rFonts w:ascii="Calibri" w:hAnsi="Calibri" w:cs="Calibri"/>
          <w:sz w:val="22"/>
          <w:szCs w:val="22"/>
        </w:rPr>
        <w:t xml:space="preserve"> </w:t>
      </w:r>
      <w:r w:rsidR="00E61905">
        <w:rPr>
          <w:rFonts w:ascii="Calibri" w:hAnsi="Calibri" w:cs="Calibri"/>
          <w:sz w:val="22"/>
          <w:szCs w:val="22"/>
        </w:rPr>
        <w:t xml:space="preserve">To this end, </w:t>
      </w:r>
      <w:r w:rsidR="001F5510" w:rsidRPr="00136F3A">
        <w:rPr>
          <w:rFonts w:ascii="Calibri" w:hAnsi="Calibri" w:cs="Calibri"/>
          <w:sz w:val="22"/>
          <w:szCs w:val="22"/>
        </w:rPr>
        <w:t>Heidegger</w:t>
      </w:r>
      <w:r w:rsidR="00E61905">
        <w:rPr>
          <w:rFonts w:ascii="Calibri" w:hAnsi="Calibri" w:cs="Calibri"/>
          <w:sz w:val="22"/>
          <w:szCs w:val="22"/>
        </w:rPr>
        <w:t xml:space="preserve"> </w:t>
      </w:r>
      <w:r w:rsidR="00A976EA" w:rsidRPr="00136F3A">
        <w:rPr>
          <w:rFonts w:ascii="Calibri" w:hAnsi="Calibri" w:cs="Calibri"/>
          <w:sz w:val="22"/>
          <w:szCs w:val="22"/>
        </w:rPr>
        <w:t>views</w:t>
      </w:r>
      <w:r w:rsidR="001F5510" w:rsidRPr="00136F3A">
        <w:rPr>
          <w:rFonts w:ascii="Calibri" w:hAnsi="Calibri" w:cs="Calibri"/>
          <w:sz w:val="22"/>
          <w:szCs w:val="22"/>
        </w:rPr>
        <w:t xml:space="preserve"> the researcher’s experiences</w:t>
      </w:r>
      <w:r w:rsidR="004550CB">
        <w:rPr>
          <w:rFonts w:ascii="Calibri" w:hAnsi="Calibri" w:cs="Calibri"/>
          <w:sz w:val="22"/>
          <w:szCs w:val="22"/>
        </w:rPr>
        <w:t>,</w:t>
      </w:r>
      <w:r w:rsidR="001F5510" w:rsidRPr="00136F3A">
        <w:rPr>
          <w:rFonts w:ascii="Calibri" w:hAnsi="Calibri" w:cs="Calibri"/>
          <w:sz w:val="22"/>
          <w:szCs w:val="22"/>
        </w:rPr>
        <w:t xml:space="preserve"> not as a </w:t>
      </w:r>
      <w:r w:rsidR="00790317" w:rsidRPr="00136F3A">
        <w:rPr>
          <w:rFonts w:ascii="Calibri" w:hAnsi="Calibri" w:cs="Calibri"/>
          <w:sz w:val="22"/>
          <w:szCs w:val="22"/>
        </w:rPr>
        <w:t>hindrance</w:t>
      </w:r>
      <w:r w:rsidR="001F5510" w:rsidRPr="00136F3A">
        <w:rPr>
          <w:rFonts w:ascii="Calibri" w:hAnsi="Calibri" w:cs="Calibri"/>
          <w:sz w:val="22"/>
          <w:szCs w:val="22"/>
        </w:rPr>
        <w:t>, but as a tool through which one can experience the world</w:t>
      </w:r>
      <w:r w:rsidR="003F1618" w:rsidRPr="00136F3A">
        <w:rPr>
          <w:rFonts w:ascii="Calibri" w:hAnsi="Calibri" w:cs="Calibri"/>
          <w:sz w:val="22"/>
          <w:szCs w:val="22"/>
        </w:rPr>
        <w:t xml:space="preserve">, inherently inseparable from </w:t>
      </w:r>
      <w:r w:rsidR="00790317" w:rsidRPr="00136F3A">
        <w:rPr>
          <w:rFonts w:ascii="Calibri" w:hAnsi="Calibri" w:cs="Calibri"/>
          <w:sz w:val="22"/>
          <w:szCs w:val="22"/>
        </w:rPr>
        <w:t xml:space="preserve">the researcher </w:t>
      </w:r>
      <w:r w:rsidR="00790317"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{"citationItems":[{"id":"ITEM-1","itemData":{"abstract":"This Guide was written as an aid to those who are considering phenomenology as a methodology in their education research. Phenomenology allows us to understand and appreciate educational issues by exploring the unique experiences and perspectives of individuals involved in the process. There are certain core tenets to all phenomenological research, such as a focus on exploring experience and adopting a phenomenological stance. However, because phenomenology has emerged from the work of a number of related but distinct philosophers, phenomenologists do not adhere to a single approach. To help phenomenological researchers position themselves and their work with regard to the various approaches, we offer the “3 + 1” framework. This framework articulates three dimensions on which phenomenological researchers vary: (1) focusing primarily on the general or the particular; (2) managing “pre-understandings” using primarily reduction or reflexivity; and (3) engaging with participants’ stories using primarily description or interpretation. We suggest that a researcher need not adhere to a single position with regard to these dimensions, but rather should intentionally and reflectively shift across the various positions depending on purpose and context. The fourth aspect of the framework, writing, overlays these three dimensions, and is central to the reflective enactment of the phenomenological process.","author":[{"dropping-particle":"","family":"Hopkins","given":"Robin M.","non-dropping-particle":"","parse-names":false,"suffix":""},{"dropping-particle":"","family":"Regehr","given":"Glenn","non-dropping-particle":"","parse-names":false,"suffix":""},{"dropping-particle":"","family":"Pratt","given":"Daniel D.","non-dropping-particle":"","parse-names":false,"suffix":""}],"container-title":"Medical Teacher","id":"ITEM-1","issue":"1","issued":{"date-parts":[["2017"]]},"page":"20-25","title":"A framework for negotiating positionality in phenomenological research*","type":"article-journal","volume":"39"},"locator":"23","uris":["http://www.mendeley.com/documents/?uuid=f68d9a0e-5e7b-4626-92b9-1c6a56ea8508"]}],"mendeley":{"formattedCitation":"(Hopkins, Regehr and Pratt, 2017, p. 23)","plainTextFormattedCitation":"(Hopkins, Regehr and Pratt, 2017, p. 23)","previouslyFormattedCitation":"(Hopkins, Regehr and Pratt, 2017, p. 23)"},"properties":{"noteIndex":0},"schema":"https://github.com/citation-style-language/schema/raw/master/csl-citation.json"}</w:instrText>
      </w:r>
      <w:r w:rsidR="00790317" w:rsidRPr="00136F3A">
        <w:rPr>
          <w:rFonts w:ascii="Calibri" w:hAnsi="Calibri" w:cs="Calibri"/>
          <w:sz w:val="22"/>
          <w:szCs w:val="22"/>
        </w:rPr>
        <w:fldChar w:fldCharType="separate"/>
      </w:r>
      <w:r w:rsidR="00790317" w:rsidRPr="00136F3A">
        <w:rPr>
          <w:rFonts w:ascii="Calibri" w:hAnsi="Calibri" w:cs="Calibri"/>
          <w:noProof/>
          <w:sz w:val="22"/>
          <w:szCs w:val="22"/>
        </w:rPr>
        <w:t>(Hopkins, Regehr and Pratt, 2017, p. 23)</w:t>
      </w:r>
      <w:r w:rsidR="00790317" w:rsidRPr="00136F3A">
        <w:rPr>
          <w:rFonts w:ascii="Calibri" w:hAnsi="Calibri" w:cs="Calibri"/>
          <w:sz w:val="22"/>
          <w:szCs w:val="22"/>
        </w:rPr>
        <w:fldChar w:fldCharType="end"/>
      </w:r>
      <w:r w:rsidR="00790317" w:rsidRPr="00136F3A">
        <w:rPr>
          <w:rFonts w:ascii="Calibri" w:hAnsi="Calibri" w:cs="Calibri"/>
          <w:sz w:val="22"/>
          <w:szCs w:val="22"/>
        </w:rPr>
        <w:t>.</w:t>
      </w:r>
      <w:r w:rsidR="00941FBD" w:rsidRPr="00136F3A">
        <w:rPr>
          <w:rFonts w:ascii="Calibri" w:hAnsi="Calibri" w:cs="Calibri"/>
          <w:sz w:val="22"/>
          <w:szCs w:val="22"/>
        </w:rPr>
        <w:t xml:space="preserve"> </w:t>
      </w:r>
      <w:r w:rsidR="003B6995">
        <w:rPr>
          <w:rFonts w:ascii="Calibri" w:hAnsi="Calibri" w:cs="Calibri"/>
          <w:sz w:val="22"/>
          <w:szCs w:val="22"/>
        </w:rPr>
        <w:t xml:space="preserve">Reflexive practice, adapted to the human rights context, is therefore </w:t>
      </w:r>
      <w:r w:rsidR="00611018">
        <w:rPr>
          <w:rFonts w:ascii="Calibri" w:hAnsi="Calibri" w:cs="Calibri"/>
          <w:sz w:val="22"/>
          <w:szCs w:val="22"/>
        </w:rPr>
        <w:t xml:space="preserve">about reflecting upon the tools and experience the researcher can </w:t>
      </w:r>
      <w:r w:rsidR="00611018">
        <w:rPr>
          <w:rFonts w:ascii="Calibri" w:hAnsi="Calibri" w:cs="Calibri"/>
          <w:i/>
          <w:iCs/>
          <w:sz w:val="22"/>
          <w:szCs w:val="22"/>
        </w:rPr>
        <w:t xml:space="preserve">bring </w:t>
      </w:r>
      <w:r w:rsidR="00611018">
        <w:rPr>
          <w:rFonts w:ascii="Calibri" w:hAnsi="Calibri" w:cs="Calibri"/>
          <w:sz w:val="22"/>
          <w:szCs w:val="22"/>
        </w:rPr>
        <w:t xml:space="preserve">to the research. </w:t>
      </w:r>
      <w:r w:rsidR="00F67913" w:rsidRPr="00136F3A">
        <w:rPr>
          <w:rFonts w:ascii="Calibri" w:hAnsi="Calibri" w:cs="Calibri"/>
          <w:sz w:val="22"/>
          <w:szCs w:val="22"/>
        </w:rPr>
        <w:t>T</w:t>
      </w:r>
      <w:r w:rsidR="00941FBD" w:rsidRPr="00136F3A">
        <w:rPr>
          <w:rFonts w:ascii="Calibri" w:hAnsi="Calibri" w:cs="Calibri"/>
          <w:sz w:val="22"/>
          <w:szCs w:val="22"/>
        </w:rPr>
        <w:t xml:space="preserve">he purpose of </w:t>
      </w:r>
      <w:r w:rsidR="00F67913" w:rsidRPr="00136F3A">
        <w:rPr>
          <w:rFonts w:ascii="Calibri" w:hAnsi="Calibri" w:cs="Calibri"/>
          <w:sz w:val="22"/>
          <w:szCs w:val="22"/>
        </w:rPr>
        <w:t xml:space="preserve">this kind of </w:t>
      </w:r>
      <w:r w:rsidR="00941FBD" w:rsidRPr="00136F3A">
        <w:rPr>
          <w:rFonts w:ascii="Calibri" w:hAnsi="Calibri" w:cs="Calibri"/>
          <w:sz w:val="22"/>
          <w:szCs w:val="22"/>
        </w:rPr>
        <w:t>reflexivity is not to</w:t>
      </w:r>
      <w:r w:rsidR="009A0C5F" w:rsidRPr="00136F3A">
        <w:rPr>
          <w:rFonts w:ascii="Calibri" w:hAnsi="Calibri" w:cs="Calibri"/>
          <w:sz w:val="22"/>
          <w:szCs w:val="22"/>
        </w:rPr>
        <w:t xml:space="preserve"> separate the world of the researcher from the world of the research. Rather, it is to better understand how the world of the researcher can be </w:t>
      </w:r>
      <w:r w:rsidR="009A0C5F" w:rsidRPr="00136F3A">
        <w:rPr>
          <w:rFonts w:ascii="Calibri" w:hAnsi="Calibri" w:cs="Calibri"/>
          <w:i/>
          <w:iCs/>
          <w:sz w:val="22"/>
          <w:szCs w:val="22"/>
        </w:rPr>
        <w:t>utili</w:t>
      </w:r>
      <w:r w:rsidR="002F06C0">
        <w:rPr>
          <w:rFonts w:ascii="Calibri" w:hAnsi="Calibri" w:cs="Calibri"/>
          <w:i/>
          <w:iCs/>
          <w:sz w:val="22"/>
          <w:szCs w:val="22"/>
        </w:rPr>
        <w:t>s</w:t>
      </w:r>
      <w:r w:rsidR="009A0C5F" w:rsidRPr="00136F3A">
        <w:rPr>
          <w:rFonts w:ascii="Calibri" w:hAnsi="Calibri" w:cs="Calibri"/>
          <w:i/>
          <w:iCs/>
          <w:sz w:val="22"/>
          <w:szCs w:val="22"/>
        </w:rPr>
        <w:t>ed</w:t>
      </w:r>
      <w:r w:rsidR="009A0C5F" w:rsidRPr="00136F3A">
        <w:rPr>
          <w:rFonts w:ascii="Calibri" w:hAnsi="Calibri" w:cs="Calibri"/>
          <w:sz w:val="22"/>
          <w:szCs w:val="22"/>
        </w:rPr>
        <w:t xml:space="preserve"> to understand and solve the problems presented</w:t>
      </w:r>
      <w:r w:rsidR="00F67913" w:rsidRPr="00136F3A">
        <w:rPr>
          <w:rFonts w:ascii="Calibri" w:hAnsi="Calibri" w:cs="Calibri"/>
          <w:sz w:val="22"/>
          <w:szCs w:val="22"/>
        </w:rPr>
        <w:t xml:space="preserve"> by the research</w:t>
      </w:r>
      <w:r w:rsidR="00977F10" w:rsidRPr="00136F3A">
        <w:rPr>
          <w:rFonts w:ascii="Calibri" w:hAnsi="Calibri" w:cs="Calibri"/>
          <w:sz w:val="22"/>
          <w:szCs w:val="22"/>
        </w:rPr>
        <w:t xml:space="preserve">, through </w:t>
      </w:r>
      <w:r w:rsidR="00B84ADE" w:rsidRPr="00136F3A">
        <w:rPr>
          <w:rFonts w:ascii="Calibri" w:hAnsi="Calibri" w:cs="Calibri"/>
          <w:sz w:val="22"/>
          <w:szCs w:val="22"/>
        </w:rPr>
        <w:t xml:space="preserve">the researcher’s knowledge and the common experiences shared with the research subjects </w:t>
      </w:r>
      <w:r w:rsidR="00A87336" w:rsidRPr="00136F3A">
        <w:rPr>
          <w:rFonts w:ascii="Calibri" w:hAnsi="Calibri" w:cs="Calibri"/>
          <w:sz w:val="22"/>
          <w:szCs w:val="22"/>
        </w:rPr>
        <w:fldChar w:fldCharType="begin" w:fldLock="1"/>
      </w:r>
      <w:r w:rsidR="001370EB" w:rsidRPr="00136F3A">
        <w:rPr>
          <w:rFonts w:ascii="Calibri" w:hAnsi="Calibri" w:cs="Calibri"/>
          <w:sz w:val="22"/>
          <w:szCs w:val="22"/>
        </w:rPr>
        <w:instrText>ADDIN CSL_CITATION {"citationItems":[{"id":"ITEM-1","itemData":{"author":[{"dropping-particle":"","family":"England","given":"Kim","non-dropping-particle":"","parse-names":false,"suffix":""}],"container-title":"Professional Geographer","id":"ITEM-1","issue":"1","issued":{"date-parts":[["1994"]]},"page":"80-89","title":"Getting Personal: Reflexivity, Positionality, and Feminist Research","type":"article-journal","volume":"46"},"locator":"243","uris":["http://www.mendeley.com/documents/?uuid=43192bb2-4562-4183-adee-671729d6bec9"]}],"mendeley":{"formattedCitation":"(England, 1994, p. 243)","plainTextFormattedCitation":"(England, 1994, p. 243)","previouslyFormattedCitation":"(England, 1994, p. 243)"},"properties":{"noteIndex":0},"schema":"https://github.com/citation-style-language/schema/raw/master/csl-citation.json"}</w:instrText>
      </w:r>
      <w:r w:rsidR="00A87336" w:rsidRPr="00136F3A">
        <w:rPr>
          <w:rFonts w:ascii="Calibri" w:hAnsi="Calibri" w:cs="Calibri"/>
          <w:sz w:val="22"/>
          <w:szCs w:val="22"/>
        </w:rPr>
        <w:fldChar w:fldCharType="separate"/>
      </w:r>
      <w:r w:rsidR="00A87336" w:rsidRPr="00136F3A">
        <w:rPr>
          <w:rFonts w:ascii="Calibri" w:hAnsi="Calibri" w:cs="Calibri"/>
          <w:noProof/>
          <w:sz w:val="22"/>
          <w:szCs w:val="22"/>
        </w:rPr>
        <w:t>(England, 1994, p. 243)</w:t>
      </w:r>
      <w:r w:rsidR="00A87336" w:rsidRPr="00136F3A">
        <w:rPr>
          <w:rFonts w:ascii="Calibri" w:hAnsi="Calibri" w:cs="Calibri"/>
          <w:sz w:val="22"/>
          <w:szCs w:val="22"/>
        </w:rPr>
        <w:fldChar w:fldCharType="end"/>
      </w:r>
      <w:r w:rsidR="00A87336" w:rsidRPr="00136F3A">
        <w:rPr>
          <w:rFonts w:ascii="Calibri" w:hAnsi="Calibri" w:cs="Calibri"/>
          <w:sz w:val="22"/>
          <w:szCs w:val="22"/>
        </w:rPr>
        <w:t>.</w:t>
      </w:r>
      <w:r w:rsidR="00301691" w:rsidRPr="00136F3A">
        <w:rPr>
          <w:rFonts w:ascii="Calibri" w:hAnsi="Calibri" w:cs="Calibri"/>
          <w:sz w:val="22"/>
          <w:szCs w:val="22"/>
        </w:rPr>
        <w:t xml:space="preserve"> </w:t>
      </w:r>
      <w:r w:rsidR="00B718D1">
        <w:rPr>
          <w:rFonts w:ascii="Calibri" w:hAnsi="Calibri" w:cs="Calibri"/>
          <w:sz w:val="22"/>
          <w:szCs w:val="22"/>
        </w:rPr>
        <w:t>T</w:t>
      </w:r>
      <w:r w:rsidR="00301691" w:rsidRPr="00136F3A">
        <w:rPr>
          <w:rFonts w:ascii="Calibri" w:hAnsi="Calibri" w:cs="Calibri"/>
          <w:sz w:val="22"/>
          <w:szCs w:val="22"/>
        </w:rPr>
        <w:t xml:space="preserve">he goals of </w:t>
      </w:r>
      <w:r w:rsidR="00FD167E">
        <w:rPr>
          <w:rFonts w:ascii="Calibri" w:hAnsi="Calibri" w:cs="Calibri"/>
          <w:sz w:val="22"/>
          <w:szCs w:val="22"/>
        </w:rPr>
        <w:t>International Human Rights Law</w:t>
      </w:r>
      <w:r w:rsidR="00FD167E" w:rsidRPr="00136F3A">
        <w:rPr>
          <w:rFonts w:ascii="Calibri" w:hAnsi="Calibri" w:cs="Calibri"/>
          <w:sz w:val="22"/>
          <w:szCs w:val="22"/>
        </w:rPr>
        <w:t xml:space="preserve"> </w:t>
      </w:r>
      <w:r w:rsidR="00F67913" w:rsidRPr="00136F3A">
        <w:rPr>
          <w:rFonts w:ascii="Calibri" w:hAnsi="Calibri" w:cs="Calibri"/>
          <w:sz w:val="22"/>
          <w:szCs w:val="22"/>
        </w:rPr>
        <w:t xml:space="preserve">and </w:t>
      </w:r>
      <w:r w:rsidR="00BC229B">
        <w:rPr>
          <w:rFonts w:ascii="Calibri" w:hAnsi="Calibri" w:cs="Calibri"/>
          <w:sz w:val="22"/>
          <w:szCs w:val="22"/>
        </w:rPr>
        <w:t>BHR</w:t>
      </w:r>
      <w:r w:rsidR="00301691" w:rsidRPr="00136F3A">
        <w:rPr>
          <w:rFonts w:ascii="Calibri" w:hAnsi="Calibri" w:cs="Calibri"/>
          <w:sz w:val="22"/>
          <w:szCs w:val="22"/>
        </w:rPr>
        <w:t xml:space="preserve"> </w:t>
      </w:r>
      <w:r w:rsidR="00DE3A9C">
        <w:rPr>
          <w:rFonts w:ascii="Calibri" w:hAnsi="Calibri" w:cs="Calibri"/>
          <w:sz w:val="22"/>
          <w:szCs w:val="22"/>
        </w:rPr>
        <w:t>researchers</w:t>
      </w:r>
      <w:r w:rsidR="00301691" w:rsidRPr="00136F3A">
        <w:rPr>
          <w:rFonts w:ascii="Calibri" w:hAnsi="Calibri" w:cs="Calibri"/>
          <w:sz w:val="22"/>
          <w:szCs w:val="22"/>
        </w:rPr>
        <w:t xml:space="preserve"> are emancipatory. The present project concerning the right to access essential medicines </w:t>
      </w:r>
      <w:r w:rsidR="00DF1543" w:rsidRPr="00136F3A">
        <w:rPr>
          <w:rFonts w:ascii="Calibri" w:hAnsi="Calibri" w:cs="Calibri"/>
          <w:sz w:val="22"/>
          <w:szCs w:val="22"/>
        </w:rPr>
        <w:t>fits directly into this dynamic</w:t>
      </w:r>
      <w:r w:rsidR="00301691" w:rsidRPr="00136F3A">
        <w:rPr>
          <w:rFonts w:ascii="Calibri" w:hAnsi="Calibri" w:cs="Calibri"/>
          <w:sz w:val="22"/>
          <w:szCs w:val="22"/>
        </w:rPr>
        <w:t xml:space="preserve">. The purpose of creating </w:t>
      </w:r>
      <w:r w:rsidR="00DF1543" w:rsidRPr="00136F3A">
        <w:rPr>
          <w:rFonts w:ascii="Calibri" w:hAnsi="Calibri" w:cs="Calibri"/>
          <w:sz w:val="22"/>
          <w:szCs w:val="22"/>
        </w:rPr>
        <w:t>this</w:t>
      </w:r>
      <w:r w:rsidR="00301691" w:rsidRPr="00136F3A">
        <w:rPr>
          <w:rFonts w:ascii="Calibri" w:hAnsi="Calibri" w:cs="Calibri"/>
          <w:sz w:val="22"/>
          <w:szCs w:val="22"/>
        </w:rPr>
        <w:t xml:space="preserve"> reflexive space is not to remove </w:t>
      </w:r>
      <w:r w:rsidR="00DF1543" w:rsidRPr="00136F3A">
        <w:rPr>
          <w:rFonts w:ascii="Calibri" w:hAnsi="Calibri" w:cs="Calibri"/>
          <w:sz w:val="22"/>
          <w:szCs w:val="22"/>
        </w:rPr>
        <w:t>the</w:t>
      </w:r>
      <w:r w:rsidR="00301691" w:rsidRPr="00136F3A">
        <w:rPr>
          <w:rFonts w:ascii="Calibri" w:hAnsi="Calibri" w:cs="Calibri"/>
          <w:sz w:val="22"/>
          <w:szCs w:val="22"/>
        </w:rPr>
        <w:t xml:space="preserve"> essence of the researcher from the project in some objective form, but to </w:t>
      </w:r>
      <w:r w:rsidR="001603CD" w:rsidRPr="00136F3A">
        <w:rPr>
          <w:rFonts w:ascii="Calibri" w:hAnsi="Calibri" w:cs="Calibri"/>
          <w:sz w:val="22"/>
          <w:szCs w:val="22"/>
        </w:rPr>
        <w:t>use</w:t>
      </w:r>
      <w:r w:rsidR="00301691" w:rsidRPr="00136F3A">
        <w:rPr>
          <w:rFonts w:ascii="Calibri" w:hAnsi="Calibri" w:cs="Calibri"/>
          <w:sz w:val="22"/>
          <w:szCs w:val="22"/>
        </w:rPr>
        <w:t xml:space="preserve"> the knowledge</w:t>
      </w:r>
      <w:r w:rsidR="00DF1543" w:rsidRPr="00136F3A">
        <w:rPr>
          <w:rFonts w:ascii="Calibri" w:hAnsi="Calibri" w:cs="Calibri"/>
          <w:sz w:val="22"/>
          <w:szCs w:val="22"/>
        </w:rPr>
        <w:t xml:space="preserve">, </w:t>
      </w:r>
      <w:r w:rsidR="00301691" w:rsidRPr="00136F3A">
        <w:rPr>
          <w:rFonts w:ascii="Calibri" w:hAnsi="Calibri" w:cs="Calibri"/>
          <w:sz w:val="22"/>
          <w:szCs w:val="22"/>
        </w:rPr>
        <w:t xml:space="preserve">experiences, and passion of the researcher for the emancipatory goals of the research </w:t>
      </w:r>
      <w:r w:rsidR="00B718D1">
        <w:rPr>
          <w:rFonts w:ascii="Calibri" w:hAnsi="Calibri" w:cs="Calibri"/>
          <w:sz w:val="22"/>
          <w:szCs w:val="22"/>
        </w:rPr>
        <w:t>to</w:t>
      </w:r>
      <w:r w:rsidR="00301691" w:rsidRPr="00136F3A">
        <w:rPr>
          <w:rFonts w:ascii="Calibri" w:hAnsi="Calibri" w:cs="Calibri"/>
          <w:sz w:val="22"/>
          <w:szCs w:val="22"/>
        </w:rPr>
        <w:t xml:space="preserve"> aid in the construction of solutions and rigorous researc</w:t>
      </w:r>
      <w:r w:rsidR="00DF1543" w:rsidRPr="00136F3A">
        <w:rPr>
          <w:rFonts w:ascii="Calibri" w:hAnsi="Calibri" w:cs="Calibri"/>
          <w:sz w:val="22"/>
          <w:szCs w:val="22"/>
        </w:rPr>
        <w:t>h.</w:t>
      </w:r>
    </w:p>
    <w:p w14:paraId="294FFAFB" w14:textId="77777777" w:rsidR="00012494" w:rsidRPr="00136F3A" w:rsidRDefault="00012494" w:rsidP="00FF525C">
      <w:pPr>
        <w:jc w:val="both"/>
        <w:rPr>
          <w:rFonts w:ascii="Calibri" w:hAnsi="Calibri" w:cs="Calibri"/>
          <w:sz w:val="22"/>
          <w:szCs w:val="22"/>
        </w:rPr>
      </w:pPr>
    </w:p>
    <w:p w14:paraId="24B000A6" w14:textId="77777777" w:rsidR="0039230F" w:rsidRDefault="0039230F" w:rsidP="00FF525C">
      <w:pPr>
        <w:jc w:val="both"/>
        <w:rPr>
          <w:rFonts w:ascii="Calibri" w:hAnsi="Calibri" w:cs="Calibri"/>
          <w:i/>
          <w:iCs/>
          <w:sz w:val="22"/>
          <w:szCs w:val="22"/>
        </w:rPr>
      </w:pPr>
    </w:p>
    <w:p w14:paraId="666F7BCF" w14:textId="5DD20A40" w:rsidR="0039230F" w:rsidRPr="00D70FB7" w:rsidRDefault="0039230F" w:rsidP="00D70FB7">
      <w:pPr>
        <w:pStyle w:val="ListParagraph"/>
        <w:numPr>
          <w:ilvl w:val="1"/>
          <w:numId w:val="6"/>
        </w:numPr>
        <w:jc w:val="both"/>
        <w:rPr>
          <w:rFonts w:ascii="Calibri" w:hAnsi="Calibri" w:cs="Calibri"/>
          <w:i/>
          <w:iCs/>
          <w:sz w:val="22"/>
          <w:szCs w:val="22"/>
        </w:rPr>
      </w:pPr>
      <w:r w:rsidRPr="00D70FB7">
        <w:rPr>
          <w:rFonts w:ascii="Calibri" w:hAnsi="Calibri" w:cs="Calibri"/>
          <w:i/>
          <w:iCs/>
          <w:sz w:val="22"/>
          <w:szCs w:val="22"/>
        </w:rPr>
        <w:t>Positionality</w:t>
      </w:r>
    </w:p>
    <w:p w14:paraId="00770464" w14:textId="77777777" w:rsidR="0039230F" w:rsidRDefault="0039230F" w:rsidP="00FF525C">
      <w:pPr>
        <w:jc w:val="both"/>
        <w:rPr>
          <w:rFonts w:ascii="Calibri" w:hAnsi="Calibri" w:cs="Calibri"/>
          <w:sz w:val="22"/>
          <w:szCs w:val="22"/>
        </w:rPr>
      </w:pPr>
    </w:p>
    <w:p w14:paraId="40D8B7F7" w14:textId="77777777" w:rsidR="005F6606" w:rsidRDefault="002342BB" w:rsidP="00FF525C">
      <w:pPr>
        <w:jc w:val="both"/>
        <w:rPr>
          <w:rFonts w:ascii="Calibri" w:hAnsi="Calibri" w:cs="Calibri"/>
          <w:sz w:val="22"/>
          <w:szCs w:val="22"/>
        </w:rPr>
      </w:pPr>
      <w:r>
        <w:rPr>
          <w:rFonts w:ascii="Calibri" w:hAnsi="Calibri" w:cs="Calibri"/>
          <w:sz w:val="22"/>
          <w:szCs w:val="22"/>
        </w:rPr>
        <w:t>R</w:t>
      </w:r>
      <w:r w:rsidR="00FE40CB" w:rsidRPr="00136F3A">
        <w:rPr>
          <w:rFonts w:ascii="Calibri" w:hAnsi="Calibri" w:cs="Calibri"/>
          <w:sz w:val="22"/>
          <w:szCs w:val="22"/>
        </w:rPr>
        <w:t xml:space="preserve">ejecting </w:t>
      </w:r>
      <w:r>
        <w:rPr>
          <w:rFonts w:ascii="Calibri" w:hAnsi="Calibri" w:cs="Calibri"/>
          <w:sz w:val="22"/>
          <w:szCs w:val="22"/>
        </w:rPr>
        <w:t xml:space="preserve">pure </w:t>
      </w:r>
      <w:r w:rsidR="00FE40CB" w:rsidRPr="00136F3A">
        <w:rPr>
          <w:rFonts w:ascii="Calibri" w:hAnsi="Calibri" w:cs="Calibri"/>
          <w:sz w:val="22"/>
          <w:szCs w:val="22"/>
        </w:rPr>
        <w:t xml:space="preserve">objectivity in our reflexive </w:t>
      </w:r>
      <w:r>
        <w:rPr>
          <w:rFonts w:ascii="Calibri" w:hAnsi="Calibri" w:cs="Calibri"/>
          <w:sz w:val="22"/>
          <w:szCs w:val="22"/>
        </w:rPr>
        <w:t>practice</w:t>
      </w:r>
      <w:r w:rsidR="00584E39">
        <w:rPr>
          <w:rFonts w:ascii="Calibri" w:hAnsi="Calibri" w:cs="Calibri"/>
          <w:sz w:val="22"/>
          <w:szCs w:val="22"/>
        </w:rPr>
        <w:t xml:space="preserve"> requires</w:t>
      </w:r>
      <w:r w:rsidR="00FE40CB" w:rsidRPr="00136F3A">
        <w:rPr>
          <w:rFonts w:ascii="Calibri" w:hAnsi="Calibri" w:cs="Calibri"/>
          <w:sz w:val="22"/>
          <w:szCs w:val="22"/>
        </w:rPr>
        <w:t xml:space="preserve"> that </w:t>
      </w:r>
      <w:r w:rsidR="00584E39">
        <w:rPr>
          <w:rFonts w:ascii="Calibri" w:hAnsi="Calibri" w:cs="Calibri"/>
          <w:sz w:val="22"/>
          <w:szCs w:val="22"/>
        </w:rPr>
        <w:t xml:space="preserve">the consideration of </w:t>
      </w:r>
      <w:r w:rsidR="00FE40CB" w:rsidRPr="00136F3A">
        <w:rPr>
          <w:rFonts w:ascii="Calibri" w:hAnsi="Calibri" w:cs="Calibri"/>
          <w:sz w:val="22"/>
          <w:szCs w:val="22"/>
        </w:rPr>
        <w:t xml:space="preserve">positionality must </w:t>
      </w:r>
      <w:r w:rsidR="00584E39">
        <w:rPr>
          <w:rFonts w:ascii="Calibri" w:hAnsi="Calibri" w:cs="Calibri"/>
          <w:sz w:val="22"/>
          <w:szCs w:val="22"/>
        </w:rPr>
        <w:t>also</w:t>
      </w:r>
      <w:r w:rsidR="00FE40CB" w:rsidRPr="00136F3A">
        <w:rPr>
          <w:rFonts w:ascii="Calibri" w:hAnsi="Calibri" w:cs="Calibri"/>
          <w:sz w:val="22"/>
          <w:szCs w:val="22"/>
        </w:rPr>
        <w:t xml:space="preserve"> be inherently unique to both the research project and the researcher. As </w:t>
      </w:r>
      <w:proofErr w:type="spellStart"/>
      <w:r w:rsidR="00FE40CB" w:rsidRPr="00136F3A">
        <w:rPr>
          <w:rFonts w:ascii="Calibri" w:hAnsi="Calibri" w:cs="Calibri"/>
          <w:sz w:val="22"/>
          <w:szCs w:val="22"/>
        </w:rPr>
        <w:t>Soedirgo</w:t>
      </w:r>
      <w:proofErr w:type="spellEnd"/>
      <w:r w:rsidR="00FE40CB" w:rsidRPr="00136F3A">
        <w:rPr>
          <w:rFonts w:ascii="Calibri" w:hAnsi="Calibri" w:cs="Calibri"/>
          <w:sz w:val="22"/>
          <w:szCs w:val="22"/>
        </w:rPr>
        <w:t xml:space="preserve"> and </w:t>
      </w:r>
      <w:proofErr w:type="spellStart"/>
      <w:r w:rsidR="00FE40CB" w:rsidRPr="00136F3A">
        <w:rPr>
          <w:rFonts w:ascii="Calibri" w:hAnsi="Calibri" w:cs="Calibri"/>
          <w:sz w:val="22"/>
          <w:szCs w:val="22"/>
        </w:rPr>
        <w:t>Glas</w:t>
      </w:r>
      <w:proofErr w:type="spellEnd"/>
      <w:r w:rsidR="00FE40CB" w:rsidRPr="00136F3A">
        <w:rPr>
          <w:rFonts w:ascii="Calibri" w:hAnsi="Calibri" w:cs="Calibri"/>
          <w:sz w:val="22"/>
          <w:szCs w:val="22"/>
        </w:rPr>
        <w:t xml:space="preserve"> note,</w:t>
      </w:r>
      <w:r w:rsidR="00012494" w:rsidRPr="00136F3A">
        <w:rPr>
          <w:rFonts w:ascii="Calibri" w:hAnsi="Calibri" w:cs="Calibri"/>
          <w:sz w:val="22"/>
          <w:szCs w:val="22"/>
        </w:rPr>
        <w:t xml:space="preserve"> </w:t>
      </w:r>
      <w:r w:rsidR="00F220E6">
        <w:rPr>
          <w:rFonts w:ascii="Calibri" w:hAnsi="Calibri" w:cs="Calibri"/>
          <w:sz w:val="22"/>
          <w:szCs w:val="22"/>
        </w:rPr>
        <w:t>‘</w:t>
      </w:r>
      <w:r w:rsidR="00403ECC" w:rsidRPr="00136F3A">
        <w:rPr>
          <w:rFonts w:ascii="Calibri" w:hAnsi="Calibri" w:cs="Calibri"/>
          <w:sz w:val="22"/>
          <w:szCs w:val="22"/>
        </w:rPr>
        <w:t xml:space="preserve">﻿positionality does not neatly </w:t>
      </w:r>
      <w:r w:rsidR="00F220E6">
        <w:rPr>
          <w:rFonts w:ascii="Calibri" w:hAnsi="Calibri" w:cs="Calibri"/>
          <w:sz w:val="22"/>
          <w:szCs w:val="22"/>
        </w:rPr>
        <w:t>‘</w:t>
      </w:r>
      <w:r w:rsidR="00403ECC" w:rsidRPr="00136F3A">
        <w:rPr>
          <w:rFonts w:ascii="Calibri" w:hAnsi="Calibri" w:cs="Calibri"/>
          <w:sz w:val="22"/>
          <w:szCs w:val="22"/>
        </w:rPr>
        <w:t>translocate</w:t>
      </w:r>
      <w:r w:rsidR="00F220E6">
        <w:rPr>
          <w:rFonts w:ascii="Calibri" w:hAnsi="Calibri" w:cs="Calibri"/>
          <w:sz w:val="22"/>
          <w:szCs w:val="22"/>
        </w:rPr>
        <w:t>’</w:t>
      </w:r>
      <w:r w:rsidR="00403ECC" w:rsidRPr="00136F3A">
        <w:rPr>
          <w:rFonts w:ascii="Calibri" w:hAnsi="Calibri" w:cs="Calibri"/>
          <w:sz w:val="22"/>
          <w:szCs w:val="22"/>
        </w:rPr>
        <w:t xml:space="preserve"> from one context to another but instead is inherently contextual</w:t>
      </w:r>
      <w:r w:rsidR="00F220E6">
        <w:rPr>
          <w:rFonts w:ascii="Calibri" w:hAnsi="Calibri" w:cs="Calibri"/>
          <w:sz w:val="22"/>
          <w:szCs w:val="22"/>
        </w:rPr>
        <w:t>’</w:t>
      </w:r>
      <w:r w:rsidR="00403ECC" w:rsidRPr="00136F3A">
        <w:rPr>
          <w:rFonts w:ascii="Calibri" w:hAnsi="Calibri" w:cs="Calibri"/>
          <w:sz w:val="22"/>
          <w:szCs w:val="22"/>
        </w:rPr>
        <w:t xml:space="preserve"> </w:t>
      </w:r>
      <w:r w:rsidR="00C25238" w:rsidRPr="00136F3A">
        <w:rPr>
          <w:rFonts w:ascii="Calibri" w:hAnsi="Calibri" w:cs="Calibri"/>
          <w:sz w:val="22"/>
          <w:szCs w:val="22"/>
        </w:rPr>
        <w:fldChar w:fldCharType="begin" w:fldLock="1"/>
      </w:r>
      <w:r w:rsidR="00743F99" w:rsidRPr="00136F3A">
        <w:rPr>
          <w:rFonts w:ascii="Calibri" w:hAnsi="Calibri" w:cs="Calibri"/>
          <w:sz w:val="22"/>
          <w:szCs w:val="22"/>
        </w:rPr>
        <w:instrText>ADDIN CSL_CITATION {"citationItems":[{"id":"ITEM-1","itemData":{"ISBN":"1049096519002","ISSN":"15375935","abstract":"How should scholars recognize and respond to the complexities of positionality during the research process? Although there has been much theorizing on the intersectional and context-dependent nature of positionality, there remains a disjuncture between how positionality is understood theoretically and how it is applied. Ignoring the dynamism of positionality in practice has implications for the research process. This article theorizes one means of recognizing and responding to positionality in practice: A posture of active reflexivity. It outlines how we can become actively reflexive by adopting a disposition toward both ongoing reflection about our own social location and ongoing reflection on our assumptions regarding others' perceptions. We then articulate four strategies for doing active reflexivity: recording assumptions around positionality; routinizing and systemizing reflexivity; bringing other actors into the process; and showing our work in the publication process.","author":[{"dropping-particle":"","family":"Soedirgo","given":"Jessica","non-dropping-particle":"","parse-names":false,"suffix":""},{"dropping-particle":"","family":"Glas","given":"Aarie","non-dropping-particle":"","parse-names":false,"suffix":""}],"container-title":"PS - Political Science and Politics","id":"ITEM-1","issue":"3","issued":{"date-parts":[["2020"]]},"page":"527-531","title":"Toward Active Reflexivity: Positionality and Practice in the Production of Knowledge","type":"article-journal","volume":"53"},"locator":"528","uris":["http://www.mendeley.com/documents/?uuid=94659965-e2cc-4ab9-9c99-c7302f247900"]}],"mendeley":{"formattedCitation":"(Soedirgo and Glas, 2020, p. 528)","plainTextFormattedCitation":"(Soedirgo and Glas, 2020, p. 528)","previouslyFormattedCitation":"(Soedirgo and Glas, 2020, p. 528)"},"properties":{"noteIndex":0},"schema":"https://github.com/citation-style-language/schema/raw/master/csl-citation.json"}</w:instrText>
      </w:r>
      <w:r w:rsidR="00C25238" w:rsidRPr="00136F3A">
        <w:rPr>
          <w:rFonts w:ascii="Calibri" w:hAnsi="Calibri" w:cs="Calibri"/>
          <w:sz w:val="22"/>
          <w:szCs w:val="22"/>
        </w:rPr>
        <w:fldChar w:fldCharType="separate"/>
      </w:r>
      <w:r w:rsidR="00C25238" w:rsidRPr="00136F3A">
        <w:rPr>
          <w:rFonts w:ascii="Calibri" w:hAnsi="Calibri" w:cs="Calibri"/>
          <w:noProof/>
          <w:sz w:val="22"/>
          <w:szCs w:val="22"/>
        </w:rPr>
        <w:t>(Soedirgo and Glas, 2020, p. 528)</w:t>
      </w:r>
      <w:r w:rsidR="00C25238" w:rsidRPr="00136F3A">
        <w:rPr>
          <w:rFonts w:ascii="Calibri" w:hAnsi="Calibri" w:cs="Calibri"/>
          <w:sz w:val="22"/>
          <w:szCs w:val="22"/>
        </w:rPr>
        <w:fldChar w:fldCharType="end"/>
      </w:r>
      <w:r w:rsidR="00C25238" w:rsidRPr="00136F3A">
        <w:rPr>
          <w:rFonts w:ascii="Calibri" w:hAnsi="Calibri" w:cs="Calibri"/>
          <w:sz w:val="22"/>
          <w:szCs w:val="22"/>
        </w:rPr>
        <w:t xml:space="preserve">. </w:t>
      </w:r>
      <w:r w:rsidR="00FE40CB" w:rsidRPr="00136F3A">
        <w:rPr>
          <w:rFonts w:ascii="Calibri" w:hAnsi="Calibri" w:cs="Calibri"/>
          <w:sz w:val="22"/>
          <w:szCs w:val="22"/>
        </w:rPr>
        <w:t xml:space="preserve">Therefore, </w:t>
      </w:r>
      <w:r w:rsidR="00CC5070">
        <w:rPr>
          <w:rFonts w:ascii="Calibri" w:hAnsi="Calibri" w:cs="Calibri"/>
          <w:sz w:val="22"/>
          <w:szCs w:val="22"/>
        </w:rPr>
        <w:t xml:space="preserve">the context within which it </w:t>
      </w:r>
      <w:proofErr w:type="gramStart"/>
      <w:r w:rsidR="00CC5070">
        <w:rPr>
          <w:rFonts w:ascii="Calibri" w:hAnsi="Calibri" w:cs="Calibri"/>
          <w:sz w:val="22"/>
          <w:szCs w:val="22"/>
        </w:rPr>
        <w:t>operates</w:t>
      </w:r>
      <w:proofErr w:type="gramEnd"/>
      <w:r w:rsidR="00CC5070">
        <w:rPr>
          <w:rFonts w:ascii="Calibri" w:hAnsi="Calibri" w:cs="Calibri"/>
          <w:sz w:val="22"/>
          <w:szCs w:val="22"/>
        </w:rPr>
        <w:t xml:space="preserve"> must be</w:t>
      </w:r>
      <w:r w:rsidR="00E65BE4">
        <w:rPr>
          <w:rFonts w:ascii="Calibri" w:hAnsi="Calibri" w:cs="Calibri"/>
          <w:sz w:val="22"/>
          <w:szCs w:val="22"/>
        </w:rPr>
        <w:t xml:space="preserve"> considered</w:t>
      </w:r>
      <w:r w:rsidR="00FE40CB" w:rsidRPr="00136F3A">
        <w:rPr>
          <w:rFonts w:ascii="Calibri" w:hAnsi="Calibri" w:cs="Calibri"/>
          <w:sz w:val="22"/>
          <w:szCs w:val="22"/>
        </w:rPr>
        <w:t>.</w:t>
      </w:r>
      <w:r w:rsidR="005F3D54">
        <w:rPr>
          <w:rFonts w:ascii="Calibri" w:hAnsi="Calibri" w:cs="Calibri"/>
          <w:sz w:val="22"/>
          <w:szCs w:val="22"/>
        </w:rPr>
        <w:t xml:space="preserve"> </w:t>
      </w:r>
      <w:r w:rsidR="006F6190">
        <w:rPr>
          <w:rFonts w:ascii="Calibri" w:hAnsi="Calibri" w:cs="Calibri"/>
          <w:sz w:val="22"/>
          <w:szCs w:val="22"/>
        </w:rPr>
        <w:t>As t</w:t>
      </w:r>
      <w:r w:rsidR="00584E39">
        <w:rPr>
          <w:rFonts w:ascii="Calibri" w:hAnsi="Calibri" w:cs="Calibri"/>
          <w:sz w:val="22"/>
          <w:szCs w:val="22"/>
        </w:rPr>
        <w:t>hey note further</w:t>
      </w:r>
      <w:r w:rsidR="006F6190">
        <w:rPr>
          <w:rFonts w:ascii="Calibri" w:hAnsi="Calibri" w:cs="Calibri"/>
          <w:sz w:val="22"/>
          <w:szCs w:val="22"/>
        </w:rPr>
        <w:t xml:space="preserve">, </w:t>
      </w:r>
      <w:r w:rsidR="00F220E6">
        <w:rPr>
          <w:rFonts w:ascii="Calibri" w:hAnsi="Calibri" w:cs="Calibri"/>
          <w:sz w:val="22"/>
          <w:szCs w:val="22"/>
        </w:rPr>
        <w:t>‘</w:t>
      </w:r>
      <w:r w:rsidR="00AE7A08" w:rsidRPr="00136F3A">
        <w:rPr>
          <w:rFonts w:ascii="Calibri" w:hAnsi="Calibri" w:cs="Calibri"/>
          <w:sz w:val="22"/>
          <w:szCs w:val="22"/>
        </w:rPr>
        <w:t>we gain knowledge about the world only through our positionality. Therefore, we must assess how it impacts our interactions if we are to generate useful data about the world</w:t>
      </w:r>
      <w:r w:rsidR="00F220E6">
        <w:rPr>
          <w:rFonts w:ascii="Calibri" w:hAnsi="Calibri" w:cs="Calibri"/>
          <w:sz w:val="22"/>
          <w:szCs w:val="22"/>
        </w:rPr>
        <w:t>’</w:t>
      </w:r>
      <w:r w:rsidR="00AE7A08" w:rsidRPr="00136F3A">
        <w:rPr>
          <w:rFonts w:ascii="Calibri" w:hAnsi="Calibri" w:cs="Calibri"/>
          <w:sz w:val="22"/>
          <w:szCs w:val="22"/>
        </w:rPr>
        <w:t xml:space="preserve"> </w:t>
      </w:r>
      <w:r w:rsidR="00AE7A08" w:rsidRPr="00136F3A">
        <w:rPr>
          <w:rFonts w:ascii="Calibri" w:hAnsi="Calibri" w:cs="Calibri"/>
          <w:sz w:val="22"/>
          <w:szCs w:val="22"/>
        </w:rPr>
        <w:fldChar w:fldCharType="begin" w:fldLock="1"/>
      </w:r>
      <w:r w:rsidR="00743F99" w:rsidRPr="00136F3A">
        <w:rPr>
          <w:rFonts w:ascii="Calibri" w:hAnsi="Calibri" w:cs="Calibri"/>
          <w:sz w:val="22"/>
          <w:szCs w:val="22"/>
        </w:rPr>
        <w:instrText>ADDIN CSL_CITATION {"citationItems":[{"id":"ITEM-1","itemData":{"ISBN":"1049096519002","ISSN":"15375935","abstract":"How should scholars recognize and respond to the complexities of positionality during the research process? Although there has been much theorizing on the intersectional and context-dependent nature of positionality, there remains a disjuncture between how positionality is understood theoretically and how it is applied. Ignoring the dynamism of positionality in practice has implications for the research process. This article theorizes one means of recognizing and responding to positionality in practice: A posture of active reflexivity. It outlines how we can become actively reflexive by adopting a disposition toward both ongoing reflection about our own social location and ongoing reflection on our assumptions regarding others' perceptions. We then articulate four strategies for doing active reflexivity: recording assumptions around positionality; routinizing and systemizing reflexivity; bringing other actors into the process; and showing our work in the publication process.","author":[{"dropping-particle":"","family":"Soedirgo","given":"Jessica","non-dropping-particle":"","parse-names":false,"suffix":""},{"dropping-particle":"","family":"Glas","given":"Aarie","non-dropping-particle":"","parse-names":false,"suffix":""}],"container-title":"PS - Political Science and Politics","id":"ITEM-1","issue":"3","issued":{"date-parts":[["2020"]]},"page":"527-531","title":"Toward Active Reflexivity: Positionality and Practice in the Production of Knowledge","type":"article-journal","volume":"53"},"locator":"528","uris":["http://www.mendeley.com/documents/?uuid=94659965-e2cc-4ab9-9c99-c7302f247900"]}],"mendeley":{"formattedCitation":"(Soedirgo and Glas, 2020, p. 528)","plainTextFormattedCitation":"(Soedirgo and Glas, 2020, p. 528)","previouslyFormattedCitation":"(Soedirgo and Glas, 2020, p. 528)"},"properties":{"noteIndex":0},"schema":"https://github.com/citation-style-language/schema/raw/master/csl-citation.json"}</w:instrText>
      </w:r>
      <w:r w:rsidR="00AE7A08" w:rsidRPr="00136F3A">
        <w:rPr>
          <w:rFonts w:ascii="Calibri" w:hAnsi="Calibri" w:cs="Calibri"/>
          <w:sz w:val="22"/>
          <w:szCs w:val="22"/>
        </w:rPr>
        <w:fldChar w:fldCharType="separate"/>
      </w:r>
      <w:r w:rsidR="00AE7A08" w:rsidRPr="00136F3A">
        <w:rPr>
          <w:rFonts w:ascii="Calibri" w:hAnsi="Calibri" w:cs="Calibri"/>
          <w:noProof/>
          <w:sz w:val="22"/>
          <w:szCs w:val="22"/>
        </w:rPr>
        <w:t>(Soedirgo and Glas, 2020, p. 528)</w:t>
      </w:r>
      <w:r w:rsidR="00AE7A08" w:rsidRPr="00136F3A">
        <w:rPr>
          <w:rFonts w:ascii="Calibri" w:hAnsi="Calibri" w:cs="Calibri"/>
          <w:sz w:val="22"/>
          <w:szCs w:val="22"/>
        </w:rPr>
        <w:fldChar w:fldCharType="end"/>
      </w:r>
      <w:r w:rsidR="006F6190">
        <w:rPr>
          <w:rFonts w:ascii="Calibri" w:hAnsi="Calibri" w:cs="Calibri"/>
          <w:sz w:val="22"/>
          <w:szCs w:val="22"/>
        </w:rPr>
        <w:t xml:space="preserve">. </w:t>
      </w:r>
      <w:r w:rsidR="00304539">
        <w:rPr>
          <w:rFonts w:ascii="Calibri" w:hAnsi="Calibri" w:cs="Calibri"/>
          <w:sz w:val="22"/>
          <w:szCs w:val="22"/>
        </w:rPr>
        <w:t>As researchers therefore, we must be mindful of how our position impacts upon our knowledge generation, and our relationships with subjects of our research.</w:t>
      </w:r>
      <w:r w:rsidR="00AD617B">
        <w:rPr>
          <w:rFonts w:ascii="Calibri" w:hAnsi="Calibri" w:cs="Calibri"/>
          <w:sz w:val="22"/>
          <w:szCs w:val="22"/>
        </w:rPr>
        <w:t xml:space="preserve"> </w:t>
      </w:r>
    </w:p>
    <w:p w14:paraId="55310C22" w14:textId="77777777" w:rsidR="005F6606" w:rsidRDefault="005F6606" w:rsidP="00FF525C">
      <w:pPr>
        <w:jc w:val="both"/>
        <w:rPr>
          <w:rFonts w:ascii="Calibri" w:hAnsi="Calibri" w:cs="Calibri"/>
          <w:sz w:val="22"/>
          <w:szCs w:val="22"/>
        </w:rPr>
      </w:pPr>
    </w:p>
    <w:p w14:paraId="791C8690" w14:textId="46728FAA" w:rsidR="00176BAD" w:rsidRDefault="00304539" w:rsidP="00FF525C">
      <w:pPr>
        <w:jc w:val="both"/>
        <w:rPr>
          <w:rFonts w:ascii="Calibri" w:hAnsi="Calibri" w:cs="Calibri"/>
          <w:sz w:val="22"/>
          <w:szCs w:val="22"/>
        </w:rPr>
      </w:pPr>
      <w:r>
        <w:rPr>
          <w:rFonts w:ascii="Calibri" w:hAnsi="Calibri" w:cs="Calibri"/>
          <w:sz w:val="22"/>
          <w:szCs w:val="22"/>
        </w:rPr>
        <w:t xml:space="preserve">Applied to </w:t>
      </w:r>
      <w:r w:rsidR="004658D4">
        <w:rPr>
          <w:rFonts w:ascii="Calibri" w:hAnsi="Calibri" w:cs="Calibri"/>
          <w:sz w:val="22"/>
          <w:szCs w:val="22"/>
        </w:rPr>
        <w:t>the current research example, a</w:t>
      </w:r>
      <w:r>
        <w:rPr>
          <w:rFonts w:ascii="Calibri" w:hAnsi="Calibri" w:cs="Calibri"/>
          <w:sz w:val="22"/>
          <w:szCs w:val="22"/>
        </w:rPr>
        <w:t xml:space="preserve">rising again is the </w:t>
      </w:r>
      <w:r w:rsidR="00DE7937" w:rsidRPr="00136F3A">
        <w:rPr>
          <w:rFonts w:ascii="Calibri" w:hAnsi="Calibri" w:cs="Calibri"/>
          <w:sz w:val="22"/>
          <w:szCs w:val="22"/>
        </w:rPr>
        <w:t xml:space="preserve">question of whether the lack of direct </w:t>
      </w:r>
      <w:r w:rsidR="006C247A" w:rsidRPr="00136F3A">
        <w:rPr>
          <w:rFonts w:ascii="Calibri" w:hAnsi="Calibri" w:cs="Calibri"/>
          <w:sz w:val="22"/>
          <w:szCs w:val="22"/>
        </w:rPr>
        <w:t>participation</w:t>
      </w:r>
      <w:r w:rsidR="00DE7937" w:rsidRPr="00136F3A">
        <w:rPr>
          <w:rFonts w:ascii="Calibri" w:hAnsi="Calibri" w:cs="Calibri"/>
          <w:sz w:val="22"/>
          <w:szCs w:val="22"/>
        </w:rPr>
        <w:t xml:space="preserve"> removes the requirement for</w:t>
      </w:r>
      <w:r w:rsidR="004658D4">
        <w:rPr>
          <w:rFonts w:ascii="Calibri" w:hAnsi="Calibri" w:cs="Calibri"/>
          <w:sz w:val="22"/>
          <w:szCs w:val="22"/>
        </w:rPr>
        <w:t xml:space="preserve"> considering</w:t>
      </w:r>
      <w:r w:rsidR="00DE7937" w:rsidRPr="00136F3A">
        <w:rPr>
          <w:rFonts w:ascii="Calibri" w:hAnsi="Calibri" w:cs="Calibri"/>
          <w:sz w:val="22"/>
          <w:szCs w:val="22"/>
        </w:rPr>
        <w:t xml:space="preserve"> </w:t>
      </w:r>
      <w:r w:rsidR="00AE7A08" w:rsidRPr="00136F3A">
        <w:rPr>
          <w:rFonts w:ascii="Calibri" w:hAnsi="Calibri" w:cs="Calibri"/>
          <w:sz w:val="22"/>
          <w:szCs w:val="22"/>
        </w:rPr>
        <w:t>positionality</w:t>
      </w:r>
      <w:r w:rsidR="00F53430">
        <w:rPr>
          <w:rFonts w:ascii="Calibri" w:hAnsi="Calibri" w:cs="Calibri"/>
          <w:sz w:val="22"/>
          <w:szCs w:val="22"/>
        </w:rPr>
        <w:t>.</w:t>
      </w:r>
      <w:r w:rsidR="00AE7A08" w:rsidRPr="00136F3A">
        <w:rPr>
          <w:rFonts w:ascii="Calibri" w:hAnsi="Calibri" w:cs="Calibri"/>
          <w:sz w:val="22"/>
          <w:szCs w:val="22"/>
        </w:rPr>
        <w:t xml:space="preserve"> </w:t>
      </w:r>
      <w:r w:rsidR="00DE7937" w:rsidRPr="00136F3A">
        <w:rPr>
          <w:rFonts w:ascii="Calibri" w:hAnsi="Calibri" w:cs="Calibri"/>
          <w:sz w:val="22"/>
          <w:szCs w:val="22"/>
        </w:rPr>
        <w:t xml:space="preserve">As </w:t>
      </w:r>
      <w:r w:rsidR="00F53430">
        <w:rPr>
          <w:rFonts w:ascii="Calibri" w:hAnsi="Calibri" w:cs="Calibri"/>
          <w:sz w:val="22"/>
          <w:szCs w:val="22"/>
        </w:rPr>
        <w:t xml:space="preserve">I have argued </w:t>
      </w:r>
      <w:r w:rsidR="00DE7937" w:rsidRPr="00136F3A">
        <w:rPr>
          <w:rFonts w:ascii="Calibri" w:hAnsi="Calibri" w:cs="Calibri"/>
          <w:sz w:val="22"/>
          <w:szCs w:val="22"/>
        </w:rPr>
        <w:t>above</w:t>
      </w:r>
      <w:r w:rsidR="00F53430">
        <w:rPr>
          <w:rFonts w:ascii="Calibri" w:hAnsi="Calibri" w:cs="Calibri"/>
          <w:sz w:val="22"/>
          <w:szCs w:val="22"/>
        </w:rPr>
        <w:t>,</w:t>
      </w:r>
      <w:r w:rsidR="002B71D1" w:rsidRPr="00136F3A">
        <w:rPr>
          <w:rFonts w:ascii="Calibri" w:hAnsi="Calibri" w:cs="Calibri"/>
          <w:sz w:val="22"/>
          <w:szCs w:val="22"/>
        </w:rPr>
        <w:t xml:space="preserve"> </w:t>
      </w:r>
      <w:r w:rsidR="00973E46" w:rsidRPr="00136F3A">
        <w:rPr>
          <w:rFonts w:ascii="Calibri" w:hAnsi="Calibri" w:cs="Calibri"/>
          <w:sz w:val="22"/>
          <w:szCs w:val="22"/>
        </w:rPr>
        <w:t>positionality</w:t>
      </w:r>
      <w:r w:rsidR="002B71D1" w:rsidRPr="00136F3A">
        <w:rPr>
          <w:rFonts w:ascii="Calibri" w:hAnsi="Calibri" w:cs="Calibri"/>
          <w:sz w:val="22"/>
          <w:szCs w:val="22"/>
        </w:rPr>
        <w:t xml:space="preserve"> must </w:t>
      </w:r>
      <w:proofErr w:type="gramStart"/>
      <w:r w:rsidR="002B71D1" w:rsidRPr="00136F3A">
        <w:rPr>
          <w:rFonts w:ascii="Calibri" w:hAnsi="Calibri" w:cs="Calibri"/>
          <w:sz w:val="22"/>
          <w:szCs w:val="22"/>
        </w:rPr>
        <w:t xml:space="preserve">be </w:t>
      </w:r>
      <w:r w:rsidR="00A80F3A">
        <w:rPr>
          <w:rFonts w:ascii="Calibri" w:hAnsi="Calibri" w:cs="Calibri"/>
          <w:sz w:val="22"/>
          <w:szCs w:val="22"/>
        </w:rPr>
        <w:t>considered</w:t>
      </w:r>
      <w:proofErr w:type="gramEnd"/>
      <w:r w:rsidR="00A80F3A">
        <w:rPr>
          <w:rFonts w:ascii="Calibri" w:hAnsi="Calibri" w:cs="Calibri"/>
          <w:sz w:val="22"/>
          <w:szCs w:val="22"/>
        </w:rPr>
        <w:t>,</w:t>
      </w:r>
      <w:r w:rsidR="002B71D1" w:rsidRPr="00136F3A">
        <w:rPr>
          <w:rFonts w:ascii="Calibri" w:hAnsi="Calibri" w:cs="Calibri"/>
          <w:sz w:val="22"/>
          <w:szCs w:val="22"/>
        </w:rPr>
        <w:t xml:space="preserve"> even where there is no direct </w:t>
      </w:r>
      <w:r w:rsidR="00587C98" w:rsidRPr="00136F3A">
        <w:rPr>
          <w:rFonts w:ascii="Calibri" w:hAnsi="Calibri" w:cs="Calibri"/>
          <w:sz w:val="22"/>
          <w:szCs w:val="22"/>
        </w:rPr>
        <w:t xml:space="preserve">contact between researcher and </w:t>
      </w:r>
      <w:r w:rsidR="006C247A" w:rsidRPr="00136F3A">
        <w:rPr>
          <w:rFonts w:ascii="Calibri" w:hAnsi="Calibri" w:cs="Calibri"/>
          <w:sz w:val="22"/>
          <w:szCs w:val="22"/>
        </w:rPr>
        <w:t>subject</w:t>
      </w:r>
      <w:r w:rsidR="00587C98" w:rsidRPr="00136F3A">
        <w:rPr>
          <w:rFonts w:ascii="Calibri" w:hAnsi="Calibri" w:cs="Calibri"/>
          <w:sz w:val="22"/>
          <w:szCs w:val="22"/>
        </w:rPr>
        <w:t>.</w:t>
      </w:r>
      <w:r w:rsidR="00BA2D37" w:rsidRPr="00136F3A">
        <w:rPr>
          <w:rFonts w:ascii="Calibri" w:hAnsi="Calibri" w:cs="Calibri"/>
          <w:sz w:val="22"/>
          <w:szCs w:val="22"/>
        </w:rPr>
        <w:t xml:space="preserve"> </w:t>
      </w:r>
      <w:r w:rsidR="00A80F3A">
        <w:rPr>
          <w:rFonts w:ascii="Calibri" w:hAnsi="Calibri" w:cs="Calibri"/>
          <w:sz w:val="22"/>
          <w:szCs w:val="22"/>
        </w:rPr>
        <w:t>This however requires some adaptation of standard considerations</w:t>
      </w:r>
      <w:r w:rsidR="00AD617B">
        <w:rPr>
          <w:rFonts w:ascii="Calibri" w:hAnsi="Calibri" w:cs="Calibri"/>
          <w:sz w:val="22"/>
          <w:szCs w:val="22"/>
        </w:rPr>
        <w:t xml:space="preserve"> to fit in the desk-based research context</w:t>
      </w:r>
      <w:r w:rsidR="00A80F3A">
        <w:rPr>
          <w:rFonts w:ascii="Calibri" w:hAnsi="Calibri" w:cs="Calibri"/>
          <w:sz w:val="22"/>
          <w:szCs w:val="22"/>
        </w:rPr>
        <w:t xml:space="preserve">. </w:t>
      </w:r>
      <w:r w:rsidR="00AD617B">
        <w:rPr>
          <w:rFonts w:ascii="Calibri" w:hAnsi="Calibri" w:cs="Calibri"/>
          <w:sz w:val="22"/>
          <w:szCs w:val="22"/>
        </w:rPr>
        <w:t xml:space="preserve">In </w:t>
      </w:r>
      <w:r w:rsidR="00D50481">
        <w:rPr>
          <w:rFonts w:ascii="Calibri" w:hAnsi="Calibri" w:cs="Calibri"/>
          <w:sz w:val="22"/>
          <w:szCs w:val="22"/>
        </w:rPr>
        <w:t>broader qualitative research, p</w:t>
      </w:r>
      <w:r w:rsidR="00BA2D37" w:rsidRPr="00136F3A">
        <w:rPr>
          <w:rFonts w:ascii="Calibri" w:hAnsi="Calibri" w:cs="Calibri"/>
          <w:sz w:val="22"/>
          <w:szCs w:val="22"/>
        </w:rPr>
        <w:t>ositionality</w:t>
      </w:r>
      <w:r w:rsidR="00D50481">
        <w:rPr>
          <w:rFonts w:ascii="Calibri" w:hAnsi="Calibri" w:cs="Calibri"/>
          <w:sz w:val="22"/>
          <w:szCs w:val="22"/>
        </w:rPr>
        <w:t xml:space="preserve"> generally</w:t>
      </w:r>
      <w:r w:rsidR="00BA2D37" w:rsidRPr="00136F3A">
        <w:rPr>
          <w:rFonts w:ascii="Calibri" w:hAnsi="Calibri" w:cs="Calibri"/>
          <w:sz w:val="22"/>
          <w:szCs w:val="22"/>
        </w:rPr>
        <w:t xml:space="preserve"> </w:t>
      </w:r>
      <w:r w:rsidR="00237CD4" w:rsidRPr="00136F3A">
        <w:rPr>
          <w:rFonts w:ascii="Calibri" w:hAnsi="Calibri" w:cs="Calibri"/>
          <w:sz w:val="22"/>
          <w:szCs w:val="22"/>
        </w:rPr>
        <w:t>involves observation</w:t>
      </w:r>
      <w:r w:rsidR="00D50481">
        <w:rPr>
          <w:rFonts w:ascii="Calibri" w:hAnsi="Calibri" w:cs="Calibri"/>
          <w:sz w:val="22"/>
          <w:szCs w:val="22"/>
        </w:rPr>
        <w:t>s</w:t>
      </w:r>
      <w:r w:rsidR="00237CD4" w:rsidRPr="00136F3A">
        <w:rPr>
          <w:rFonts w:ascii="Calibri" w:hAnsi="Calibri" w:cs="Calibri"/>
          <w:sz w:val="22"/>
          <w:szCs w:val="22"/>
        </w:rPr>
        <w:t xml:space="preserve"> of </w:t>
      </w:r>
      <w:r w:rsidR="00F220E6">
        <w:rPr>
          <w:rFonts w:ascii="Calibri" w:hAnsi="Calibri" w:cs="Calibri"/>
          <w:sz w:val="22"/>
          <w:szCs w:val="22"/>
        </w:rPr>
        <w:t>‘</w:t>
      </w:r>
      <w:r w:rsidR="00237CD4" w:rsidRPr="00136F3A">
        <w:rPr>
          <w:rFonts w:ascii="Calibri" w:hAnsi="Calibri" w:cs="Calibri"/>
          <w:sz w:val="22"/>
          <w:szCs w:val="22"/>
        </w:rPr>
        <w:t>how the power dynamics of the interview process are negotiated by the interviewer, the interviewees, and the culturally embedded interview context constructed by both</w:t>
      </w:r>
      <w:r w:rsidR="00F220E6">
        <w:rPr>
          <w:rFonts w:ascii="Calibri" w:hAnsi="Calibri" w:cs="Calibri"/>
          <w:sz w:val="22"/>
          <w:szCs w:val="22"/>
        </w:rPr>
        <w:t>’</w:t>
      </w:r>
      <w:r w:rsidR="00237CD4" w:rsidRPr="00136F3A">
        <w:rPr>
          <w:rFonts w:ascii="Calibri" w:hAnsi="Calibri" w:cs="Calibri"/>
          <w:sz w:val="22"/>
          <w:szCs w:val="22"/>
        </w:rPr>
        <w:t xml:space="preserve"> </w:t>
      </w:r>
      <w:r w:rsidR="00237CD4" w:rsidRPr="00136F3A">
        <w:rPr>
          <w:rFonts w:ascii="Calibri" w:hAnsi="Calibri" w:cs="Calibri"/>
          <w:sz w:val="22"/>
          <w:szCs w:val="22"/>
        </w:rPr>
        <w:fldChar w:fldCharType="begin" w:fldLock="1"/>
      </w:r>
      <w:r w:rsidR="00A87336" w:rsidRPr="00136F3A">
        <w:rPr>
          <w:rFonts w:ascii="Calibri" w:hAnsi="Calibri" w:cs="Calibri"/>
          <w:sz w:val="22"/>
          <w:szCs w:val="22"/>
        </w:rPr>
        <w:instrText>ADDIN CSL_CITATION {"citationItems":[{"id":"ITEM-1","itemData":{"abstract":"Early discussions of insider/outsider status assumed that the researcher was predominately an insider or an outsider and that each status carried with it certain advantages and disadvantages. More recent discussions have unveiled the complexity inherent in either status and have acknowledged that the boundaries between the two positions are not all that clearly delineated. Four case studies – a Black woman interviewing other Black women, Asian graduate students in the US interviewing people from 'back home', an African professor learning from African businesswomen, and a cross-cultural team studying aging in a non-Western culture – are used as the data base to explore the complexities of researching within and across cultures. Positionality, power, and representation proved to be useful concepts for exploring insider/outsider dynamics. What does it mean to be an insider or an outsider to a particular group under study? Can women understand men's experience? Can Whites study Blacks? Straights study gays? The colonized study the colonizer? Early discussions in anthropology and sociology of insider/outsider status assumed that the researcher was either an insider or an outsider and that each status carried with it certain advantages and disadvantages. More recent discussions of insider/outsider status have unveiled the complexity inherent in either status and have acknowledged that the boundaries between the two positions are not all that clearly delineated. In the real world of data collection, there is a good bit of slippage and fluidity between these two states. Critical and feminist theory, postmodernism, multiculturalism, participatory and action research are now framing our understanding of insider/ outsider issues. In particular, the reconstruing of insider/outsider status in terms of one's positionality vis-à -vis race, class, gender, culture and other factors, offer us better tools for understanding the dynamics of researching within and across one's culture.","author":[{"dropping-particle":"","family":"Merriam","given":"Sharan B.","non-dropping-particle":"","parse-names":false,"suffix":""},{"dropping-particle":"","family":"Johnson-Bailey","given":"Juanita","non-dropping-particle":"","parse-names":false,"suffix":""},{"dropping-particle":"","family":"Lee","given":"Ming-Yeh","non-dropping-particle":"","parse-names":false,"suffix":""},{"dropping-particle":"","family":"Kee","given":"Youngwha","non-dropping-particle":"","parse-names":false,"suffix":""},{"dropping-particle":"","family":"Ntseane","given":"Gabo","non-dropping-particle":"","parse-names":false,"suffix":""},{"dropping-particle":"","family":"Muhamad","given":"Mazanah","non-dropping-particle":"","parse-names":false,"suffix":""}],"container-title":"International Journal of Lifelong Education","id":"ITEM-1","issue":"5","issued":{"date-parts":[["2001"]]},"page":"405-416","title":"Power and positionality: negotiating insider/outsider status within and across cultures","type":"article-journal","volume":"20"},"locator":"413","uris":["http://www.mendeley.com/documents/?uuid=8abba5ce-f498-49e0-b518-9a3e8fd0b88a"]}],"mendeley":{"formattedCitation":"(Merriam &lt;i&gt;et al.&lt;/i&gt;, 2001, p. 413)","plainTextFormattedCitation":"(Merriam et al., 2001, p. 413)","previouslyFormattedCitation":"(Merriam &lt;i&gt;et al.&lt;/i&gt;, 2001, p. 413)"},"properties":{"noteIndex":0},"schema":"https://github.com/citation-style-language/schema/raw/master/csl-citation.json"}</w:instrText>
      </w:r>
      <w:r w:rsidR="00237CD4" w:rsidRPr="00136F3A">
        <w:rPr>
          <w:rFonts w:ascii="Calibri" w:hAnsi="Calibri" w:cs="Calibri"/>
          <w:sz w:val="22"/>
          <w:szCs w:val="22"/>
        </w:rPr>
        <w:fldChar w:fldCharType="separate"/>
      </w:r>
      <w:r w:rsidR="00237CD4" w:rsidRPr="00136F3A">
        <w:rPr>
          <w:rFonts w:ascii="Calibri" w:hAnsi="Calibri" w:cs="Calibri"/>
          <w:noProof/>
          <w:sz w:val="22"/>
          <w:szCs w:val="22"/>
        </w:rPr>
        <w:t xml:space="preserve">(Merriam </w:t>
      </w:r>
      <w:r w:rsidR="00237CD4" w:rsidRPr="00136F3A">
        <w:rPr>
          <w:rFonts w:ascii="Calibri" w:hAnsi="Calibri" w:cs="Calibri"/>
          <w:i/>
          <w:noProof/>
          <w:sz w:val="22"/>
          <w:szCs w:val="22"/>
        </w:rPr>
        <w:t>et al.</w:t>
      </w:r>
      <w:r w:rsidR="00237CD4" w:rsidRPr="00136F3A">
        <w:rPr>
          <w:rFonts w:ascii="Calibri" w:hAnsi="Calibri" w:cs="Calibri"/>
          <w:noProof/>
          <w:sz w:val="22"/>
          <w:szCs w:val="22"/>
        </w:rPr>
        <w:t>, 2001, p. 413)</w:t>
      </w:r>
      <w:r w:rsidR="00237CD4" w:rsidRPr="00136F3A">
        <w:rPr>
          <w:rFonts w:ascii="Calibri" w:hAnsi="Calibri" w:cs="Calibri"/>
          <w:sz w:val="22"/>
          <w:szCs w:val="22"/>
        </w:rPr>
        <w:fldChar w:fldCharType="end"/>
      </w:r>
      <w:r w:rsidR="00587C98" w:rsidRPr="00136F3A">
        <w:rPr>
          <w:rFonts w:ascii="Calibri" w:hAnsi="Calibri" w:cs="Calibri"/>
          <w:sz w:val="22"/>
          <w:szCs w:val="22"/>
        </w:rPr>
        <w:t xml:space="preserve">. </w:t>
      </w:r>
      <w:r w:rsidR="00CB5B5A">
        <w:rPr>
          <w:rFonts w:ascii="Calibri" w:hAnsi="Calibri" w:cs="Calibri"/>
          <w:sz w:val="22"/>
          <w:szCs w:val="22"/>
        </w:rPr>
        <w:t xml:space="preserve">These considerations </w:t>
      </w:r>
      <w:proofErr w:type="gramStart"/>
      <w:r w:rsidR="00CB5B5A">
        <w:rPr>
          <w:rFonts w:ascii="Calibri" w:hAnsi="Calibri" w:cs="Calibri"/>
          <w:sz w:val="22"/>
          <w:szCs w:val="22"/>
        </w:rPr>
        <w:t>are made</w:t>
      </w:r>
      <w:proofErr w:type="gramEnd"/>
      <w:r w:rsidR="00CB5B5A">
        <w:rPr>
          <w:rFonts w:ascii="Calibri" w:hAnsi="Calibri" w:cs="Calibri"/>
          <w:sz w:val="22"/>
          <w:szCs w:val="22"/>
        </w:rPr>
        <w:t xml:space="preserve"> obvious due to the proximity of researcher and subject and </w:t>
      </w:r>
      <w:r w:rsidR="00BC5E33">
        <w:rPr>
          <w:rFonts w:ascii="Calibri" w:hAnsi="Calibri" w:cs="Calibri"/>
          <w:sz w:val="22"/>
          <w:szCs w:val="22"/>
        </w:rPr>
        <w:t>all</w:t>
      </w:r>
      <w:r w:rsidR="00CB5B5A">
        <w:rPr>
          <w:rFonts w:ascii="Calibri" w:hAnsi="Calibri" w:cs="Calibri"/>
          <w:sz w:val="22"/>
          <w:szCs w:val="22"/>
        </w:rPr>
        <w:t xml:space="preserve"> the potential issues which arise from </w:t>
      </w:r>
      <w:r w:rsidR="00BC5E33">
        <w:rPr>
          <w:rFonts w:ascii="Calibri" w:hAnsi="Calibri" w:cs="Calibri"/>
          <w:sz w:val="22"/>
          <w:szCs w:val="22"/>
        </w:rPr>
        <w:t xml:space="preserve">contact with human participants. </w:t>
      </w:r>
      <w:r w:rsidR="00893AA4">
        <w:rPr>
          <w:rFonts w:ascii="Calibri" w:hAnsi="Calibri" w:cs="Calibri"/>
          <w:sz w:val="22"/>
          <w:szCs w:val="22"/>
        </w:rPr>
        <w:t xml:space="preserve">The absence of direct </w:t>
      </w:r>
      <w:r w:rsidR="008E5179">
        <w:rPr>
          <w:rFonts w:ascii="Calibri" w:hAnsi="Calibri" w:cs="Calibri"/>
          <w:sz w:val="22"/>
          <w:szCs w:val="22"/>
        </w:rPr>
        <w:t xml:space="preserve">human contact in desk-based research does not, however, relinquish the </w:t>
      </w:r>
      <w:r w:rsidR="006A279E">
        <w:rPr>
          <w:rFonts w:ascii="Calibri" w:hAnsi="Calibri" w:cs="Calibri"/>
          <w:sz w:val="22"/>
          <w:szCs w:val="22"/>
        </w:rPr>
        <w:t xml:space="preserve">entire </w:t>
      </w:r>
      <w:r w:rsidR="008E5179">
        <w:rPr>
          <w:rFonts w:ascii="Calibri" w:hAnsi="Calibri" w:cs="Calibri"/>
          <w:sz w:val="22"/>
          <w:szCs w:val="22"/>
        </w:rPr>
        <w:t xml:space="preserve">duty of the researcher to </w:t>
      </w:r>
      <w:r w:rsidR="00C2457B">
        <w:rPr>
          <w:rFonts w:ascii="Calibri" w:hAnsi="Calibri" w:cs="Calibri"/>
          <w:sz w:val="22"/>
          <w:szCs w:val="22"/>
        </w:rPr>
        <w:t xml:space="preserve">take into consideration their own position, especially in a human rights context. </w:t>
      </w:r>
      <w:r w:rsidR="00587C98" w:rsidRPr="00136F3A">
        <w:rPr>
          <w:rFonts w:ascii="Calibri" w:hAnsi="Calibri" w:cs="Calibri"/>
          <w:sz w:val="22"/>
          <w:szCs w:val="22"/>
        </w:rPr>
        <w:t xml:space="preserve">When dealing within the sphere of human rights discourse, </w:t>
      </w:r>
      <w:r w:rsidR="009D56C3">
        <w:rPr>
          <w:rFonts w:ascii="Calibri" w:hAnsi="Calibri" w:cs="Calibri"/>
          <w:sz w:val="22"/>
          <w:szCs w:val="22"/>
        </w:rPr>
        <w:t xml:space="preserve">the </w:t>
      </w:r>
      <w:r w:rsidR="00587C98" w:rsidRPr="00136F3A">
        <w:rPr>
          <w:rFonts w:ascii="Calibri" w:hAnsi="Calibri" w:cs="Calibri"/>
          <w:sz w:val="22"/>
          <w:szCs w:val="22"/>
        </w:rPr>
        <w:t xml:space="preserve">lives of individuals </w:t>
      </w:r>
      <w:r w:rsidR="001E3A0C">
        <w:rPr>
          <w:rFonts w:ascii="Calibri" w:hAnsi="Calibri" w:cs="Calibri"/>
          <w:sz w:val="22"/>
          <w:szCs w:val="22"/>
        </w:rPr>
        <w:t xml:space="preserve">are </w:t>
      </w:r>
      <w:proofErr w:type="gramStart"/>
      <w:r w:rsidR="001E3A0C">
        <w:rPr>
          <w:rFonts w:ascii="Calibri" w:hAnsi="Calibri" w:cs="Calibri"/>
          <w:sz w:val="22"/>
          <w:szCs w:val="22"/>
        </w:rPr>
        <w:t>encountered</w:t>
      </w:r>
      <w:proofErr w:type="gramEnd"/>
      <w:r w:rsidR="001E3A0C">
        <w:rPr>
          <w:rFonts w:ascii="Calibri" w:hAnsi="Calibri" w:cs="Calibri"/>
          <w:sz w:val="22"/>
          <w:szCs w:val="22"/>
        </w:rPr>
        <w:t xml:space="preserve"> </w:t>
      </w:r>
      <w:r w:rsidR="00587C98" w:rsidRPr="00136F3A">
        <w:rPr>
          <w:rFonts w:ascii="Calibri" w:hAnsi="Calibri" w:cs="Calibri"/>
          <w:sz w:val="22"/>
          <w:szCs w:val="22"/>
        </w:rPr>
        <w:t xml:space="preserve">who have been </w:t>
      </w:r>
      <w:r w:rsidR="001D2263">
        <w:rPr>
          <w:rFonts w:ascii="Calibri" w:hAnsi="Calibri" w:cs="Calibri"/>
          <w:sz w:val="22"/>
          <w:szCs w:val="22"/>
        </w:rPr>
        <w:t xml:space="preserve">often </w:t>
      </w:r>
      <w:r w:rsidR="00587C98" w:rsidRPr="00136F3A">
        <w:rPr>
          <w:rFonts w:ascii="Calibri" w:hAnsi="Calibri" w:cs="Calibri"/>
          <w:sz w:val="22"/>
          <w:szCs w:val="22"/>
        </w:rPr>
        <w:t xml:space="preserve">subject to </w:t>
      </w:r>
      <w:r w:rsidR="00C953B0" w:rsidRPr="00136F3A">
        <w:rPr>
          <w:rFonts w:ascii="Calibri" w:hAnsi="Calibri" w:cs="Calibri"/>
          <w:sz w:val="22"/>
          <w:szCs w:val="22"/>
        </w:rPr>
        <w:t>severe suffering.</w:t>
      </w:r>
      <w:r w:rsidR="001D2263">
        <w:rPr>
          <w:rFonts w:ascii="Calibri" w:hAnsi="Calibri" w:cs="Calibri"/>
          <w:sz w:val="22"/>
          <w:szCs w:val="22"/>
        </w:rPr>
        <w:t xml:space="preserve"> These encounters take place indirectly, through sources of law, written </w:t>
      </w:r>
      <w:r w:rsidR="007B3CD2">
        <w:rPr>
          <w:rFonts w:ascii="Calibri" w:hAnsi="Calibri" w:cs="Calibri"/>
          <w:sz w:val="22"/>
          <w:szCs w:val="22"/>
        </w:rPr>
        <w:t>accounts,</w:t>
      </w:r>
      <w:r w:rsidR="001D2263">
        <w:rPr>
          <w:rFonts w:ascii="Calibri" w:hAnsi="Calibri" w:cs="Calibri"/>
          <w:sz w:val="22"/>
          <w:szCs w:val="22"/>
        </w:rPr>
        <w:t xml:space="preserve"> and </w:t>
      </w:r>
      <w:r w:rsidR="00987FA8">
        <w:rPr>
          <w:rFonts w:ascii="Calibri" w:hAnsi="Calibri" w:cs="Calibri"/>
          <w:sz w:val="22"/>
          <w:szCs w:val="22"/>
        </w:rPr>
        <w:t xml:space="preserve">other secondary sources. Nonetheless, it </w:t>
      </w:r>
      <w:proofErr w:type="gramStart"/>
      <w:r w:rsidR="00987FA8">
        <w:rPr>
          <w:rFonts w:ascii="Calibri" w:hAnsi="Calibri" w:cs="Calibri"/>
          <w:sz w:val="22"/>
          <w:szCs w:val="22"/>
        </w:rPr>
        <w:t>remains</w:t>
      </w:r>
      <w:proofErr w:type="gramEnd"/>
      <w:r w:rsidR="00987FA8">
        <w:rPr>
          <w:rFonts w:ascii="Calibri" w:hAnsi="Calibri" w:cs="Calibri"/>
          <w:sz w:val="22"/>
          <w:szCs w:val="22"/>
        </w:rPr>
        <w:t xml:space="preserve"> that these accounts stem from the experiences of real people</w:t>
      </w:r>
      <w:r w:rsidR="007B3CD2">
        <w:rPr>
          <w:rFonts w:ascii="Calibri" w:hAnsi="Calibri" w:cs="Calibri"/>
          <w:sz w:val="22"/>
          <w:szCs w:val="22"/>
        </w:rPr>
        <w:t>.</w:t>
      </w:r>
      <w:r w:rsidR="00C953B0" w:rsidRPr="00136F3A">
        <w:rPr>
          <w:rFonts w:ascii="Calibri" w:hAnsi="Calibri" w:cs="Calibri"/>
          <w:sz w:val="22"/>
          <w:szCs w:val="22"/>
        </w:rPr>
        <w:t xml:space="preserve"> Therefore, where </w:t>
      </w:r>
      <w:r w:rsidR="0016520C" w:rsidRPr="00136F3A">
        <w:rPr>
          <w:rFonts w:ascii="Calibri" w:hAnsi="Calibri" w:cs="Calibri"/>
          <w:sz w:val="22"/>
          <w:szCs w:val="22"/>
        </w:rPr>
        <w:t>research</w:t>
      </w:r>
      <w:r w:rsidR="0016520C">
        <w:rPr>
          <w:rFonts w:ascii="Calibri" w:hAnsi="Calibri" w:cs="Calibri"/>
          <w:sz w:val="22"/>
          <w:szCs w:val="22"/>
        </w:rPr>
        <w:t>ers</w:t>
      </w:r>
      <w:r w:rsidR="00C953B0" w:rsidRPr="00136F3A">
        <w:rPr>
          <w:rFonts w:ascii="Calibri" w:hAnsi="Calibri" w:cs="Calibri"/>
          <w:sz w:val="22"/>
          <w:szCs w:val="22"/>
        </w:rPr>
        <w:t xml:space="preserve"> </w:t>
      </w:r>
      <w:r w:rsidR="0016520C">
        <w:rPr>
          <w:rFonts w:ascii="Calibri" w:hAnsi="Calibri" w:cs="Calibri"/>
          <w:sz w:val="22"/>
          <w:szCs w:val="22"/>
        </w:rPr>
        <w:t>look</w:t>
      </w:r>
      <w:r w:rsidR="00C953B0" w:rsidRPr="00136F3A">
        <w:rPr>
          <w:rFonts w:ascii="Calibri" w:hAnsi="Calibri" w:cs="Calibri"/>
          <w:sz w:val="22"/>
          <w:szCs w:val="22"/>
        </w:rPr>
        <w:t xml:space="preserve"> to </w:t>
      </w:r>
      <w:r w:rsidR="001603CD" w:rsidRPr="00136F3A">
        <w:rPr>
          <w:rFonts w:ascii="Calibri" w:hAnsi="Calibri" w:cs="Calibri"/>
          <w:sz w:val="22"/>
          <w:szCs w:val="22"/>
        </w:rPr>
        <w:t>use</w:t>
      </w:r>
      <w:r w:rsidR="00C953B0" w:rsidRPr="00136F3A">
        <w:rPr>
          <w:rFonts w:ascii="Calibri" w:hAnsi="Calibri" w:cs="Calibri"/>
          <w:sz w:val="22"/>
          <w:szCs w:val="22"/>
        </w:rPr>
        <w:t xml:space="preserve"> these experiences </w:t>
      </w:r>
      <w:r w:rsidR="00C10780">
        <w:rPr>
          <w:rFonts w:ascii="Calibri" w:hAnsi="Calibri" w:cs="Calibri"/>
          <w:sz w:val="22"/>
          <w:szCs w:val="22"/>
        </w:rPr>
        <w:t>to</w:t>
      </w:r>
      <w:r w:rsidR="00C953B0" w:rsidRPr="00136F3A">
        <w:rPr>
          <w:rFonts w:ascii="Calibri" w:hAnsi="Calibri" w:cs="Calibri"/>
          <w:sz w:val="22"/>
          <w:szCs w:val="22"/>
        </w:rPr>
        <w:t xml:space="preserve"> strengthen or </w:t>
      </w:r>
      <w:r w:rsidR="00485953" w:rsidRPr="00136F3A">
        <w:rPr>
          <w:rFonts w:ascii="Calibri" w:hAnsi="Calibri" w:cs="Calibri"/>
          <w:sz w:val="22"/>
          <w:szCs w:val="22"/>
        </w:rPr>
        <w:t xml:space="preserve">form a legal </w:t>
      </w:r>
      <w:r w:rsidR="00E325ED" w:rsidRPr="00136F3A">
        <w:rPr>
          <w:rFonts w:ascii="Calibri" w:hAnsi="Calibri" w:cs="Calibri"/>
          <w:sz w:val="22"/>
          <w:szCs w:val="22"/>
        </w:rPr>
        <w:t>argument</w:t>
      </w:r>
      <w:r w:rsidR="00485953" w:rsidRPr="00136F3A">
        <w:rPr>
          <w:rFonts w:ascii="Calibri" w:hAnsi="Calibri" w:cs="Calibri"/>
          <w:sz w:val="22"/>
          <w:szCs w:val="22"/>
        </w:rPr>
        <w:t xml:space="preserve">, </w:t>
      </w:r>
      <w:r w:rsidR="00B93642">
        <w:rPr>
          <w:rFonts w:ascii="Calibri" w:hAnsi="Calibri" w:cs="Calibri"/>
          <w:sz w:val="22"/>
          <w:szCs w:val="22"/>
        </w:rPr>
        <w:t>they</w:t>
      </w:r>
      <w:r w:rsidR="00485953" w:rsidRPr="00136F3A">
        <w:rPr>
          <w:rFonts w:ascii="Calibri" w:hAnsi="Calibri" w:cs="Calibri"/>
          <w:sz w:val="22"/>
          <w:szCs w:val="22"/>
        </w:rPr>
        <w:t xml:space="preserve"> must be aware of </w:t>
      </w:r>
      <w:r w:rsidR="00B93642">
        <w:rPr>
          <w:rFonts w:ascii="Calibri" w:hAnsi="Calibri" w:cs="Calibri"/>
          <w:sz w:val="22"/>
          <w:szCs w:val="22"/>
        </w:rPr>
        <w:t>their</w:t>
      </w:r>
      <w:r w:rsidR="00485953" w:rsidRPr="00136F3A">
        <w:rPr>
          <w:rFonts w:ascii="Calibri" w:hAnsi="Calibri" w:cs="Calibri"/>
          <w:sz w:val="22"/>
          <w:szCs w:val="22"/>
        </w:rPr>
        <w:t xml:space="preserve"> positionality in relation to that</w:t>
      </w:r>
      <w:r w:rsidR="007B3CD2">
        <w:rPr>
          <w:rFonts w:ascii="Calibri" w:hAnsi="Calibri" w:cs="Calibri"/>
          <w:sz w:val="22"/>
          <w:szCs w:val="22"/>
        </w:rPr>
        <w:t xml:space="preserve"> individual’s</w:t>
      </w:r>
      <w:r w:rsidR="00485953" w:rsidRPr="00136F3A">
        <w:rPr>
          <w:rFonts w:ascii="Calibri" w:hAnsi="Calibri" w:cs="Calibri"/>
          <w:sz w:val="22"/>
          <w:szCs w:val="22"/>
        </w:rPr>
        <w:t xml:space="preserve"> </w:t>
      </w:r>
      <w:r w:rsidR="007B3CD2">
        <w:rPr>
          <w:rFonts w:ascii="Calibri" w:hAnsi="Calibri" w:cs="Calibri"/>
          <w:sz w:val="22"/>
          <w:szCs w:val="22"/>
        </w:rPr>
        <w:t>experience</w:t>
      </w:r>
      <w:r w:rsidR="00485953" w:rsidRPr="00136F3A">
        <w:rPr>
          <w:rFonts w:ascii="Calibri" w:hAnsi="Calibri" w:cs="Calibri"/>
          <w:sz w:val="22"/>
          <w:szCs w:val="22"/>
        </w:rPr>
        <w:t xml:space="preserve"> </w:t>
      </w:r>
      <w:r w:rsidR="00C10780">
        <w:rPr>
          <w:rFonts w:ascii="Calibri" w:hAnsi="Calibri" w:cs="Calibri"/>
          <w:sz w:val="22"/>
          <w:szCs w:val="22"/>
        </w:rPr>
        <w:t>to</w:t>
      </w:r>
      <w:r w:rsidR="00485953" w:rsidRPr="00136F3A">
        <w:rPr>
          <w:rFonts w:ascii="Calibri" w:hAnsi="Calibri" w:cs="Calibri"/>
          <w:sz w:val="22"/>
          <w:szCs w:val="22"/>
        </w:rPr>
        <w:t xml:space="preserve"> ensure that </w:t>
      </w:r>
      <w:r w:rsidR="0016520C">
        <w:rPr>
          <w:rFonts w:ascii="Calibri" w:hAnsi="Calibri" w:cs="Calibri"/>
          <w:sz w:val="22"/>
          <w:szCs w:val="22"/>
        </w:rPr>
        <w:t>they</w:t>
      </w:r>
      <w:r w:rsidR="00485953" w:rsidRPr="00136F3A">
        <w:rPr>
          <w:rFonts w:ascii="Calibri" w:hAnsi="Calibri" w:cs="Calibri"/>
          <w:sz w:val="22"/>
          <w:szCs w:val="22"/>
        </w:rPr>
        <w:t xml:space="preserve"> are ethical, </w:t>
      </w:r>
      <w:r w:rsidR="00FD167E" w:rsidRPr="00136F3A">
        <w:rPr>
          <w:rFonts w:ascii="Calibri" w:hAnsi="Calibri" w:cs="Calibri"/>
          <w:sz w:val="22"/>
          <w:szCs w:val="22"/>
        </w:rPr>
        <w:t>respectful,</w:t>
      </w:r>
      <w:r w:rsidR="00485953" w:rsidRPr="00136F3A">
        <w:rPr>
          <w:rFonts w:ascii="Calibri" w:hAnsi="Calibri" w:cs="Calibri"/>
          <w:sz w:val="22"/>
          <w:szCs w:val="22"/>
        </w:rPr>
        <w:t xml:space="preserve"> and </w:t>
      </w:r>
      <w:proofErr w:type="gramStart"/>
      <w:r w:rsidR="00485953" w:rsidRPr="00136F3A">
        <w:rPr>
          <w:rFonts w:ascii="Calibri" w:hAnsi="Calibri" w:cs="Calibri"/>
          <w:sz w:val="22"/>
          <w:szCs w:val="22"/>
        </w:rPr>
        <w:t>appropriate in</w:t>
      </w:r>
      <w:proofErr w:type="gramEnd"/>
      <w:r w:rsidR="00485953" w:rsidRPr="00136F3A">
        <w:rPr>
          <w:rFonts w:ascii="Calibri" w:hAnsi="Calibri" w:cs="Calibri"/>
          <w:sz w:val="22"/>
          <w:szCs w:val="22"/>
        </w:rPr>
        <w:t xml:space="preserve"> our usage.</w:t>
      </w:r>
    </w:p>
    <w:p w14:paraId="297D780E" w14:textId="77777777" w:rsidR="001A12E4" w:rsidRDefault="001A12E4" w:rsidP="001A12E4">
      <w:pPr>
        <w:jc w:val="both"/>
        <w:rPr>
          <w:rFonts w:ascii="Calibri" w:hAnsi="Calibri" w:cs="Calibri"/>
          <w:sz w:val="22"/>
          <w:szCs w:val="22"/>
        </w:rPr>
      </w:pPr>
    </w:p>
    <w:p w14:paraId="647EE03F" w14:textId="0B601FD7" w:rsidR="001A12E4" w:rsidRPr="00136F3A" w:rsidRDefault="003B205A" w:rsidP="001A12E4">
      <w:pPr>
        <w:jc w:val="both"/>
        <w:rPr>
          <w:rFonts w:ascii="Calibri" w:hAnsi="Calibri" w:cs="Calibri"/>
          <w:sz w:val="22"/>
          <w:szCs w:val="22"/>
        </w:rPr>
      </w:pPr>
      <w:r>
        <w:rPr>
          <w:rFonts w:ascii="Calibri" w:hAnsi="Calibri" w:cs="Calibri"/>
          <w:sz w:val="22"/>
          <w:szCs w:val="22"/>
        </w:rPr>
        <w:t>To this end,</w:t>
      </w:r>
      <w:r w:rsidR="001A12E4" w:rsidRPr="00136F3A">
        <w:rPr>
          <w:rFonts w:ascii="Calibri" w:hAnsi="Calibri" w:cs="Calibri"/>
          <w:sz w:val="22"/>
          <w:szCs w:val="22"/>
        </w:rPr>
        <w:t xml:space="preserve"> Bourke argues that when </w:t>
      </w:r>
      <w:r>
        <w:rPr>
          <w:rFonts w:ascii="Calibri" w:hAnsi="Calibri" w:cs="Calibri"/>
          <w:sz w:val="22"/>
          <w:szCs w:val="22"/>
        </w:rPr>
        <w:t>the researcher holds a position of</w:t>
      </w:r>
      <w:r w:rsidR="001A12E4" w:rsidRPr="00136F3A">
        <w:rPr>
          <w:rFonts w:ascii="Calibri" w:hAnsi="Calibri" w:cs="Calibri"/>
          <w:sz w:val="22"/>
          <w:szCs w:val="22"/>
        </w:rPr>
        <w:t xml:space="preserve"> power and privilege</w:t>
      </w:r>
      <w:r>
        <w:rPr>
          <w:rFonts w:ascii="Calibri" w:hAnsi="Calibri" w:cs="Calibri"/>
          <w:sz w:val="22"/>
          <w:szCs w:val="22"/>
        </w:rPr>
        <w:t>,</w:t>
      </w:r>
      <w:r w:rsidR="001A12E4" w:rsidRPr="00136F3A">
        <w:rPr>
          <w:rFonts w:ascii="Calibri" w:hAnsi="Calibri" w:cs="Calibri"/>
          <w:sz w:val="22"/>
          <w:szCs w:val="22"/>
        </w:rPr>
        <w:t xml:space="preserve"> </w:t>
      </w:r>
      <w:r w:rsidR="001A12E4">
        <w:rPr>
          <w:rFonts w:ascii="Calibri" w:hAnsi="Calibri" w:cs="Calibri"/>
          <w:sz w:val="22"/>
          <w:szCs w:val="22"/>
        </w:rPr>
        <w:t>over</w:t>
      </w:r>
      <w:r w:rsidR="001A12E4" w:rsidRPr="00136F3A">
        <w:rPr>
          <w:rFonts w:ascii="Calibri" w:hAnsi="Calibri" w:cs="Calibri"/>
          <w:sz w:val="22"/>
          <w:szCs w:val="22"/>
        </w:rPr>
        <w:t xml:space="preserve"> </w:t>
      </w:r>
      <w:r>
        <w:rPr>
          <w:rFonts w:ascii="Calibri" w:hAnsi="Calibri" w:cs="Calibri"/>
          <w:sz w:val="22"/>
          <w:szCs w:val="22"/>
        </w:rPr>
        <w:t>that of the</w:t>
      </w:r>
      <w:r w:rsidR="001A12E4" w:rsidRPr="00136F3A">
        <w:rPr>
          <w:rFonts w:ascii="Calibri" w:hAnsi="Calibri" w:cs="Calibri"/>
          <w:sz w:val="22"/>
          <w:szCs w:val="22"/>
        </w:rPr>
        <w:t xml:space="preserve"> research subjects, </w:t>
      </w:r>
      <w:r>
        <w:rPr>
          <w:rFonts w:ascii="Calibri" w:hAnsi="Calibri" w:cs="Calibri"/>
          <w:sz w:val="22"/>
          <w:szCs w:val="22"/>
        </w:rPr>
        <w:t>they</w:t>
      </w:r>
      <w:r w:rsidR="001A12E4" w:rsidRPr="00136F3A">
        <w:rPr>
          <w:rFonts w:ascii="Calibri" w:hAnsi="Calibri" w:cs="Calibri"/>
          <w:sz w:val="22"/>
          <w:szCs w:val="22"/>
        </w:rPr>
        <w:t xml:space="preserve"> must be </w:t>
      </w:r>
      <w:r w:rsidR="001A12E4">
        <w:rPr>
          <w:rFonts w:ascii="Calibri" w:hAnsi="Calibri" w:cs="Calibri"/>
          <w:sz w:val="22"/>
          <w:szCs w:val="22"/>
        </w:rPr>
        <w:t>cognizant</w:t>
      </w:r>
      <w:r w:rsidR="001A12E4" w:rsidRPr="00136F3A">
        <w:rPr>
          <w:rFonts w:ascii="Calibri" w:hAnsi="Calibri" w:cs="Calibri"/>
          <w:sz w:val="22"/>
          <w:szCs w:val="22"/>
        </w:rPr>
        <w:t xml:space="preserve"> to not </w:t>
      </w:r>
      <w:r w:rsidR="001A12E4">
        <w:rPr>
          <w:rFonts w:ascii="Calibri" w:hAnsi="Calibri" w:cs="Calibri"/>
          <w:sz w:val="22"/>
          <w:szCs w:val="22"/>
        </w:rPr>
        <w:t>‘</w:t>
      </w:r>
      <w:r w:rsidR="001A12E4" w:rsidRPr="00136F3A">
        <w:rPr>
          <w:rFonts w:ascii="Calibri" w:hAnsi="Calibri" w:cs="Calibri"/>
          <w:sz w:val="22"/>
          <w:szCs w:val="22"/>
        </w:rPr>
        <w:t>attempt to speak for the research participants</w:t>
      </w:r>
      <w:r w:rsidR="001A12E4">
        <w:rPr>
          <w:rFonts w:ascii="Calibri" w:hAnsi="Calibri" w:cs="Calibri"/>
          <w:sz w:val="22"/>
          <w:szCs w:val="22"/>
        </w:rPr>
        <w:t>’</w:t>
      </w:r>
      <w:r w:rsidR="001A12E4" w:rsidRPr="00136F3A">
        <w:rPr>
          <w:rFonts w:ascii="Calibri" w:hAnsi="Calibri" w:cs="Calibri"/>
          <w:sz w:val="22"/>
          <w:szCs w:val="22"/>
        </w:rPr>
        <w:t xml:space="preserve"> </w:t>
      </w:r>
      <w:r w:rsidR="001A12E4" w:rsidRPr="00136F3A">
        <w:rPr>
          <w:rFonts w:ascii="Calibri" w:hAnsi="Calibri" w:cs="Calibri"/>
          <w:sz w:val="22"/>
          <w:szCs w:val="22"/>
        </w:rPr>
        <w:fldChar w:fldCharType="begin" w:fldLock="1"/>
      </w:r>
      <w:r w:rsidR="001A12E4" w:rsidRPr="00136F3A">
        <w:rPr>
          <w:rFonts w:ascii="Calibri" w:hAnsi="Calibri" w:cs="Calibri"/>
          <w:sz w:val="22"/>
          <w:szCs w:val="22"/>
        </w:rPr>
        <w:instrText>ADDIN CSL_CITATION {"citationItems":[{"id":"ITEM-1","itemData":{"abstract":"Through this article, the author provides a reflection on the role of positionality in research, following the completion of a qualitative research project. Through the research project, the White researcher sought to explore the ways in which students of color experience a predominantly White university. Drawing on literature and findings from the research project, the author highlights potential challenges and opportunities of being cognizant of one’s positionality. These reflections illustrate the significance of positionality and serve as a reminder of its potential effects on the research process, as well as on participants and the researcher. The manuscript concludes with recommendations for researchers to carefully consider the potential influence of their positionality in any research setting.","author":[{"dropping-particle":"","family":"Bourke","given":"Brian","non-dropping-particle":"","parse-names":false,"suffix":""}],"container-title":"The Qualitative Report","id":"ITEM-1","issue":"33","issued":{"date-parts":[["2014"]]},"page":"1-9","title":"Positionality: Reflecting on the research process","type":"article-journal","volume":"19"},"locator":"3","uris":["http://www.mendeley.com/documents/?uuid=c30c0c7c-bab9-4400-9e7d-bc62c7505312"]}],"mendeley":{"formattedCitation":"(Bourke, 2014, p. 3)","plainTextFormattedCitation":"(Bourke, 2014, p. 3)","previouslyFormattedCitation":"(Bourke, 2014, p. 3)"},"properties":{"noteIndex":0},"schema":"https://github.com/citation-style-language/schema/raw/master/csl-citation.json"}</w:instrText>
      </w:r>
      <w:r w:rsidR="001A12E4" w:rsidRPr="00136F3A">
        <w:rPr>
          <w:rFonts w:ascii="Calibri" w:hAnsi="Calibri" w:cs="Calibri"/>
          <w:sz w:val="22"/>
          <w:szCs w:val="22"/>
        </w:rPr>
        <w:fldChar w:fldCharType="separate"/>
      </w:r>
      <w:r w:rsidR="001A12E4" w:rsidRPr="00136F3A">
        <w:rPr>
          <w:rFonts w:ascii="Calibri" w:hAnsi="Calibri" w:cs="Calibri"/>
          <w:noProof/>
          <w:sz w:val="22"/>
          <w:szCs w:val="22"/>
        </w:rPr>
        <w:t>(Bourke, 2014, p. 3)</w:t>
      </w:r>
      <w:r w:rsidR="001A12E4" w:rsidRPr="00136F3A">
        <w:rPr>
          <w:rFonts w:ascii="Calibri" w:hAnsi="Calibri" w:cs="Calibri"/>
          <w:sz w:val="22"/>
          <w:szCs w:val="22"/>
        </w:rPr>
        <w:fldChar w:fldCharType="end"/>
      </w:r>
      <w:r w:rsidR="001A12E4" w:rsidRPr="00136F3A">
        <w:rPr>
          <w:rFonts w:ascii="Calibri" w:hAnsi="Calibri" w:cs="Calibri"/>
          <w:sz w:val="22"/>
          <w:szCs w:val="22"/>
        </w:rPr>
        <w:t xml:space="preserve">. </w:t>
      </w:r>
      <w:r w:rsidR="00EB37C2">
        <w:rPr>
          <w:rFonts w:ascii="Calibri" w:hAnsi="Calibri" w:cs="Calibri"/>
          <w:sz w:val="22"/>
          <w:szCs w:val="22"/>
        </w:rPr>
        <w:t xml:space="preserve">Being cognisant not </w:t>
      </w:r>
      <w:r w:rsidR="00DC782F">
        <w:rPr>
          <w:rFonts w:ascii="Calibri" w:hAnsi="Calibri" w:cs="Calibri"/>
          <w:sz w:val="22"/>
          <w:szCs w:val="22"/>
        </w:rPr>
        <w:t xml:space="preserve">to </w:t>
      </w:r>
      <w:r w:rsidR="001A12E4" w:rsidRPr="00136F3A">
        <w:rPr>
          <w:rFonts w:ascii="Calibri" w:hAnsi="Calibri" w:cs="Calibri"/>
          <w:sz w:val="22"/>
          <w:szCs w:val="22"/>
        </w:rPr>
        <w:t xml:space="preserve">speak </w:t>
      </w:r>
      <w:r w:rsidR="001A12E4" w:rsidRPr="00DC782F">
        <w:rPr>
          <w:rFonts w:ascii="Calibri" w:hAnsi="Calibri" w:cs="Calibri"/>
          <w:sz w:val="22"/>
          <w:szCs w:val="22"/>
        </w:rPr>
        <w:t>for</w:t>
      </w:r>
      <w:r w:rsidR="001A12E4" w:rsidRPr="00136F3A">
        <w:rPr>
          <w:rFonts w:ascii="Calibri" w:hAnsi="Calibri" w:cs="Calibri"/>
          <w:sz w:val="22"/>
          <w:szCs w:val="22"/>
        </w:rPr>
        <w:t xml:space="preserve"> participants</w:t>
      </w:r>
      <w:r w:rsidR="00DC782F">
        <w:rPr>
          <w:rFonts w:ascii="Calibri" w:hAnsi="Calibri" w:cs="Calibri"/>
          <w:sz w:val="22"/>
          <w:szCs w:val="22"/>
        </w:rPr>
        <w:t xml:space="preserve">, but </w:t>
      </w:r>
      <w:proofErr w:type="gramStart"/>
      <w:r w:rsidR="00DC782F">
        <w:rPr>
          <w:rFonts w:ascii="Calibri" w:hAnsi="Calibri" w:cs="Calibri"/>
          <w:sz w:val="22"/>
          <w:szCs w:val="22"/>
        </w:rPr>
        <w:t>rather providing</w:t>
      </w:r>
      <w:proofErr w:type="gramEnd"/>
      <w:r w:rsidR="00DC782F">
        <w:rPr>
          <w:rFonts w:ascii="Calibri" w:hAnsi="Calibri" w:cs="Calibri"/>
          <w:sz w:val="22"/>
          <w:szCs w:val="22"/>
        </w:rPr>
        <w:t xml:space="preserve"> a flatform for </w:t>
      </w:r>
      <w:r w:rsidR="00DC782F">
        <w:rPr>
          <w:rFonts w:ascii="Calibri" w:hAnsi="Calibri" w:cs="Calibri"/>
          <w:sz w:val="22"/>
          <w:szCs w:val="22"/>
        </w:rPr>
        <w:lastRenderedPageBreak/>
        <w:t>their voice,</w:t>
      </w:r>
      <w:r w:rsidR="001A12E4" w:rsidRPr="00136F3A">
        <w:rPr>
          <w:rFonts w:ascii="Calibri" w:hAnsi="Calibri" w:cs="Calibri"/>
          <w:sz w:val="22"/>
          <w:szCs w:val="22"/>
        </w:rPr>
        <w:t xml:space="preserve"> </w:t>
      </w:r>
      <w:r w:rsidR="00DC782F">
        <w:rPr>
          <w:rFonts w:ascii="Calibri" w:hAnsi="Calibri" w:cs="Calibri"/>
          <w:sz w:val="22"/>
          <w:szCs w:val="22"/>
        </w:rPr>
        <w:t>is an</w:t>
      </w:r>
      <w:r w:rsidR="001A12E4" w:rsidRPr="00136F3A">
        <w:rPr>
          <w:rFonts w:ascii="Calibri" w:hAnsi="Calibri" w:cs="Calibri"/>
          <w:sz w:val="22"/>
          <w:szCs w:val="22"/>
        </w:rPr>
        <w:t xml:space="preserve"> important lesson for</w:t>
      </w:r>
      <w:r w:rsidR="00A528FF">
        <w:rPr>
          <w:rFonts w:ascii="Calibri" w:hAnsi="Calibri" w:cs="Calibri"/>
          <w:sz w:val="22"/>
          <w:szCs w:val="22"/>
        </w:rPr>
        <w:t xml:space="preserve"> desk-based research</w:t>
      </w:r>
      <w:r w:rsidR="00DC782F">
        <w:rPr>
          <w:rFonts w:ascii="Calibri" w:hAnsi="Calibri" w:cs="Calibri"/>
          <w:sz w:val="22"/>
          <w:szCs w:val="22"/>
        </w:rPr>
        <w:t>ers</w:t>
      </w:r>
      <w:r w:rsidR="001A12E4" w:rsidRPr="00136F3A">
        <w:rPr>
          <w:rFonts w:ascii="Calibri" w:hAnsi="Calibri" w:cs="Calibri"/>
          <w:sz w:val="22"/>
          <w:szCs w:val="22"/>
        </w:rPr>
        <w:t xml:space="preserve">. As noted, given the indirect nature of the research, our </w:t>
      </w:r>
      <w:proofErr w:type="gramStart"/>
      <w:r w:rsidR="001A12E4" w:rsidRPr="00136F3A">
        <w:rPr>
          <w:rFonts w:ascii="Calibri" w:hAnsi="Calibri" w:cs="Calibri"/>
          <w:sz w:val="22"/>
          <w:szCs w:val="22"/>
        </w:rPr>
        <w:t>relation</w:t>
      </w:r>
      <w:proofErr w:type="gramEnd"/>
      <w:r w:rsidR="001A12E4" w:rsidRPr="00136F3A">
        <w:rPr>
          <w:rFonts w:ascii="Calibri" w:hAnsi="Calibri" w:cs="Calibri"/>
          <w:sz w:val="22"/>
          <w:szCs w:val="22"/>
        </w:rPr>
        <w:t xml:space="preserve"> </w:t>
      </w:r>
      <w:r w:rsidR="001A12E4">
        <w:rPr>
          <w:rFonts w:ascii="Calibri" w:hAnsi="Calibri" w:cs="Calibri"/>
          <w:sz w:val="22"/>
          <w:szCs w:val="22"/>
        </w:rPr>
        <w:t>with</w:t>
      </w:r>
      <w:r w:rsidR="001A12E4" w:rsidRPr="00136F3A">
        <w:rPr>
          <w:rFonts w:ascii="Calibri" w:hAnsi="Calibri" w:cs="Calibri"/>
          <w:sz w:val="22"/>
          <w:szCs w:val="22"/>
        </w:rPr>
        <w:t xml:space="preserve"> these individual cases will be second</w:t>
      </w:r>
      <w:r w:rsidR="001A12E4">
        <w:rPr>
          <w:rFonts w:ascii="Calibri" w:hAnsi="Calibri" w:cs="Calibri"/>
          <w:sz w:val="22"/>
          <w:szCs w:val="22"/>
        </w:rPr>
        <w:t xml:space="preserve"> hand and beyond.</w:t>
      </w:r>
      <w:r w:rsidR="001A12E4" w:rsidRPr="00136F3A">
        <w:rPr>
          <w:rFonts w:ascii="Calibri" w:hAnsi="Calibri" w:cs="Calibri"/>
          <w:sz w:val="22"/>
          <w:szCs w:val="22"/>
        </w:rPr>
        <w:t xml:space="preserve"> </w:t>
      </w:r>
      <w:r w:rsidR="001A12E4">
        <w:rPr>
          <w:rFonts w:ascii="Calibri" w:hAnsi="Calibri" w:cs="Calibri"/>
          <w:sz w:val="22"/>
          <w:szCs w:val="22"/>
        </w:rPr>
        <w:t>Care must be taken</w:t>
      </w:r>
      <w:r w:rsidR="001A12E4" w:rsidRPr="00136F3A">
        <w:rPr>
          <w:rFonts w:ascii="Calibri" w:hAnsi="Calibri" w:cs="Calibri"/>
          <w:sz w:val="22"/>
          <w:szCs w:val="22"/>
        </w:rPr>
        <w:t xml:space="preserve"> </w:t>
      </w:r>
      <w:r w:rsidR="001A12E4">
        <w:rPr>
          <w:rFonts w:ascii="Calibri" w:hAnsi="Calibri" w:cs="Calibri"/>
          <w:sz w:val="22"/>
          <w:szCs w:val="22"/>
        </w:rPr>
        <w:t xml:space="preserve">in </w:t>
      </w:r>
      <w:r w:rsidR="001A12E4" w:rsidRPr="00136F3A">
        <w:rPr>
          <w:rFonts w:ascii="Calibri" w:hAnsi="Calibri" w:cs="Calibri"/>
          <w:sz w:val="22"/>
          <w:szCs w:val="22"/>
        </w:rPr>
        <w:t>how these accounts</w:t>
      </w:r>
      <w:r w:rsidR="001A12E4">
        <w:rPr>
          <w:rFonts w:ascii="Calibri" w:hAnsi="Calibri" w:cs="Calibri"/>
          <w:sz w:val="22"/>
          <w:szCs w:val="22"/>
        </w:rPr>
        <w:t xml:space="preserve"> are used and portrayed</w:t>
      </w:r>
      <w:r w:rsidR="001A12E4" w:rsidRPr="00136F3A">
        <w:rPr>
          <w:rFonts w:ascii="Calibri" w:hAnsi="Calibri" w:cs="Calibri"/>
          <w:sz w:val="22"/>
          <w:szCs w:val="22"/>
        </w:rPr>
        <w:t xml:space="preserve">. </w:t>
      </w:r>
      <w:r w:rsidR="00DC782F">
        <w:rPr>
          <w:rFonts w:ascii="Calibri" w:hAnsi="Calibri" w:cs="Calibri"/>
          <w:sz w:val="22"/>
          <w:szCs w:val="22"/>
        </w:rPr>
        <w:t>It</w:t>
      </w:r>
      <w:r w:rsidR="001A12E4">
        <w:rPr>
          <w:rFonts w:ascii="Calibri" w:hAnsi="Calibri" w:cs="Calibri"/>
          <w:sz w:val="22"/>
          <w:szCs w:val="22"/>
        </w:rPr>
        <w:t xml:space="preserve"> must </w:t>
      </w:r>
      <w:proofErr w:type="gramStart"/>
      <w:r w:rsidR="001A12E4">
        <w:rPr>
          <w:rFonts w:ascii="Calibri" w:hAnsi="Calibri" w:cs="Calibri"/>
          <w:sz w:val="22"/>
          <w:szCs w:val="22"/>
        </w:rPr>
        <w:t>be ensured</w:t>
      </w:r>
      <w:proofErr w:type="gramEnd"/>
      <w:r w:rsidR="001A12E4" w:rsidRPr="00136F3A">
        <w:rPr>
          <w:rFonts w:ascii="Calibri" w:hAnsi="Calibri" w:cs="Calibri"/>
          <w:sz w:val="22"/>
          <w:szCs w:val="22"/>
        </w:rPr>
        <w:t xml:space="preserve"> </w:t>
      </w:r>
      <w:r w:rsidR="001A12E4">
        <w:rPr>
          <w:rFonts w:ascii="Calibri" w:hAnsi="Calibri" w:cs="Calibri"/>
          <w:sz w:val="22"/>
          <w:szCs w:val="22"/>
        </w:rPr>
        <w:t xml:space="preserve">that </w:t>
      </w:r>
      <w:r w:rsidR="001A12E4" w:rsidRPr="00136F3A">
        <w:rPr>
          <w:rFonts w:ascii="Calibri" w:hAnsi="Calibri" w:cs="Calibri"/>
          <w:sz w:val="22"/>
          <w:szCs w:val="22"/>
        </w:rPr>
        <w:t>the best possible account of the truth of the situation</w:t>
      </w:r>
      <w:r w:rsidR="001A12E4">
        <w:rPr>
          <w:rFonts w:ascii="Calibri" w:hAnsi="Calibri" w:cs="Calibri"/>
          <w:sz w:val="22"/>
          <w:szCs w:val="22"/>
        </w:rPr>
        <w:t xml:space="preserve"> is conveyed</w:t>
      </w:r>
      <w:r w:rsidR="001A12E4" w:rsidRPr="00136F3A">
        <w:rPr>
          <w:rFonts w:ascii="Calibri" w:hAnsi="Calibri" w:cs="Calibri"/>
          <w:sz w:val="22"/>
          <w:szCs w:val="22"/>
        </w:rPr>
        <w:t xml:space="preserve">, without </w:t>
      </w:r>
      <w:r w:rsidR="001A12E4">
        <w:rPr>
          <w:rFonts w:ascii="Calibri" w:hAnsi="Calibri" w:cs="Calibri"/>
          <w:sz w:val="22"/>
          <w:szCs w:val="22"/>
        </w:rPr>
        <w:t xml:space="preserve">recourse </w:t>
      </w:r>
      <w:r w:rsidR="00DC782F">
        <w:rPr>
          <w:rFonts w:ascii="Calibri" w:hAnsi="Calibri" w:cs="Calibri"/>
          <w:sz w:val="22"/>
          <w:szCs w:val="22"/>
        </w:rPr>
        <w:t xml:space="preserve">to </w:t>
      </w:r>
      <w:r w:rsidR="001A12E4" w:rsidRPr="00136F3A">
        <w:rPr>
          <w:rFonts w:ascii="Calibri" w:hAnsi="Calibri" w:cs="Calibri"/>
          <w:sz w:val="22"/>
          <w:szCs w:val="22"/>
        </w:rPr>
        <w:t xml:space="preserve">downplay or exaggeration. </w:t>
      </w:r>
      <w:r w:rsidR="001A12E4">
        <w:rPr>
          <w:rFonts w:ascii="Calibri" w:hAnsi="Calibri" w:cs="Calibri"/>
          <w:sz w:val="22"/>
          <w:szCs w:val="22"/>
        </w:rPr>
        <w:t>Refraining from</w:t>
      </w:r>
      <w:r w:rsidR="001A12E4" w:rsidRPr="00136F3A">
        <w:rPr>
          <w:rFonts w:ascii="Calibri" w:hAnsi="Calibri" w:cs="Calibri"/>
          <w:sz w:val="22"/>
          <w:szCs w:val="22"/>
        </w:rPr>
        <w:t xml:space="preserve"> speaking </w:t>
      </w:r>
      <w:r w:rsidR="001A12E4" w:rsidRPr="00227068">
        <w:rPr>
          <w:rFonts w:ascii="Calibri" w:hAnsi="Calibri" w:cs="Calibri"/>
          <w:i/>
          <w:iCs/>
          <w:sz w:val="22"/>
          <w:szCs w:val="22"/>
        </w:rPr>
        <w:t>for</w:t>
      </w:r>
      <w:r w:rsidR="001A12E4" w:rsidRPr="00136F3A">
        <w:rPr>
          <w:rFonts w:ascii="Calibri" w:hAnsi="Calibri" w:cs="Calibri"/>
          <w:sz w:val="22"/>
          <w:szCs w:val="22"/>
        </w:rPr>
        <w:t xml:space="preserve"> individuals</w:t>
      </w:r>
      <w:r w:rsidR="001A12E4">
        <w:rPr>
          <w:rFonts w:ascii="Calibri" w:hAnsi="Calibri" w:cs="Calibri"/>
          <w:sz w:val="22"/>
          <w:szCs w:val="22"/>
        </w:rPr>
        <w:t xml:space="preserve"> </w:t>
      </w:r>
      <w:r w:rsidR="001A12E4" w:rsidRPr="00136F3A">
        <w:rPr>
          <w:rFonts w:ascii="Calibri" w:hAnsi="Calibri" w:cs="Calibri"/>
          <w:sz w:val="22"/>
          <w:szCs w:val="22"/>
        </w:rPr>
        <w:t>is a matter of ensuring that the</w:t>
      </w:r>
      <w:r w:rsidR="001A12E4">
        <w:rPr>
          <w:rFonts w:ascii="Calibri" w:hAnsi="Calibri" w:cs="Calibri"/>
          <w:sz w:val="22"/>
          <w:szCs w:val="22"/>
        </w:rPr>
        <w:t>ir</w:t>
      </w:r>
      <w:r w:rsidR="001A12E4" w:rsidRPr="00136F3A">
        <w:rPr>
          <w:rFonts w:ascii="Calibri" w:hAnsi="Calibri" w:cs="Calibri"/>
          <w:sz w:val="22"/>
          <w:szCs w:val="22"/>
        </w:rPr>
        <w:t xml:space="preserve"> stories </w:t>
      </w:r>
      <w:proofErr w:type="gramStart"/>
      <w:r w:rsidR="001A12E4">
        <w:rPr>
          <w:rFonts w:ascii="Calibri" w:hAnsi="Calibri" w:cs="Calibri"/>
          <w:sz w:val="22"/>
          <w:szCs w:val="22"/>
        </w:rPr>
        <w:t xml:space="preserve">are </w:t>
      </w:r>
      <w:r w:rsidR="001A12E4" w:rsidRPr="00136F3A">
        <w:rPr>
          <w:rFonts w:ascii="Calibri" w:hAnsi="Calibri" w:cs="Calibri"/>
          <w:sz w:val="22"/>
          <w:szCs w:val="22"/>
        </w:rPr>
        <w:t>told</w:t>
      </w:r>
      <w:proofErr w:type="gramEnd"/>
      <w:r w:rsidR="001A12E4" w:rsidRPr="00136F3A">
        <w:rPr>
          <w:rFonts w:ascii="Calibri" w:hAnsi="Calibri" w:cs="Calibri"/>
          <w:sz w:val="22"/>
          <w:szCs w:val="22"/>
        </w:rPr>
        <w:t xml:space="preserve"> in a manner respectful of, and faithful to, the </w:t>
      </w:r>
      <w:r w:rsidR="001A12E4">
        <w:rPr>
          <w:rFonts w:ascii="Calibri" w:hAnsi="Calibri" w:cs="Calibri"/>
          <w:sz w:val="22"/>
          <w:szCs w:val="22"/>
        </w:rPr>
        <w:t>individual themselves</w:t>
      </w:r>
      <w:r w:rsidR="001A12E4" w:rsidRPr="00136F3A">
        <w:rPr>
          <w:rFonts w:ascii="Calibri" w:hAnsi="Calibri" w:cs="Calibri"/>
          <w:sz w:val="22"/>
          <w:szCs w:val="22"/>
        </w:rPr>
        <w:t>.</w:t>
      </w:r>
    </w:p>
    <w:p w14:paraId="33FE3C42" w14:textId="3B5A7F1A" w:rsidR="00FD6ED6" w:rsidRDefault="00FD6ED6" w:rsidP="00FF525C">
      <w:pPr>
        <w:jc w:val="both"/>
        <w:rPr>
          <w:rFonts w:ascii="Calibri" w:hAnsi="Calibri" w:cs="Calibri"/>
          <w:sz w:val="22"/>
          <w:szCs w:val="22"/>
        </w:rPr>
      </w:pPr>
    </w:p>
    <w:p w14:paraId="71443606" w14:textId="0F74349C" w:rsidR="00E015FE" w:rsidRDefault="00FD6ED6" w:rsidP="00FF525C">
      <w:pPr>
        <w:jc w:val="both"/>
        <w:rPr>
          <w:rFonts w:ascii="Calibri" w:hAnsi="Calibri" w:cs="Calibri"/>
          <w:sz w:val="22"/>
          <w:szCs w:val="22"/>
        </w:rPr>
      </w:pPr>
      <w:r>
        <w:rPr>
          <w:rFonts w:ascii="Calibri" w:hAnsi="Calibri" w:cs="Calibri"/>
          <w:sz w:val="22"/>
          <w:szCs w:val="22"/>
        </w:rPr>
        <w:t xml:space="preserve">There are </w:t>
      </w:r>
      <w:proofErr w:type="gramStart"/>
      <w:r>
        <w:rPr>
          <w:rFonts w:ascii="Calibri" w:hAnsi="Calibri" w:cs="Calibri"/>
          <w:sz w:val="22"/>
          <w:szCs w:val="22"/>
        </w:rPr>
        <w:t>a number of</w:t>
      </w:r>
      <w:proofErr w:type="gramEnd"/>
      <w:r>
        <w:rPr>
          <w:rFonts w:ascii="Calibri" w:hAnsi="Calibri" w:cs="Calibri"/>
          <w:sz w:val="22"/>
          <w:szCs w:val="22"/>
        </w:rPr>
        <w:t xml:space="preserve"> tools researchers can use within their </w:t>
      </w:r>
      <w:r w:rsidR="0050090C">
        <w:rPr>
          <w:rFonts w:ascii="Calibri" w:hAnsi="Calibri" w:cs="Calibri"/>
          <w:sz w:val="22"/>
          <w:szCs w:val="22"/>
        </w:rPr>
        <w:t xml:space="preserve">positionality </w:t>
      </w:r>
      <w:r w:rsidR="003E460B">
        <w:rPr>
          <w:rFonts w:ascii="Calibri" w:hAnsi="Calibri" w:cs="Calibri"/>
          <w:sz w:val="22"/>
          <w:szCs w:val="22"/>
        </w:rPr>
        <w:t>in relation to individuals. These can include, for example</w:t>
      </w:r>
      <w:r w:rsidR="00787EB6">
        <w:rPr>
          <w:rFonts w:ascii="Calibri" w:hAnsi="Calibri" w:cs="Calibri"/>
          <w:sz w:val="22"/>
          <w:szCs w:val="22"/>
        </w:rPr>
        <w:t>:</w:t>
      </w:r>
      <w:r w:rsidR="003E460B">
        <w:rPr>
          <w:rFonts w:ascii="Calibri" w:hAnsi="Calibri" w:cs="Calibri"/>
          <w:sz w:val="22"/>
          <w:szCs w:val="22"/>
        </w:rPr>
        <w:t xml:space="preserve"> </w:t>
      </w:r>
      <w:r w:rsidR="00787EB6">
        <w:rPr>
          <w:rFonts w:ascii="Calibri" w:hAnsi="Calibri" w:cs="Calibri"/>
          <w:sz w:val="22"/>
          <w:szCs w:val="22"/>
        </w:rPr>
        <w:t>examining the hierarchies of power within your research,</w:t>
      </w:r>
      <w:r w:rsidR="00556CE0">
        <w:rPr>
          <w:rFonts w:ascii="Calibri" w:hAnsi="Calibri" w:cs="Calibri"/>
          <w:sz w:val="22"/>
          <w:szCs w:val="22"/>
        </w:rPr>
        <w:t xml:space="preserve"> both between </w:t>
      </w:r>
      <w:r w:rsidR="00A81DAB">
        <w:rPr>
          <w:rFonts w:ascii="Calibri" w:hAnsi="Calibri" w:cs="Calibri"/>
          <w:sz w:val="22"/>
          <w:szCs w:val="22"/>
        </w:rPr>
        <w:t>the researcher and subject (</w:t>
      </w:r>
      <w:r w:rsidR="000E3C51">
        <w:rPr>
          <w:rFonts w:ascii="Calibri" w:hAnsi="Calibri" w:cs="Calibri"/>
          <w:sz w:val="22"/>
          <w:szCs w:val="22"/>
        </w:rPr>
        <w:t>Reyes, 20</w:t>
      </w:r>
      <w:r w:rsidR="00162CA5">
        <w:rPr>
          <w:rFonts w:ascii="Calibri" w:hAnsi="Calibri" w:cs="Calibri"/>
          <w:sz w:val="22"/>
          <w:szCs w:val="22"/>
        </w:rPr>
        <w:t>18, p</w:t>
      </w:r>
      <w:r w:rsidR="00E93897">
        <w:rPr>
          <w:rFonts w:ascii="Calibri" w:hAnsi="Calibri" w:cs="Calibri"/>
          <w:sz w:val="22"/>
          <w:szCs w:val="22"/>
        </w:rPr>
        <w:t xml:space="preserve">. 221), but also between subjects. </w:t>
      </w:r>
      <w:r w:rsidR="00B750AE">
        <w:rPr>
          <w:rFonts w:ascii="Calibri" w:hAnsi="Calibri" w:cs="Calibri"/>
          <w:sz w:val="22"/>
          <w:szCs w:val="22"/>
        </w:rPr>
        <w:t xml:space="preserve">Indeed, as explored above, inter-subject power imbalance is a significant force, especially in the context of human rights and BHR research. </w:t>
      </w:r>
      <w:r w:rsidR="005F6209">
        <w:rPr>
          <w:rFonts w:ascii="Calibri" w:hAnsi="Calibri" w:cs="Calibri"/>
          <w:sz w:val="22"/>
          <w:szCs w:val="22"/>
        </w:rPr>
        <w:t>A further tool for researchers to be mindful of is</w:t>
      </w:r>
      <w:r w:rsidR="00D8529F">
        <w:rPr>
          <w:rFonts w:ascii="Calibri" w:hAnsi="Calibri" w:cs="Calibri"/>
          <w:sz w:val="22"/>
          <w:szCs w:val="22"/>
        </w:rPr>
        <w:t xml:space="preserve"> adherence to</w:t>
      </w:r>
      <w:r w:rsidR="005F6209">
        <w:rPr>
          <w:rFonts w:ascii="Calibri" w:hAnsi="Calibri" w:cs="Calibri"/>
          <w:sz w:val="22"/>
          <w:szCs w:val="22"/>
        </w:rPr>
        <w:t xml:space="preserve"> accuracy. </w:t>
      </w:r>
      <w:r w:rsidR="00D8529F">
        <w:rPr>
          <w:rFonts w:ascii="Calibri" w:hAnsi="Calibri" w:cs="Calibri"/>
          <w:sz w:val="22"/>
          <w:szCs w:val="22"/>
        </w:rPr>
        <w:t>Researchers</w:t>
      </w:r>
      <w:r w:rsidR="000D1BBD" w:rsidRPr="00136F3A">
        <w:rPr>
          <w:rFonts w:ascii="Calibri" w:hAnsi="Calibri" w:cs="Calibri"/>
          <w:sz w:val="22"/>
          <w:szCs w:val="22"/>
        </w:rPr>
        <w:t xml:space="preserve"> must ensure that </w:t>
      </w:r>
      <w:r w:rsidR="0016520C">
        <w:rPr>
          <w:rFonts w:ascii="Calibri" w:hAnsi="Calibri" w:cs="Calibri"/>
          <w:sz w:val="22"/>
          <w:szCs w:val="22"/>
        </w:rPr>
        <w:t>the</w:t>
      </w:r>
      <w:r w:rsidR="00D8529F">
        <w:rPr>
          <w:rFonts w:ascii="Calibri" w:hAnsi="Calibri" w:cs="Calibri"/>
          <w:sz w:val="22"/>
          <w:szCs w:val="22"/>
        </w:rPr>
        <w:t>ir</w:t>
      </w:r>
      <w:r w:rsidR="000D1BBD" w:rsidRPr="00136F3A">
        <w:rPr>
          <w:rFonts w:ascii="Calibri" w:hAnsi="Calibri" w:cs="Calibri"/>
          <w:sz w:val="22"/>
          <w:szCs w:val="22"/>
        </w:rPr>
        <w:t xml:space="preserve"> </w:t>
      </w:r>
      <w:r w:rsidR="00E325ED" w:rsidRPr="00136F3A">
        <w:rPr>
          <w:rFonts w:ascii="Calibri" w:hAnsi="Calibri" w:cs="Calibri"/>
          <w:sz w:val="22"/>
          <w:szCs w:val="22"/>
        </w:rPr>
        <w:t>position</w:t>
      </w:r>
      <w:r w:rsidR="00D8529F">
        <w:rPr>
          <w:rFonts w:ascii="Calibri" w:hAnsi="Calibri" w:cs="Calibri"/>
          <w:sz w:val="22"/>
          <w:szCs w:val="22"/>
        </w:rPr>
        <w:t>,</w:t>
      </w:r>
      <w:r w:rsidR="000D1BBD" w:rsidRPr="00136F3A">
        <w:rPr>
          <w:rFonts w:ascii="Calibri" w:hAnsi="Calibri" w:cs="Calibri"/>
          <w:sz w:val="22"/>
          <w:szCs w:val="22"/>
        </w:rPr>
        <w:t xml:space="preserve"> through which </w:t>
      </w:r>
      <w:r w:rsidR="00653FB1">
        <w:rPr>
          <w:rFonts w:ascii="Calibri" w:hAnsi="Calibri" w:cs="Calibri"/>
          <w:sz w:val="22"/>
          <w:szCs w:val="22"/>
        </w:rPr>
        <w:t>they</w:t>
      </w:r>
      <w:r w:rsidR="000D1BBD" w:rsidRPr="00136F3A">
        <w:rPr>
          <w:rFonts w:ascii="Calibri" w:hAnsi="Calibri" w:cs="Calibri"/>
          <w:sz w:val="22"/>
          <w:szCs w:val="22"/>
        </w:rPr>
        <w:t xml:space="preserve"> </w:t>
      </w:r>
      <w:r w:rsidR="005F6209">
        <w:rPr>
          <w:rFonts w:ascii="Calibri" w:hAnsi="Calibri" w:cs="Calibri"/>
          <w:sz w:val="22"/>
          <w:szCs w:val="22"/>
        </w:rPr>
        <w:t>interpret</w:t>
      </w:r>
      <w:r w:rsidR="000D1BBD" w:rsidRPr="00136F3A">
        <w:rPr>
          <w:rFonts w:ascii="Calibri" w:hAnsi="Calibri" w:cs="Calibri"/>
          <w:sz w:val="22"/>
          <w:szCs w:val="22"/>
        </w:rPr>
        <w:t xml:space="preserve"> </w:t>
      </w:r>
      <w:r w:rsidR="00E325ED" w:rsidRPr="00136F3A">
        <w:rPr>
          <w:rFonts w:ascii="Calibri" w:hAnsi="Calibri" w:cs="Calibri"/>
          <w:sz w:val="22"/>
          <w:szCs w:val="22"/>
        </w:rPr>
        <w:t>these</w:t>
      </w:r>
      <w:r w:rsidR="000D1BBD" w:rsidRPr="00136F3A">
        <w:rPr>
          <w:rFonts w:ascii="Calibri" w:hAnsi="Calibri" w:cs="Calibri"/>
          <w:sz w:val="22"/>
          <w:szCs w:val="22"/>
        </w:rPr>
        <w:t xml:space="preserve"> </w:t>
      </w:r>
      <w:r w:rsidR="00E325ED" w:rsidRPr="00136F3A">
        <w:rPr>
          <w:rFonts w:ascii="Calibri" w:hAnsi="Calibri" w:cs="Calibri"/>
          <w:sz w:val="22"/>
          <w:szCs w:val="22"/>
        </w:rPr>
        <w:t>life stories</w:t>
      </w:r>
      <w:r w:rsidR="00D8529F">
        <w:rPr>
          <w:rFonts w:ascii="Calibri" w:hAnsi="Calibri" w:cs="Calibri"/>
          <w:sz w:val="22"/>
          <w:szCs w:val="22"/>
        </w:rPr>
        <w:t>,</w:t>
      </w:r>
      <w:r w:rsidR="000D1BBD" w:rsidRPr="00136F3A">
        <w:rPr>
          <w:rFonts w:ascii="Calibri" w:hAnsi="Calibri" w:cs="Calibri"/>
          <w:sz w:val="22"/>
          <w:szCs w:val="22"/>
        </w:rPr>
        <w:t xml:space="preserve"> does not distort the truth of the experience in question.</w:t>
      </w:r>
      <w:r w:rsidR="00D8529F">
        <w:rPr>
          <w:rFonts w:ascii="Calibri" w:hAnsi="Calibri" w:cs="Calibri"/>
          <w:sz w:val="22"/>
          <w:szCs w:val="22"/>
        </w:rPr>
        <w:t xml:space="preserve"> To this end, c</w:t>
      </w:r>
      <w:r w:rsidR="0010711D" w:rsidRPr="00136F3A">
        <w:rPr>
          <w:rFonts w:ascii="Calibri" w:hAnsi="Calibri" w:cs="Calibri"/>
          <w:sz w:val="22"/>
          <w:szCs w:val="22"/>
        </w:rPr>
        <w:t>onsidering one’s positionality within desk-based socio-legal research</w:t>
      </w:r>
      <w:r w:rsidR="000D1BBD" w:rsidRPr="00136F3A">
        <w:rPr>
          <w:rFonts w:ascii="Calibri" w:hAnsi="Calibri" w:cs="Calibri"/>
          <w:sz w:val="22"/>
          <w:szCs w:val="22"/>
        </w:rPr>
        <w:t xml:space="preserve"> is not only a matter of </w:t>
      </w:r>
      <w:r w:rsidR="00047FFE" w:rsidRPr="00136F3A">
        <w:rPr>
          <w:rFonts w:ascii="Calibri" w:hAnsi="Calibri" w:cs="Calibri"/>
          <w:sz w:val="22"/>
          <w:szCs w:val="22"/>
        </w:rPr>
        <w:t xml:space="preserve">respect for the individual but also a critical element of intellectual and academic </w:t>
      </w:r>
      <w:r w:rsidR="00DE3A9C">
        <w:rPr>
          <w:rFonts w:ascii="Calibri" w:hAnsi="Calibri" w:cs="Calibri"/>
          <w:sz w:val="22"/>
          <w:szCs w:val="22"/>
        </w:rPr>
        <w:t>rigour</w:t>
      </w:r>
      <w:r w:rsidR="00047FFE" w:rsidRPr="00136F3A">
        <w:rPr>
          <w:rFonts w:ascii="Calibri" w:hAnsi="Calibri" w:cs="Calibri"/>
          <w:sz w:val="22"/>
          <w:szCs w:val="22"/>
        </w:rPr>
        <w:t xml:space="preserve"> and validity.</w:t>
      </w:r>
      <w:r w:rsidR="0010711D" w:rsidRPr="00136F3A">
        <w:rPr>
          <w:rFonts w:ascii="Calibri" w:hAnsi="Calibri" w:cs="Calibri"/>
          <w:sz w:val="22"/>
          <w:szCs w:val="22"/>
        </w:rPr>
        <w:t xml:space="preserve"> </w:t>
      </w:r>
      <w:r w:rsidR="00BA3B0E" w:rsidRPr="00136F3A">
        <w:rPr>
          <w:rFonts w:ascii="Calibri" w:hAnsi="Calibri" w:cs="Calibri"/>
          <w:sz w:val="22"/>
          <w:szCs w:val="22"/>
        </w:rPr>
        <w:t>Bourke highlights that on</w:t>
      </w:r>
      <w:r w:rsidR="0045508B" w:rsidRPr="00136F3A">
        <w:rPr>
          <w:rFonts w:ascii="Calibri" w:hAnsi="Calibri" w:cs="Calibri"/>
          <w:sz w:val="22"/>
          <w:szCs w:val="22"/>
        </w:rPr>
        <w:t xml:space="preserve">e’s own biases can have an impact upon not only any participants, but critically, the </w:t>
      </w:r>
      <w:r w:rsidR="00136C33" w:rsidRPr="00136F3A">
        <w:rPr>
          <w:rFonts w:ascii="Calibri" w:hAnsi="Calibri" w:cs="Calibri"/>
          <w:sz w:val="22"/>
          <w:szCs w:val="22"/>
        </w:rPr>
        <w:t xml:space="preserve">observations and interpretations of the data </w:t>
      </w:r>
      <w:r w:rsidR="00C75480" w:rsidRPr="00136F3A">
        <w:rPr>
          <w:rFonts w:ascii="Calibri" w:hAnsi="Calibri" w:cs="Calibri"/>
          <w:sz w:val="22"/>
          <w:szCs w:val="22"/>
        </w:rPr>
        <w:t>and</w:t>
      </w:r>
      <w:r w:rsidR="00136C33" w:rsidRPr="00136F3A">
        <w:rPr>
          <w:rFonts w:ascii="Calibri" w:hAnsi="Calibri" w:cs="Calibri"/>
          <w:sz w:val="22"/>
          <w:szCs w:val="22"/>
        </w:rPr>
        <w:t xml:space="preserve"> research findings </w:t>
      </w:r>
      <w:r w:rsidR="00193C0E"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{"citationItems":[{"id":"ITEM-1","itemData":{"abstract":"Through this article, the author provides a reflection on the role of positionality in research, following the completion of a qualitative research project. Through the research project, the White researcher sought to explore the ways in which students of color experience a predominantly White university. Drawing on literature and findings from the research project, the author highlights potential challenges and opportunities of being cognizant of one’s positionality. These reflections illustrate the significance of positionality and serve as a reminder of its potential effects on the research process, as well as on participants and the researcher. The manuscript concludes with recommendations for researchers to carefully consider the potential influence of their positionality in any research setting.","author":[{"dropping-particle":"","family":"Bourke","given":"Brian","non-dropping-particle":"","parse-names":false,"suffix":""}],"container-title":"The Qualitative Report","id":"ITEM-1","issue":"33","issued":{"date-parts":[["2014"]]},"page":"1-9","title":"Positionality: Reflecting on the research process","type":"article-journal","volume":"19"},"locator":"2","uris":["http://www.mendeley.com/documents/?uuid=c30c0c7c-bab9-4400-9e7d-bc62c7505312"]}],"mendeley":{"formattedCitation":"(Bourke, 2014, p. 2)","plainTextFormattedCitation":"(Bourke, 2014, p. 2)","previouslyFormattedCitation":"(Bourke, 2014, p. 2)"},"properties":{"noteIndex":0},"schema":"https://github.com/citation-style-language/schema/raw/master/csl-citation.json"}</w:instrText>
      </w:r>
      <w:r w:rsidR="00193C0E" w:rsidRPr="00136F3A">
        <w:rPr>
          <w:rFonts w:ascii="Calibri" w:hAnsi="Calibri" w:cs="Calibri"/>
          <w:sz w:val="22"/>
          <w:szCs w:val="22"/>
        </w:rPr>
        <w:fldChar w:fldCharType="separate"/>
      </w:r>
      <w:r w:rsidR="00193C0E" w:rsidRPr="00136F3A">
        <w:rPr>
          <w:rFonts w:ascii="Calibri" w:hAnsi="Calibri" w:cs="Calibri"/>
          <w:noProof/>
          <w:sz w:val="22"/>
          <w:szCs w:val="22"/>
        </w:rPr>
        <w:t>(Bourke, 2014, p. 2)</w:t>
      </w:r>
      <w:r w:rsidR="00193C0E" w:rsidRPr="00136F3A">
        <w:rPr>
          <w:rFonts w:ascii="Calibri" w:hAnsi="Calibri" w:cs="Calibri"/>
          <w:sz w:val="22"/>
          <w:szCs w:val="22"/>
        </w:rPr>
        <w:fldChar w:fldCharType="end"/>
      </w:r>
      <w:r w:rsidR="00193C0E" w:rsidRPr="00136F3A">
        <w:rPr>
          <w:rFonts w:ascii="Calibri" w:hAnsi="Calibri" w:cs="Calibri"/>
          <w:sz w:val="22"/>
          <w:szCs w:val="22"/>
        </w:rPr>
        <w:t xml:space="preserve">. </w:t>
      </w:r>
      <w:r w:rsidR="00EE4255">
        <w:rPr>
          <w:rFonts w:ascii="Calibri" w:hAnsi="Calibri" w:cs="Calibri"/>
          <w:sz w:val="22"/>
          <w:szCs w:val="22"/>
        </w:rPr>
        <w:t xml:space="preserve">For desk-based researchers, this second factor is </w:t>
      </w:r>
      <w:r w:rsidR="00E015FE">
        <w:rPr>
          <w:rFonts w:ascii="Calibri" w:hAnsi="Calibri" w:cs="Calibri"/>
          <w:sz w:val="22"/>
          <w:szCs w:val="22"/>
        </w:rPr>
        <w:t>integral since</w:t>
      </w:r>
      <w:r w:rsidR="00EE4255">
        <w:rPr>
          <w:rFonts w:ascii="Calibri" w:hAnsi="Calibri" w:cs="Calibri"/>
          <w:sz w:val="22"/>
          <w:szCs w:val="22"/>
        </w:rPr>
        <w:t xml:space="preserve"> the interpretation of data </w:t>
      </w:r>
      <w:proofErr w:type="gramStart"/>
      <w:r w:rsidR="00EE4255">
        <w:rPr>
          <w:rFonts w:ascii="Calibri" w:hAnsi="Calibri" w:cs="Calibri"/>
          <w:sz w:val="22"/>
          <w:szCs w:val="22"/>
        </w:rPr>
        <w:t>comprises</w:t>
      </w:r>
      <w:proofErr w:type="gramEnd"/>
      <w:r w:rsidR="00EE4255">
        <w:rPr>
          <w:rFonts w:ascii="Calibri" w:hAnsi="Calibri" w:cs="Calibri"/>
          <w:sz w:val="22"/>
          <w:szCs w:val="22"/>
        </w:rPr>
        <w:t xml:space="preserve"> the majority of their </w:t>
      </w:r>
      <w:r w:rsidR="00E015FE">
        <w:rPr>
          <w:rFonts w:ascii="Calibri" w:hAnsi="Calibri" w:cs="Calibri"/>
          <w:sz w:val="22"/>
          <w:szCs w:val="22"/>
        </w:rPr>
        <w:t xml:space="preserve">work. </w:t>
      </w:r>
    </w:p>
    <w:p w14:paraId="1EAD5DFD" w14:textId="77777777" w:rsidR="0010711D" w:rsidRPr="00136F3A" w:rsidRDefault="0010711D" w:rsidP="00FF525C">
      <w:pPr>
        <w:jc w:val="both"/>
        <w:rPr>
          <w:rFonts w:ascii="Calibri" w:hAnsi="Calibri" w:cs="Calibri"/>
          <w:sz w:val="22"/>
          <w:szCs w:val="22"/>
        </w:rPr>
      </w:pPr>
    </w:p>
    <w:p w14:paraId="10484F02" w14:textId="38B86F53" w:rsidR="00A42FB5" w:rsidRPr="00136F3A" w:rsidRDefault="00D4786B" w:rsidP="00A42FB5">
      <w:pPr>
        <w:jc w:val="both"/>
        <w:rPr>
          <w:rFonts w:ascii="Calibri" w:hAnsi="Calibri" w:cs="Calibri"/>
          <w:sz w:val="22"/>
          <w:szCs w:val="22"/>
        </w:rPr>
      </w:pPr>
      <w:r>
        <w:rPr>
          <w:rFonts w:ascii="Calibri" w:hAnsi="Calibri" w:cs="Calibri"/>
          <w:sz w:val="22"/>
          <w:szCs w:val="22"/>
        </w:rPr>
        <w:t>Applying the above to BHR research, a further level of criti</w:t>
      </w:r>
      <w:r w:rsidR="007A3D1E">
        <w:rPr>
          <w:rFonts w:ascii="Calibri" w:hAnsi="Calibri" w:cs="Calibri"/>
          <w:sz w:val="22"/>
          <w:szCs w:val="22"/>
        </w:rPr>
        <w:t xml:space="preserve">cal positionality </w:t>
      </w:r>
      <w:proofErr w:type="gramStart"/>
      <w:r w:rsidR="007A3D1E">
        <w:rPr>
          <w:rFonts w:ascii="Calibri" w:hAnsi="Calibri" w:cs="Calibri"/>
          <w:sz w:val="22"/>
          <w:szCs w:val="22"/>
        </w:rPr>
        <w:t>is needed</w:t>
      </w:r>
      <w:proofErr w:type="gramEnd"/>
      <w:r w:rsidR="007A3D1E">
        <w:rPr>
          <w:rFonts w:ascii="Calibri" w:hAnsi="Calibri" w:cs="Calibri"/>
          <w:sz w:val="22"/>
          <w:szCs w:val="22"/>
        </w:rPr>
        <w:t xml:space="preserve">. </w:t>
      </w:r>
      <w:r w:rsidR="00A42FB5" w:rsidRPr="00136F3A">
        <w:rPr>
          <w:rFonts w:ascii="Calibri" w:hAnsi="Calibri" w:cs="Calibri"/>
          <w:sz w:val="22"/>
          <w:szCs w:val="22"/>
        </w:rPr>
        <w:t xml:space="preserve">Unlike many </w:t>
      </w:r>
      <w:r w:rsidR="00A42FB5">
        <w:rPr>
          <w:rFonts w:ascii="Calibri" w:hAnsi="Calibri" w:cs="Calibri"/>
          <w:sz w:val="22"/>
          <w:szCs w:val="22"/>
        </w:rPr>
        <w:t xml:space="preserve">research </w:t>
      </w:r>
      <w:r w:rsidR="00A42FB5" w:rsidRPr="00136F3A">
        <w:rPr>
          <w:rFonts w:ascii="Calibri" w:hAnsi="Calibri" w:cs="Calibri"/>
          <w:sz w:val="22"/>
          <w:szCs w:val="22"/>
        </w:rPr>
        <w:t xml:space="preserve">relationships, </w:t>
      </w:r>
      <w:r w:rsidR="00A42FB5">
        <w:rPr>
          <w:rFonts w:ascii="Calibri" w:hAnsi="Calibri" w:cs="Calibri"/>
          <w:sz w:val="22"/>
          <w:szCs w:val="22"/>
        </w:rPr>
        <w:t xml:space="preserve">dominance of the </w:t>
      </w:r>
      <w:r w:rsidR="00A42FB5" w:rsidRPr="00136F3A">
        <w:rPr>
          <w:rFonts w:ascii="Calibri" w:hAnsi="Calibri" w:cs="Calibri"/>
          <w:sz w:val="22"/>
          <w:szCs w:val="22"/>
        </w:rPr>
        <w:t xml:space="preserve">hierarchy of power firmly rests in the hands of the subject (corporation) and not the researcher. Indeed, these corporations are often seen as possessing power </w:t>
      </w:r>
      <w:r w:rsidR="00A42FB5">
        <w:rPr>
          <w:rFonts w:ascii="Calibri" w:hAnsi="Calibri" w:cs="Calibri"/>
          <w:sz w:val="22"/>
          <w:szCs w:val="22"/>
        </w:rPr>
        <w:t>exceeding</w:t>
      </w:r>
      <w:r w:rsidR="00A42FB5" w:rsidRPr="00136F3A">
        <w:rPr>
          <w:rFonts w:ascii="Calibri" w:hAnsi="Calibri" w:cs="Calibri"/>
          <w:sz w:val="22"/>
          <w:szCs w:val="22"/>
        </w:rPr>
        <w:t xml:space="preserve"> the </w:t>
      </w:r>
      <w:r w:rsidR="00A42FB5">
        <w:rPr>
          <w:rFonts w:ascii="Calibri" w:hAnsi="Calibri" w:cs="Calibri"/>
          <w:sz w:val="22"/>
          <w:szCs w:val="22"/>
        </w:rPr>
        <w:t>nation-state</w:t>
      </w:r>
      <w:r w:rsidR="00A42FB5" w:rsidRPr="00136F3A">
        <w:rPr>
          <w:rFonts w:ascii="Calibri" w:hAnsi="Calibri" w:cs="Calibri"/>
          <w:sz w:val="22"/>
          <w:szCs w:val="22"/>
        </w:rPr>
        <w:t xml:space="preserve"> between which they operate </w:t>
      </w:r>
      <w:r w:rsidR="00A42FB5" w:rsidRPr="00136F3A">
        <w:rPr>
          <w:rFonts w:ascii="Calibri" w:hAnsi="Calibri" w:cs="Calibri"/>
          <w:sz w:val="22"/>
          <w:szCs w:val="22"/>
        </w:rPr>
        <w:fldChar w:fldCharType="begin" w:fldLock="1"/>
      </w:r>
      <w:r w:rsidR="00A42FB5" w:rsidRPr="00136F3A">
        <w:rPr>
          <w:rFonts w:ascii="Calibri" w:hAnsi="Calibri" w:cs="Calibri"/>
          <w:sz w:val="22"/>
          <w:szCs w:val="22"/>
        </w:rPr>
        <w:instrText>ADDIN CSL_CITATION {"citationItems":[{"id":"ITEM-1","itemData":{"abstract":"The adoption of Corporate Social Responsibility (CSR) policies is no longer a matter of voluntary practice on the part of business. In one sense it was never really voluntary, being in most cases a response to market pressures and reputational risk. But increasingly CSR is also subject to legal pressure and legal enforcement, not necessarily in the form of conventional state regulation but rather through indirect state pressure and through the use of private law by private actors, sometimes through highly innovative uses of law. This paper analyses and critically assesses the market forces pressing for CSR. It then demonstrates the range of mechanisms being used to foster and enforce 'voluntary' CSR through law. However it also shows a two way relationship between CSR and law with market pressures being used to press for a new sense of responsibility in how business approaches legal compliance, with the emphasis on compliance with the spirit, not just the letter of the law. The paper demonstrates a widening range of governance methods being brought into play to form a new corporate accountability.","author":[{"dropping-particle":"","family":"McBarnet","given":"Doreen","non-dropping-particle":"","parse-names":false,"suffix":""}],"container-title":"SSRN Electronic Journal","id":"ITEM-1","issued":{"date-parts":[["2009"]]},"title":"Corporate Social Responsibility Beyond Law, Through Law, for Law","type":"article-journal"},"locator":"4","uris":["http://www.mendeley.com/documents/?uuid=5e970769-af66-4649-8268-7555a98cd737"]}],"mendeley":{"formattedCitation":"(McBarnet, 2009, p. 4)","plainTextFormattedCitation":"(McBarnet, 2009, p. 4)","previouslyFormattedCitation":"(McBarnet, 2009, p. 4)"},"properties":{"noteIndex":0},"schema":"https://github.com/citation-style-language/schema/raw/master/csl-citation.json"}</w:instrText>
      </w:r>
      <w:r w:rsidR="00A42FB5" w:rsidRPr="00136F3A">
        <w:rPr>
          <w:rFonts w:ascii="Calibri" w:hAnsi="Calibri" w:cs="Calibri"/>
          <w:sz w:val="22"/>
          <w:szCs w:val="22"/>
        </w:rPr>
        <w:fldChar w:fldCharType="separate"/>
      </w:r>
      <w:r w:rsidR="00A42FB5" w:rsidRPr="00136F3A">
        <w:rPr>
          <w:rFonts w:ascii="Calibri" w:hAnsi="Calibri" w:cs="Calibri"/>
          <w:noProof/>
          <w:sz w:val="22"/>
          <w:szCs w:val="22"/>
        </w:rPr>
        <w:t>(McBarnet, 2009, p. 4)</w:t>
      </w:r>
      <w:r w:rsidR="00A42FB5" w:rsidRPr="00136F3A">
        <w:rPr>
          <w:rFonts w:ascii="Calibri" w:hAnsi="Calibri" w:cs="Calibri"/>
          <w:sz w:val="22"/>
          <w:szCs w:val="22"/>
        </w:rPr>
        <w:fldChar w:fldCharType="end"/>
      </w:r>
      <w:r w:rsidR="00A42FB5" w:rsidRPr="00136F3A">
        <w:rPr>
          <w:rFonts w:ascii="Calibri" w:hAnsi="Calibri" w:cs="Calibri"/>
          <w:sz w:val="22"/>
          <w:szCs w:val="22"/>
        </w:rPr>
        <w:t xml:space="preserve">. </w:t>
      </w:r>
      <w:r w:rsidR="00A42FB5">
        <w:rPr>
          <w:rFonts w:ascii="Calibri" w:hAnsi="Calibri" w:cs="Calibri"/>
          <w:sz w:val="22"/>
          <w:szCs w:val="22"/>
        </w:rPr>
        <w:t xml:space="preserve">The researcher must therefore be aware, though acknowledgment of their position, of any risks posed to themselves, or other individuals </w:t>
      </w:r>
      <w:r w:rsidR="002724D0">
        <w:rPr>
          <w:rFonts w:ascii="Calibri" w:hAnsi="Calibri" w:cs="Calibri"/>
          <w:sz w:val="22"/>
          <w:szCs w:val="22"/>
        </w:rPr>
        <w:t>because of</w:t>
      </w:r>
      <w:r w:rsidR="00A42FB5">
        <w:rPr>
          <w:rFonts w:ascii="Calibri" w:hAnsi="Calibri" w:cs="Calibri"/>
          <w:sz w:val="22"/>
          <w:szCs w:val="22"/>
        </w:rPr>
        <w:t xml:space="preserve"> this power imbalance when conducting their research</w:t>
      </w:r>
      <w:r w:rsidR="00A42FB5" w:rsidRPr="00136F3A">
        <w:rPr>
          <w:rFonts w:ascii="Calibri" w:hAnsi="Calibri" w:cs="Calibri"/>
          <w:sz w:val="22"/>
          <w:szCs w:val="22"/>
        </w:rPr>
        <w:t>, many of the same considerations must still be present when dealing with human participants.</w:t>
      </w:r>
    </w:p>
    <w:p w14:paraId="267F46A3" w14:textId="410BBBD2" w:rsidR="00A42FB5" w:rsidRDefault="00A42FB5" w:rsidP="00FF525C">
      <w:pPr>
        <w:jc w:val="both"/>
        <w:rPr>
          <w:rFonts w:ascii="Calibri" w:hAnsi="Calibri" w:cs="Calibri"/>
          <w:sz w:val="22"/>
          <w:szCs w:val="22"/>
        </w:rPr>
      </w:pPr>
    </w:p>
    <w:p w14:paraId="322F68D6" w14:textId="7580FB11" w:rsidR="00A42FB5" w:rsidRDefault="00A42FB5" w:rsidP="00FF525C">
      <w:pPr>
        <w:jc w:val="both"/>
        <w:rPr>
          <w:rFonts w:ascii="Calibri" w:hAnsi="Calibri" w:cs="Calibri"/>
          <w:sz w:val="22"/>
          <w:szCs w:val="22"/>
        </w:rPr>
      </w:pPr>
      <w:r>
        <w:rPr>
          <w:rFonts w:ascii="Calibri" w:hAnsi="Calibri" w:cs="Calibri"/>
          <w:sz w:val="22"/>
          <w:szCs w:val="22"/>
        </w:rPr>
        <w:t xml:space="preserve">Despite this necessary caution, </w:t>
      </w:r>
      <w:r w:rsidR="009F1088">
        <w:rPr>
          <w:rFonts w:ascii="Calibri" w:hAnsi="Calibri" w:cs="Calibri"/>
          <w:sz w:val="22"/>
          <w:szCs w:val="22"/>
        </w:rPr>
        <w:t>the researcher must also reflect upon the</w:t>
      </w:r>
      <w:r w:rsidR="00592A7D">
        <w:rPr>
          <w:rFonts w:ascii="Calibri" w:hAnsi="Calibri" w:cs="Calibri"/>
          <w:sz w:val="22"/>
          <w:szCs w:val="22"/>
        </w:rPr>
        <w:t xml:space="preserve">ir biases when dealing with corporations in BHR research. </w:t>
      </w:r>
      <w:r w:rsidR="00653FB1">
        <w:rPr>
          <w:rFonts w:ascii="Calibri" w:hAnsi="Calibri" w:cs="Calibri"/>
          <w:sz w:val="22"/>
          <w:szCs w:val="22"/>
        </w:rPr>
        <w:t>The</w:t>
      </w:r>
      <w:r w:rsidR="007A3D1E">
        <w:rPr>
          <w:rFonts w:ascii="Calibri" w:hAnsi="Calibri" w:cs="Calibri"/>
          <w:sz w:val="22"/>
          <w:szCs w:val="22"/>
        </w:rPr>
        <w:t xml:space="preserve"> primary goal</w:t>
      </w:r>
      <w:r w:rsidR="00667325" w:rsidRPr="00136F3A">
        <w:rPr>
          <w:rFonts w:ascii="Calibri" w:hAnsi="Calibri" w:cs="Calibri"/>
          <w:sz w:val="22"/>
          <w:szCs w:val="22"/>
        </w:rPr>
        <w:t xml:space="preserve"> </w:t>
      </w:r>
      <w:r w:rsidR="00653FB1">
        <w:rPr>
          <w:rFonts w:ascii="Calibri" w:hAnsi="Calibri" w:cs="Calibri"/>
          <w:sz w:val="22"/>
          <w:szCs w:val="22"/>
        </w:rPr>
        <w:t>of</w:t>
      </w:r>
      <w:r w:rsidR="00667325" w:rsidRPr="00136F3A">
        <w:rPr>
          <w:rFonts w:ascii="Calibri" w:hAnsi="Calibri" w:cs="Calibri"/>
          <w:sz w:val="22"/>
          <w:szCs w:val="22"/>
        </w:rPr>
        <w:t xml:space="preserve"> </w:t>
      </w:r>
      <w:r w:rsidR="007A3D1E">
        <w:rPr>
          <w:rFonts w:ascii="Calibri" w:hAnsi="Calibri" w:cs="Calibri"/>
          <w:sz w:val="22"/>
          <w:szCs w:val="22"/>
        </w:rPr>
        <w:t>BHR research</w:t>
      </w:r>
      <w:r w:rsidR="00667325" w:rsidRPr="00136F3A">
        <w:rPr>
          <w:rFonts w:ascii="Calibri" w:hAnsi="Calibri" w:cs="Calibri"/>
          <w:sz w:val="22"/>
          <w:szCs w:val="22"/>
        </w:rPr>
        <w:t xml:space="preserve"> is to </w:t>
      </w:r>
      <w:r w:rsidR="0010711D" w:rsidRPr="00136F3A">
        <w:rPr>
          <w:rFonts w:ascii="Calibri" w:hAnsi="Calibri" w:cs="Calibri"/>
          <w:sz w:val="22"/>
          <w:szCs w:val="22"/>
        </w:rPr>
        <w:t>remedy and prevent</w:t>
      </w:r>
      <w:r w:rsidR="00667325" w:rsidRPr="00136F3A">
        <w:rPr>
          <w:rFonts w:ascii="Calibri" w:hAnsi="Calibri" w:cs="Calibri"/>
          <w:sz w:val="22"/>
          <w:szCs w:val="22"/>
        </w:rPr>
        <w:t xml:space="preserve"> violation</w:t>
      </w:r>
      <w:r w:rsidR="00653FB1">
        <w:rPr>
          <w:rFonts w:ascii="Calibri" w:hAnsi="Calibri" w:cs="Calibri"/>
          <w:sz w:val="22"/>
          <w:szCs w:val="22"/>
        </w:rPr>
        <w:t>s</w:t>
      </w:r>
      <w:r w:rsidR="00667325" w:rsidRPr="00136F3A">
        <w:rPr>
          <w:rFonts w:ascii="Calibri" w:hAnsi="Calibri" w:cs="Calibri"/>
          <w:sz w:val="22"/>
          <w:szCs w:val="22"/>
        </w:rPr>
        <w:t xml:space="preserve"> of </w:t>
      </w:r>
      <w:r w:rsidR="00653FB1">
        <w:rPr>
          <w:rFonts w:ascii="Calibri" w:hAnsi="Calibri" w:cs="Calibri"/>
          <w:sz w:val="22"/>
          <w:szCs w:val="22"/>
        </w:rPr>
        <w:t>human rights</w:t>
      </w:r>
      <w:r w:rsidR="00667325" w:rsidRPr="00136F3A">
        <w:rPr>
          <w:rFonts w:ascii="Calibri" w:hAnsi="Calibri" w:cs="Calibri"/>
          <w:sz w:val="22"/>
          <w:szCs w:val="22"/>
        </w:rPr>
        <w:t xml:space="preserve"> </w:t>
      </w:r>
      <w:r w:rsidR="0010711D" w:rsidRPr="00136F3A">
        <w:rPr>
          <w:rFonts w:ascii="Calibri" w:hAnsi="Calibri" w:cs="Calibri"/>
          <w:sz w:val="22"/>
          <w:szCs w:val="22"/>
        </w:rPr>
        <w:t xml:space="preserve">by </w:t>
      </w:r>
      <w:r w:rsidR="00653FB1">
        <w:rPr>
          <w:rFonts w:ascii="Calibri" w:hAnsi="Calibri" w:cs="Calibri"/>
          <w:sz w:val="22"/>
          <w:szCs w:val="22"/>
        </w:rPr>
        <w:t>companies</w:t>
      </w:r>
      <w:r w:rsidR="00667325" w:rsidRPr="00136F3A">
        <w:rPr>
          <w:rFonts w:ascii="Calibri" w:hAnsi="Calibri" w:cs="Calibri"/>
          <w:sz w:val="22"/>
          <w:szCs w:val="22"/>
        </w:rPr>
        <w:t>.</w:t>
      </w:r>
      <w:r w:rsidR="00046CA0">
        <w:rPr>
          <w:rFonts w:ascii="Calibri" w:hAnsi="Calibri" w:cs="Calibri"/>
          <w:sz w:val="22"/>
          <w:szCs w:val="22"/>
        </w:rPr>
        <w:t xml:space="preserve"> In the case of the present example, it is to prevent violations by pharmaceutical companies in relation to access to medicines.</w:t>
      </w:r>
      <w:r w:rsidR="00667325" w:rsidRPr="00136F3A">
        <w:rPr>
          <w:rFonts w:ascii="Calibri" w:hAnsi="Calibri" w:cs="Calibri"/>
          <w:sz w:val="22"/>
          <w:szCs w:val="22"/>
        </w:rPr>
        <w:t xml:space="preserve"> </w:t>
      </w:r>
      <w:r w:rsidR="005203A9" w:rsidRPr="00136F3A">
        <w:rPr>
          <w:rFonts w:ascii="Calibri" w:hAnsi="Calibri" w:cs="Calibri"/>
          <w:sz w:val="22"/>
          <w:szCs w:val="22"/>
        </w:rPr>
        <w:t>Whilst this may appear a just cause</w:t>
      </w:r>
      <w:r w:rsidR="0010711D" w:rsidRPr="00136F3A">
        <w:rPr>
          <w:rFonts w:ascii="Calibri" w:hAnsi="Calibri" w:cs="Calibri"/>
          <w:sz w:val="22"/>
          <w:szCs w:val="22"/>
        </w:rPr>
        <w:t xml:space="preserve"> (and </w:t>
      </w:r>
      <w:r w:rsidR="00653FB1">
        <w:rPr>
          <w:rFonts w:ascii="Calibri" w:hAnsi="Calibri" w:cs="Calibri"/>
          <w:sz w:val="22"/>
          <w:szCs w:val="22"/>
        </w:rPr>
        <w:t>I</w:t>
      </w:r>
      <w:r w:rsidR="0010711D" w:rsidRPr="00136F3A">
        <w:rPr>
          <w:rFonts w:ascii="Calibri" w:hAnsi="Calibri" w:cs="Calibri"/>
          <w:sz w:val="22"/>
          <w:szCs w:val="22"/>
        </w:rPr>
        <w:t xml:space="preserve"> certainly believe</w:t>
      </w:r>
      <w:r w:rsidR="00653FB1">
        <w:rPr>
          <w:rFonts w:ascii="Calibri" w:hAnsi="Calibri" w:cs="Calibri"/>
          <w:sz w:val="22"/>
          <w:szCs w:val="22"/>
        </w:rPr>
        <w:t xml:space="preserve"> it</w:t>
      </w:r>
      <w:r w:rsidR="0010711D" w:rsidRPr="00136F3A">
        <w:rPr>
          <w:rFonts w:ascii="Calibri" w:hAnsi="Calibri" w:cs="Calibri"/>
          <w:sz w:val="22"/>
          <w:szCs w:val="22"/>
        </w:rPr>
        <w:t xml:space="preserve"> to be)</w:t>
      </w:r>
      <w:r w:rsidR="005203A9" w:rsidRPr="00136F3A">
        <w:rPr>
          <w:rFonts w:ascii="Calibri" w:hAnsi="Calibri" w:cs="Calibri"/>
          <w:sz w:val="22"/>
          <w:szCs w:val="22"/>
        </w:rPr>
        <w:t xml:space="preserve">, it must </w:t>
      </w:r>
      <w:proofErr w:type="gramStart"/>
      <w:r w:rsidR="005203A9" w:rsidRPr="00136F3A">
        <w:rPr>
          <w:rFonts w:ascii="Calibri" w:hAnsi="Calibri" w:cs="Calibri"/>
          <w:sz w:val="22"/>
          <w:szCs w:val="22"/>
        </w:rPr>
        <w:t>be admitted</w:t>
      </w:r>
      <w:proofErr w:type="gramEnd"/>
      <w:r w:rsidR="005203A9" w:rsidRPr="00136F3A">
        <w:rPr>
          <w:rFonts w:ascii="Calibri" w:hAnsi="Calibri" w:cs="Calibri"/>
          <w:sz w:val="22"/>
          <w:szCs w:val="22"/>
        </w:rPr>
        <w:t xml:space="preserve"> that </w:t>
      </w:r>
      <w:r w:rsidR="00046CA0">
        <w:rPr>
          <w:rFonts w:ascii="Calibri" w:hAnsi="Calibri" w:cs="Calibri"/>
          <w:sz w:val="22"/>
          <w:szCs w:val="22"/>
        </w:rPr>
        <w:t>research of this kind c</w:t>
      </w:r>
      <w:r w:rsidR="005203A9" w:rsidRPr="00136F3A">
        <w:rPr>
          <w:rFonts w:ascii="Calibri" w:hAnsi="Calibri" w:cs="Calibri"/>
          <w:sz w:val="22"/>
          <w:szCs w:val="22"/>
        </w:rPr>
        <w:t>an</w:t>
      </w:r>
      <w:r w:rsidR="00046CA0">
        <w:rPr>
          <w:rFonts w:ascii="Calibri" w:hAnsi="Calibri" w:cs="Calibri"/>
          <w:sz w:val="22"/>
          <w:szCs w:val="22"/>
        </w:rPr>
        <w:t xml:space="preserve"> easily </w:t>
      </w:r>
      <w:r w:rsidR="00B7758C">
        <w:rPr>
          <w:rFonts w:ascii="Calibri" w:hAnsi="Calibri" w:cs="Calibri"/>
          <w:sz w:val="22"/>
          <w:szCs w:val="22"/>
        </w:rPr>
        <w:t>fall foul of an</w:t>
      </w:r>
      <w:r w:rsidR="005203A9" w:rsidRPr="00136F3A">
        <w:rPr>
          <w:rFonts w:ascii="Calibri" w:hAnsi="Calibri" w:cs="Calibri"/>
          <w:sz w:val="22"/>
          <w:szCs w:val="22"/>
        </w:rPr>
        <w:t xml:space="preserve"> inherent bias against </w:t>
      </w:r>
      <w:r w:rsidR="00AE0DF9" w:rsidRPr="00136F3A">
        <w:rPr>
          <w:rFonts w:ascii="Calibri" w:hAnsi="Calibri" w:cs="Calibri"/>
          <w:sz w:val="22"/>
          <w:szCs w:val="22"/>
        </w:rPr>
        <w:t>pharmaceutical companies</w:t>
      </w:r>
      <w:r w:rsidR="00C75480" w:rsidRPr="00136F3A">
        <w:rPr>
          <w:rFonts w:ascii="Calibri" w:hAnsi="Calibri" w:cs="Calibri"/>
          <w:sz w:val="22"/>
          <w:szCs w:val="22"/>
        </w:rPr>
        <w:t>,</w:t>
      </w:r>
      <w:r w:rsidR="00AE0DF9" w:rsidRPr="00136F3A">
        <w:rPr>
          <w:rFonts w:ascii="Calibri" w:hAnsi="Calibri" w:cs="Calibri"/>
          <w:sz w:val="22"/>
          <w:szCs w:val="22"/>
        </w:rPr>
        <w:t xml:space="preserve"> which are viewed </w:t>
      </w:r>
      <w:r w:rsidR="00653FB1" w:rsidRPr="00136F3A">
        <w:rPr>
          <w:rFonts w:ascii="Calibri" w:hAnsi="Calibri" w:cs="Calibri"/>
          <w:sz w:val="22"/>
          <w:szCs w:val="22"/>
        </w:rPr>
        <w:t>as</w:t>
      </w:r>
      <w:r w:rsidR="00AE0DF9" w:rsidRPr="00136F3A">
        <w:rPr>
          <w:rFonts w:ascii="Calibri" w:hAnsi="Calibri" w:cs="Calibri"/>
          <w:sz w:val="22"/>
          <w:szCs w:val="22"/>
        </w:rPr>
        <w:t xml:space="preserve"> the ‘rights-violators’</w:t>
      </w:r>
      <w:r w:rsidR="00C0371F" w:rsidRPr="00136F3A">
        <w:rPr>
          <w:rFonts w:ascii="Calibri" w:hAnsi="Calibri" w:cs="Calibri"/>
          <w:sz w:val="22"/>
          <w:szCs w:val="22"/>
        </w:rPr>
        <w:t xml:space="preserve"> or aggressors within the research context</w:t>
      </w:r>
      <w:r w:rsidR="00AE0DF9" w:rsidRPr="00136F3A">
        <w:rPr>
          <w:rFonts w:ascii="Calibri" w:hAnsi="Calibri" w:cs="Calibri"/>
          <w:sz w:val="22"/>
          <w:szCs w:val="22"/>
        </w:rPr>
        <w:t xml:space="preserve">. Indeed, this is the case </w:t>
      </w:r>
      <w:r w:rsidR="00BA0133" w:rsidRPr="00136F3A">
        <w:rPr>
          <w:rFonts w:ascii="Calibri" w:hAnsi="Calibri" w:cs="Calibri"/>
          <w:sz w:val="22"/>
          <w:szCs w:val="22"/>
        </w:rPr>
        <w:t xml:space="preserve">across the spectrum of </w:t>
      </w:r>
      <w:r w:rsidR="00BC229B">
        <w:rPr>
          <w:rFonts w:ascii="Calibri" w:hAnsi="Calibri" w:cs="Calibri"/>
          <w:sz w:val="22"/>
          <w:szCs w:val="22"/>
        </w:rPr>
        <w:t>BHR</w:t>
      </w:r>
      <w:r w:rsidR="00481D86" w:rsidRPr="00136F3A">
        <w:rPr>
          <w:rFonts w:ascii="Calibri" w:hAnsi="Calibri" w:cs="Calibri"/>
          <w:sz w:val="22"/>
          <w:szCs w:val="22"/>
        </w:rPr>
        <w:t xml:space="preserve"> </w:t>
      </w:r>
      <w:r w:rsidR="00FD167E" w:rsidRPr="00136F3A">
        <w:rPr>
          <w:rFonts w:ascii="Calibri" w:hAnsi="Calibri" w:cs="Calibri"/>
          <w:sz w:val="22"/>
          <w:szCs w:val="22"/>
        </w:rPr>
        <w:t>research</w:t>
      </w:r>
      <w:r w:rsidR="00BA0133" w:rsidRPr="00136F3A">
        <w:rPr>
          <w:rFonts w:ascii="Calibri" w:hAnsi="Calibri" w:cs="Calibri"/>
          <w:sz w:val="22"/>
          <w:szCs w:val="22"/>
        </w:rPr>
        <w:t xml:space="preserve">. </w:t>
      </w:r>
    </w:p>
    <w:p w14:paraId="3FF85EB5" w14:textId="77777777" w:rsidR="004428C8" w:rsidRPr="00136F3A" w:rsidRDefault="004428C8" w:rsidP="00FF525C">
      <w:pPr>
        <w:jc w:val="both"/>
        <w:rPr>
          <w:rFonts w:ascii="Calibri" w:hAnsi="Calibri" w:cs="Calibri"/>
          <w:sz w:val="22"/>
          <w:szCs w:val="22"/>
        </w:rPr>
      </w:pPr>
    </w:p>
    <w:p w14:paraId="287BFF12" w14:textId="7349DF9E" w:rsidR="002C57FB" w:rsidRPr="00136F3A" w:rsidRDefault="00224552" w:rsidP="00FF525C">
      <w:pPr>
        <w:jc w:val="both"/>
        <w:rPr>
          <w:rFonts w:ascii="Calibri" w:hAnsi="Calibri" w:cs="Calibri"/>
          <w:sz w:val="22"/>
          <w:szCs w:val="22"/>
        </w:rPr>
      </w:pPr>
      <w:r>
        <w:rPr>
          <w:rFonts w:ascii="Calibri" w:hAnsi="Calibri" w:cs="Calibri"/>
          <w:sz w:val="22"/>
          <w:szCs w:val="22"/>
        </w:rPr>
        <w:t>In the context of the present health-rights research example, b</w:t>
      </w:r>
      <w:r w:rsidR="00BA0133" w:rsidRPr="00136F3A">
        <w:rPr>
          <w:rFonts w:ascii="Calibri" w:hAnsi="Calibri" w:cs="Calibri"/>
          <w:sz w:val="22"/>
          <w:szCs w:val="22"/>
        </w:rPr>
        <w:t xml:space="preserve">eing </w:t>
      </w:r>
      <w:r w:rsidR="001603CD">
        <w:rPr>
          <w:rFonts w:ascii="Calibri" w:hAnsi="Calibri" w:cs="Calibri"/>
          <w:sz w:val="22"/>
          <w:szCs w:val="22"/>
        </w:rPr>
        <w:t>aware</w:t>
      </w:r>
      <w:r w:rsidR="00BA0133" w:rsidRPr="00136F3A">
        <w:rPr>
          <w:rFonts w:ascii="Calibri" w:hAnsi="Calibri" w:cs="Calibri"/>
          <w:sz w:val="22"/>
          <w:szCs w:val="22"/>
        </w:rPr>
        <w:t xml:space="preserve"> of </w:t>
      </w:r>
      <w:r w:rsidR="00357F92" w:rsidRPr="00136F3A">
        <w:rPr>
          <w:rFonts w:ascii="Calibri" w:hAnsi="Calibri" w:cs="Calibri"/>
          <w:sz w:val="22"/>
          <w:szCs w:val="22"/>
        </w:rPr>
        <w:t>the</w:t>
      </w:r>
      <w:r w:rsidR="00BA0133" w:rsidRPr="00136F3A">
        <w:rPr>
          <w:rFonts w:ascii="Calibri" w:hAnsi="Calibri" w:cs="Calibri"/>
          <w:sz w:val="22"/>
          <w:szCs w:val="22"/>
        </w:rPr>
        <w:t xml:space="preserve"> fact</w:t>
      </w:r>
      <w:r w:rsidR="00357F92" w:rsidRPr="00136F3A">
        <w:rPr>
          <w:rFonts w:ascii="Calibri" w:hAnsi="Calibri" w:cs="Calibri"/>
          <w:sz w:val="22"/>
          <w:szCs w:val="22"/>
        </w:rPr>
        <w:t xml:space="preserve"> of potential bias against </w:t>
      </w:r>
      <w:r w:rsidR="00AC214E" w:rsidRPr="00136F3A">
        <w:rPr>
          <w:rFonts w:ascii="Calibri" w:hAnsi="Calibri" w:cs="Calibri"/>
          <w:sz w:val="22"/>
          <w:szCs w:val="22"/>
        </w:rPr>
        <w:t>medical-sector corporations</w:t>
      </w:r>
      <w:r w:rsidR="00BA0133" w:rsidRPr="00136F3A">
        <w:rPr>
          <w:rFonts w:ascii="Calibri" w:hAnsi="Calibri" w:cs="Calibri"/>
          <w:sz w:val="22"/>
          <w:szCs w:val="22"/>
        </w:rPr>
        <w:t xml:space="preserve"> </w:t>
      </w:r>
      <w:r w:rsidR="00DF52B9" w:rsidRPr="00136F3A">
        <w:rPr>
          <w:rFonts w:ascii="Calibri" w:hAnsi="Calibri" w:cs="Calibri"/>
          <w:sz w:val="22"/>
          <w:szCs w:val="22"/>
        </w:rPr>
        <w:t>requires</w:t>
      </w:r>
      <w:r w:rsidR="007C2648" w:rsidRPr="00136F3A">
        <w:rPr>
          <w:rFonts w:ascii="Calibri" w:hAnsi="Calibri" w:cs="Calibri"/>
          <w:sz w:val="22"/>
          <w:szCs w:val="22"/>
        </w:rPr>
        <w:t xml:space="preserve"> that our research does not veer into the realm of exception fallac</w:t>
      </w:r>
      <w:r w:rsidR="00DF52B9" w:rsidRPr="00136F3A">
        <w:rPr>
          <w:rFonts w:ascii="Calibri" w:hAnsi="Calibri" w:cs="Calibri"/>
          <w:sz w:val="22"/>
          <w:szCs w:val="22"/>
        </w:rPr>
        <w:t>y</w:t>
      </w:r>
      <w:r w:rsidR="007C2648" w:rsidRPr="00136F3A">
        <w:rPr>
          <w:rFonts w:ascii="Calibri" w:hAnsi="Calibri" w:cs="Calibri"/>
          <w:sz w:val="22"/>
          <w:szCs w:val="22"/>
        </w:rPr>
        <w:t xml:space="preserve"> and over-generalization. </w:t>
      </w:r>
      <w:r w:rsidR="009C7DDF">
        <w:rPr>
          <w:rFonts w:ascii="Calibri" w:hAnsi="Calibri" w:cs="Calibri"/>
          <w:sz w:val="22"/>
          <w:szCs w:val="22"/>
        </w:rPr>
        <w:t>Any e</w:t>
      </w:r>
      <w:r w:rsidR="00CD32AC" w:rsidRPr="00136F3A">
        <w:rPr>
          <w:rFonts w:ascii="Calibri" w:hAnsi="Calibri" w:cs="Calibri"/>
          <w:sz w:val="22"/>
          <w:szCs w:val="22"/>
        </w:rPr>
        <w:t>xaggerated demoni</w:t>
      </w:r>
      <w:r w:rsidR="00684E6F">
        <w:rPr>
          <w:rFonts w:ascii="Calibri" w:hAnsi="Calibri" w:cs="Calibri"/>
          <w:sz w:val="22"/>
          <w:szCs w:val="22"/>
        </w:rPr>
        <w:t>s</w:t>
      </w:r>
      <w:r w:rsidR="00CD32AC" w:rsidRPr="00136F3A">
        <w:rPr>
          <w:rFonts w:ascii="Calibri" w:hAnsi="Calibri" w:cs="Calibri"/>
          <w:sz w:val="22"/>
          <w:szCs w:val="22"/>
        </w:rPr>
        <w:t xml:space="preserve">ation of corporations may hinder much of the remedial work possible, given the inherently </w:t>
      </w:r>
      <w:r w:rsidR="00BB421D" w:rsidRPr="00136F3A">
        <w:rPr>
          <w:rFonts w:ascii="Calibri" w:hAnsi="Calibri" w:cs="Calibri"/>
          <w:sz w:val="22"/>
          <w:szCs w:val="22"/>
        </w:rPr>
        <w:t>voluntary basis upon which respect for human rights in the corporate world is based</w:t>
      </w:r>
      <w:r w:rsidR="000B4F6F" w:rsidRPr="00136F3A">
        <w:rPr>
          <w:rFonts w:ascii="Calibri" w:hAnsi="Calibri" w:cs="Calibri"/>
          <w:sz w:val="22"/>
          <w:szCs w:val="22"/>
        </w:rPr>
        <w:t xml:space="preserve"> </w:t>
      </w:r>
      <w:r w:rsidR="000B4F6F" w:rsidRPr="00136F3A">
        <w:rPr>
          <w:rFonts w:ascii="Calibri" w:hAnsi="Calibri" w:cs="Calibri"/>
          <w:sz w:val="22"/>
          <w:szCs w:val="22"/>
        </w:rPr>
        <w:fldChar w:fldCharType="begin" w:fldLock="1"/>
      </w:r>
      <w:r w:rsidR="005C5C93" w:rsidRPr="00136F3A">
        <w:rPr>
          <w:rFonts w:ascii="Calibri" w:hAnsi="Calibri" w:cs="Calibri"/>
          <w:sz w:val="22"/>
          <w:szCs w:val="22"/>
        </w:rPr>
        <w:instrText>ADDIN CSL_CITATION {"citationItems":[{"id":"ITEM-1","itemData":{"ISSN":"10790969","abstract":"What are the human rights responsibilities of pharmaceutical companies with regard to access to medicines? The state-based international human rights framework has long struggled with the issue of the human rights obligations of non-state actors, a question sharpened by economic globalization and the concomitant growing power of private for-profit actors (“business”). In 2011, after a six-year development process, the UN Human Rights Council unanimously endorsed the Guiding Principles advanced by the UN Secretary General’s Special Representative on Business and Human Rights, John Ruggie. The Ruggie Principles sought to clarify and differentiate the responsibili- ties of states and non-state actors—in this case, “business” —with respect to human rights. The framework centered on “three core principles: the state duty to protect against human rights abuses by third parties, including business; the corporate respon- sibility to respect human rights; and the need for more effective access to remedies.”1 The","author":[{"dropping-particle":"","family":"Moon","given":"Suerie","non-dropping-particle":"","parse-names":false,"suffix":""}],"container-title":"Health and Human Rights","id":"ITEM-1","issue":"1","issued":{"date-parts":[["2013"]]},"page":"32-43","title":"Respecting the right to access to medicines: Implications of the UN Guiding Principles on Business and Human Rights for the pharmaceutical industry","type":"article-journal","volume":"15"},"locator":"35","uris":["http://www.mendeley.com/documents/?uuid=bdd47229-d57a-33ff-8eff-c16f5204d5c3"]}],"mendeley":{"formattedCitation":"(Moon, 2013, p. 35)","plainTextFormattedCitation":"(Moon, 2013, p. 35)","previouslyFormattedCitation":"(Moon, 2013, p. 35)"},"properties":{"noteIndex":0},"schema":"https://github.com/citation-style-language/schema/raw/master/csl-citation.json"}</w:instrText>
      </w:r>
      <w:r w:rsidR="000B4F6F" w:rsidRPr="00136F3A">
        <w:rPr>
          <w:rFonts w:ascii="Calibri" w:hAnsi="Calibri" w:cs="Calibri"/>
          <w:sz w:val="22"/>
          <w:szCs w:val="22"/>
        </w:rPr>
        <w:fldChar w:fldCharType="separate"/>
      </w:r>
      <w:r w:rsidR="000B4F6F" w:rsidRPr="00136F3A">
        <w:rPr>
          <w:rFonts w:ascii="Calibri" w:hAnsi="Calibri" w:cs="Calibri"/>
          <w:noProof/>
          <w:sz w:val="22"/>
          <w:szCs w:val="22"/>
        </w:rPr>
        <w:t>(Moon, 2013, p. 35)</w:t>
      </w:r>
      <w:r w:rsidR="000B4F6F" w:rsidRPr="00136F3A">
        <w:rPr>
          <w:rFonts w:ascii="Calibri" w:hAnsi="Calibri" w:cs="Calibri"/>
          <w:sz w:val="22"/>
          <w:szCs w:val="22"/>
        </w:rPr>
        <w:fldChar w:fldCharType="end"/>
      </w:r>
      <w:r w:rsidR="00BB421D" w:rsidRPr="00136F3A">
        <w:rPr>
          <w:rFonts w:ascii="Calibri" w:hAnsi="Calibri" w:cs="Calibri"/>
          <w:sz w:val="22"/>
          <w:szCs w:val="22"/>
        </w:rPr>
        <w:t xml:space="preserve">. Alienation and </w:t>
      </w:r>
      <w:r w:rsidR="003E04CD" w:rsidRPr="00136F3A">
        <w:rPr>
          <w:rFonts w:ascii="Calibri" w:hAnsi="Calibri" w:cs="Calibri"/>
          <w:sz w:val="22"/>
          <w:szCs w:val="22"/>
        </w:rPr>
        <w:t>demoni</w:t>
      </w:r>
      <w:r w:rsidR="00684E6F">
        <w:rPr>
          <w:rFonts w:ascii="Calibri" w:hAnsi="Calibri" w:cs="Calibri"/>
          <w:sz w:val="22"/>
          <w:szCs w:val="22"/>
        </w:rPr>
        <w:t>s</w:t>
      </w:r>
      <w:r w:rsidR="003E04CD" w:rsidRPr="00136F3A">
        <w:rPr>
          <w:rFonts w:ascii="Calibri" w:hAnsi="Calibri" w:cs="Calibri"/>
          <w:sz w:val="22"/>
          <w:szCs w:val="22"/>
        </w:rPr>
        <w:t>ation</w:t>
      </w:r>
      <w:r w:rsidR="00BB421D" w:rsidRPr="00136F3A">
        <w:rPr>
          <w:rFonts w:ascii="Calibri" w:hAnsi="Calibri" w:cs="Calibri"/>
          <w:sz w:val="22"/>
          <w:szCs w:val="22"/>
        </w:rPr>
        <w:t xml:space="preserve"> may not foster a positive relationship upon which future cooperation </w:t>
      </w:r>
      <w:r w:rsidR="003E04CD" w:rsidRPr="00136F3A">
        <w:rPr>
          <w:rFonts w:ascii="Calibri" w:hAnsi="Calibri" w:cs="Calibri"/>
          <w:sz w:val="22"/>
          <w:szCs w:val="22"/>
        </w:rPr>
        <w:t>can be based.</w:t>
      </w:r>
      <w:r w:rsidR="003409CA" w:rsidRPr="00136F3A">
        <w:rPr>
          <w:rFonts w:ascii="Calibri" w:hAnsi="Calibri" w:cs="Calibri"/>
          <w:sz w:val="22"/>
          <w:szCs w:val="22"/>
        </w:rPr>
        <w:t xml:space="preserve"> </w:t>
      </w:r>
      <w:r w:rsidR="00273D78" w:rsidRPr="00136F3A">
        <w:rPr>
          <w:rFonts w:ascii="Calibri" w:hAnsi="Calibri" w:cs="Calibri"/>
          <w:sz w:val="22"/>
          <w:szCs w:val="22"/>
        </w:rPr>
        <w:t xml:space="preserve">While </w:t>
      </w:r>
      <w:r w:rsidR="00247A3E">
        <w:rPr>
          <w:rFonts w:ascii="Calibri" w:hAnsi="Calibri" w:cs="Calibri"/>
          <w:sz w:val="22"/>
          <w:szCs w:val="22"/>
        </w:rPr>
        <w:t>c</w:t>
      </w:r>
      <w:r w:rsidR="003409CA" w:rsidRPr="00136F3A">
        <w:rPr>
          <w:rFonts w:ascii="Calibri" w:hAnsi="Calibri" w:cs="Calibri"/>
          <w:sz w:val="22"/>
          <w:szCs w:val="22"/>
        </w:rPr>
        <w:t xml:space="preserve">orporations </w:t>
      </w:r>
      <w:r w:rsidR="00F145D5" w:rsidRPr="00136F3A">
        <w:rPr>
          <w:rFonts w:ascii="Calibri" w:hAnsi="Calibri" w:cs="Calibri"/>
          <w:sz w:val="22"/>
          <w:szCs w:val="22"/>
        </w:rPr>
        <w:t xml:space="preserve">are </w:t>
      </w:r>
      <w:r w:rsidR="003409CA" w:rsidRPr="00136F3A">
        <w:rPr>
          <w:rFonts w:ascii="Calibri" w:hAnsi="Calibri" w:cs="Calibri"/>
          <w:sz w:val="22"/>
          <w:szCs w:val="22"/>
        </w:rPr>
        <w:t xml:space="preserve">not </w:t>
      </w:r>
      <w:r w:rsidR="00F145D5" w:rsidRPr="00136F3A">
        <w:rPr>
          <w:rFonts w:ascii="Calibri" w:hAnsi="Calibri" w:cs="Calibri"/>
          <w:sz w:val="22"/>
          <w:szCs w:val="22"/>
        </w:rPr>
        <w:t>living beings with thoughts and feelings</w:t>
      </w:r>
      <w:r w:rsidR="00273D78" w:rsidRPr="00136F3A">
        <w:rPr>
          <w:rFonts w:ascii="Calibri" w:hAnsi="Calibri" w:cs="Calibri"/>
          <w:sz w:val="22"/>
          <w:szCs w:val="22"/>
        </w:rPr>
        <w:t xml:space="preserve">, this does not mean that they cannot be directly impacted by </w:t>
      </w:r>
      <w:r w:rsidR="0013117A" w:rsidRPr="00136F3A">
        <w:rPr>
          <w:rFonts w:ascii="Calibri" w:hAnsi="Calibri" w:cs="Calibri"/>
          <w:sz w:val="22"/>
          <w:szCs w:val="22"/>
        </w:rPr>
        <w:t>the researcher</w:t>
      </w:r>
      <w:r w:rsidR="00F145D5" w:rsidRPr="00136F3A">
        <w:rPr>
          <w:rFonts w:ascii="Calibri" w:hAnsi="Calibri" w:cs="Calibri"/>
          <w:sz w:val="22"/>
          <w:szCs w:val="22"/>
        </w:rPr>
        <w:t xml:space="preserve">. The bottom line of profit is often the primary driving force behind </w:t>
      </w:r>
      <w:r w:rsidR="00816C06" w:rsidRPr="00136F3A">
        <w:rPr>
          <w:rFonts w:ascii="Calibri" w:hAnsi="Calibri" w:cs="Calibri"/>
          <w:sz w:val="22"/>
          <w:szCs w:val="22"/>
        </w:rPr>
        <w:t xml:space="preserve">corporate </w:t>
      </w:r>
      <w:r w:rsidR="00F145D5" w:rsidRPr="00136F3A">
        <w:rPr>
          <w:rFonts w:ascii="Calibri" w:hAnsi="Calibri" w:cs="Calibri"/>
          <w:sz w:val="22"/>
          <w:szCs w:val="22"/>
        </w:rPr>
        <w:t>action.</w:t>
      </w:r>
      <w:r w:rsidR="00264E7A" w:rsidRPr="00136F3A">
        <w:rPr>
          <w:rFonts w:ascii="Calibri" w:hAnsi="Calibri" w:cs="Calibri"/>
          <w:sz w:val="22"/>
          <w:szCs w:val="22"/>
        </w:rPr>
        <w:t xml:space="preserve"> As </w:t>
      </w:r>
      <w:r w:rsidR="00F03A69" w:rsidRPr="00136F3A">
        <w:rPr>
          <w:rFonts w:ascii="Calibri" w:hAnsi="Calibri" w:cs="Calibri"/>
          <w:sz w:val="22"/>
          <w:szCs w:val="22"/>
        </w:rPr>
        <w:t xml:space="preserve">Buhmann </w:t>
      </w:r>
      <w:r w:rsidR="00F03A69" w:rsidRPr="00136F3A">
        <w:rPr>
          <w:rFonts w:ascii="Calibri" w:hAnsi="Calibri" w:cs="Calibri"/>
          <w:i/>
          <w:iCs/>
          <w:sz w:val="22"/>
          <w:szCs w:val="22"/>
        </w:rPr>
        <w:t>et al</w:t>
      </w:r>
      <w:r w:rsidR="00F03A69" w:rsidRPr="00136F3A">
        <w:rPr>
          <w:rFonts w:ascii="Calibri" w:hAnsi="Calibri" w:cs="Calibri"/>
          <w:sz w:val="22"/>
          <w:szCs w:val="22"/>
        </w:rPr>
        <w:t xml:space="preserve"> note, when researching in the field of </w:t>
      </w:r>
      <w:r w:rsidR="00BC229B">
        <w:rPr>
          <w:rFonts w:ascii="Calibri" w:hAnsi="Calibri" w:cs="Calibri"/>
          <w:sz w:val="22"/>
          <w:szCs w:val="22"/>
        </w:rPr>
        <w:t>BHR</w:t>
      </w:r>
      <w:r w:rsidR="00F03A69" w:rsidRPr="00136F3A">
        <w:rPr>
          <w:rFonts w:ascii="Calibri" w:hAnsi="Calibri" w:cs="Calibri"/>
          <w:sz w:val="22"/>
          <w:szCs w:val="22"/>
        </w:rPr>
        <w:t xml:space="preserve">, </w:t>
      </w:r>
      <w:r w:rsidR="00041E5F">
        <w:rPr>
          <w:rFonts w:ascii="Calibri" w:hAnsi="Calibri" w:cs="Calibri"/>
          <w:sz w:val="22"/>
          <w:szCs w:val="22"/>
        </w:rPr>
        <w:t xml:space="preserve">researchers must consider </w:t>
      </w:r>
      <w:r w:rsidR="00F220E6">
        <w:rPr>
          <w:rFonts w:ascii="Calibri" w:hAnsi="Calibri" w:cs="Calibri"/>
          <w:sz w:val="22"/>
          <w:szCs w:val="22"/>
        </w:rPr>
        <w:t>‘</w:t>
      </w:r>
      <w:r w:rsidR="00B76398" w:rsidRPr="00136F3A">
        <w:rPr>
          <w:rFonts w:ascii="Calibri" w:hAnsi="Calibri" w:cs="Calibri"/>
          <w:sz w:val="22"/>
          <w:szCs w:val="22"/>
        </w:rPr>
        <w:t>﻿how the appropriateness of decisions that balance human rights impacts against economic returns could be assessed</w:t>
      </w:r>
      <w:r w:rsidR="00F220E6">
        <w:rPr>
          <w:rFonts w:ascii="Calibri" w:hAnsi="Calibri" w:cs="Calibri"/>
          <w:sz w:val="22"/>
          <w:szCs w:val="22"/>
        </w:rPr>
        <w:t>’</w:t>
      </w:r>
      <w:r w:rsidR="00B76398" w:rsidRPr="00136F3A">
        <w:rPr>
          <w:rFonts w:ascii="Calibri" w:hAnsi="Calibri" w:cs="Calibri"/>
          <w:sz w:val="22"/>
          <w:szCs w:val="22"/>
        </w:rPr>
        <w:t xml:space="preserve"> </w:t>
      </w:r>
      <w:r w:rsidR="00FE0ED6" w:rsidRPr="00136F3A">
        <w:rPr>
          <w:rFonts w:ascii="Calibri" w:hAnsi="Calibri" w:cs="Calibri"/>
          <w:sz w:val="22"/>
          <w:szCs w:val="22"/>
        </w:rPr>
        <w:fldChar w:fldCharType="begin" w:fldLock="1"/>
      </w:r>
      <w:r w:rsidR="00B168AB" w:rsidRPr="00136F3A">
        <w:rPr>
          <w:rFonts w:ascii="Calibri" w:hAnsi="Calibri" w:cs="Calibri"/>
          <w:sz w:val="22"/>
          <w:szCs w:val="22"/>
        </w:rPr>
        <w:instrText>ADDIN CSL_CITATION {"citationItems":[{"id":"ITEM-1","itemData":{"author":[{"dropping-particle":"","family":"Buhmann","given":"Karin","non-dropping-particle":"","parse-names":false,"suffix":""},{"dropping-particle":"","family":"Fasterling","given":"Björn","non-dropping-particle":"","parse-names":false,"suffix":""},{"dropping-particle":"","family":"Voiculescu","given":"Aurora","non-dropping-particle":"","parse-names":false,"suffix":""}],"container-title":"Nordic Journal of Human Rights","id":"ITEM-1","issue":"4","issued":{"date-parts":[["2018"]]},"page":"323-332","title":"Business &amp; human rights research methods","type":"article-journal","volume":"36"},"locator":"326","uris":["http://www.mendeley.com/documents/?uuid=611c5d01-0046-343a-9103-90b760da6db1"]}],"mendeley":{"formattedCitation":"(Buhmann, Fasterling and Voiculescu, 2018, p. 326)","plainTextFormattedCitation":"(Buhmann, Fasterling and Voiculescu, 2018, p. 326)","previouslyFormattedCitation":"(Buhmann, Fasterling and Voiculescu, 2018, p. 326)"},"properties":{"noteIndex":0},"schema":"https://github.com/citation-style-language/schema/raw/master/csl-citation.json"}</w:instrText>
      </w:r>
      <w:r w:rsidR="00FE0ED6" w:rsidRPr="00136F3A">
        <w:rPr>
          <w:rFonts w:ascii="Calibri" w:hAnsi="Calibri" w:cs="Calibri"/>
          <w:sz w:val="22"/>
          <w:szCs w:val="22"/>
        </w:rPr>
        <w:fldChar w:fldCharType="separate"/>
      </w:r>
      <w:r w:rsidR="00FE0ED6" w:rsidRPr="00136F3A">
        <w:rPr>
          <w:rFonts w:ascii="Calibri" w:hAnsi="Calibri" w:cs="Calibri"/>
          <w:noProof/>
          <w:sz w:val="22"/>
          <w:szCs w:val="22"/>
        </w:rPr>
        <w:t>(Buhmann, Fasterling and Voiculescu, 2018, p. 326)</w:t>
      </w:r>
      <w:r w:rsidR="00FE0ED6" w:rsidRPr="00136F3A">
        <w:rPr>
          <w:rFonts w:ascii="Calibri" w:hAnsi="Calibri" w:cs="Calibri"/>
          <w:sz w:val="22"/>
          <w:szCs w:val="22"/>
        </w:rPr>
        <w:fldChar w:fldCharType="end"/>
      </w:r>
      <w:r w:rsidR="00FE0ED6" w:rsidRPr="00136F3A">
        <w:rPr>
          <w:rFonts w:ascii="Calibri" w:hAnsi="Calibri" w:cs="Calibri"/>
          <w:sz w:val="22"/>
          <w:szCs w:val="22"/>
        </w:rPr>
        <w:t>.</w:t>
      </w:r>
      <w:r w:rsidR="00583672">
        <w:rPr>
          <w:rFonts w:ascii="Calibri" w:hAnsi="Calibri" w:cs="Calibri"/>
          <w:sz w:val="22"/>
          <w:szCs w:val="22"/>
        </w:rPr>
        <w:t xml:space="preserve"> Ultimately, despite any doubtlessly genuine and passionate feeling held by the researcher, impactful </w:t>
      </w:r>
      <w:proofErr w:type="gramStart"/>
      <w:r w:rsidR="00583672">
        <w:rPr>
          <w:rFonts w:ascii="Calibri" w:hAnsi="Calibri" w:cs="Calibri"/>
          <w:sz w:val="22"/>
          <w:szCs w:val="22"/>
        </w:rPr>
        <w:t>desk-based</w:t>
      </w:r>
      <w:proofErr w:type="gramEnd"/>
      <w:r w:rsidR="00583672">
        <w:rPr>
          <w:rFonts w:ascii="Calibri" w:hAnsi="Calibri" w:cs="Calibri"/>
          <w:sz w:val="22"/>
          <w:szCs w:val="22"/>
        </w:rPr>
        <w:t xml:space="preserve"> </w:t>
      </w:r>
      <w:r w:rsidR="009D1992">
        <w:rPr>
          <w:rFonts w:ascii="Calibri" w:hAnsi="Calibri" w:cs="Calibri"/>
          <w:sz w:val="22"/>
          <w:szCs w:val="22"/>
        </w:rPr>
        <w:t xml:space="preserve">BHR </w:t>
      </w:r>
      <w:r w:rsidR="00583672">
        <w:rPr>
          <w:rFonts w:ascii="Calibri" w:hAnsi="Calibri" w:cs="Calibri"/>
          <w:sz w:val="22"/>
          <w:szCs w:val="22"/>
        </w:rPr>
        <w:t>research should</w:t>
      </w:r>
      <w:r w:rsidR="009D1992">
        <w:rPr>
          <w:rFonts w:ascii="Calibri" w:hAnsi="Calibri" w:cs="Calibri"/>
          <w:sz w:val="22"/>
          <w:szCs w:val="22"/>
        </w:rPr>
        <w:t xml:space="preserve"> adhere to a sensible level of pragmatism and realism in order to have a chance of effective genuine progress and positive change.</w:t>
      </w:r>
      <w:r w:rsidR="00FE0ED6" w:rsidRPr="00136F3A">
        <w:rPr>
          <w:rFonts w:ascii="Calibri" w:hAnsi="Calibri" w:cs="Calibri"/>
          <w:sz w:val="22"/>
          <w:szCs w:val="22"/>
        </w:rPr>
        <w:t xml:space="preserve"> </w:t>
      </w:r>
      <w:r w:rsidR="00F145D5" w:rsidRPr="00136F3A">
        <w:rPr>
          <w:rFonts w:ascii="Calibri" w:hAnsi="Calibri" w:cs="Calibri"/>
          <w:sz w:val="22"/>
          <w:szCs w:val="22"/>
        </w:rPr>
        <w:t xml:space="preserve">It is imperative therefore that </w:t>
      </w:r>
      <w:r w:rsidR="00F51025">
        <w:rPr>
          <w:rFonts w:ascii="Calibri" w:hAnsi="Calibri" w:cs="Calibri"/>
          <w:sz w:val="22"/>
          <w:szCs w:val="22"/>
        </w:rPr>
        <w:t>understanding</w:t>
      </w:r>
      <w:r w:rsidR="00041E5F">
        <w:rPr>
          <w:rFonts w:ascii="Calibri" w:hAnsi="Calibri" w:cs="Calibri"/>
          <w:sz w:val="22"/>
          <w:szCs w:val="22"/>
        </w:rPr>
        <w:t>s</w:t>
      </w:r>
      <w:r w:rsidR="00F145D5" w:rsidRPr="00136F3A">
        <w:rPr>
          <w:rFonts w:ascii="Calibri" w:hAnsi="Calibri" w:cs="Calibri"/>
          <w:sz w:val="22"/>
          <w:szCs w:val="22"/>
        </w:rPr>
        <w:t xml:space="preserve"> </w:t>
      </w:r>
      <w:r w:rsidR="00041E5F">
        <w:rPr>
          <w:rFonts w:ascii="Calibri" w:hAnsi="Calibri" w:cs="Calibri"/>
          <w:sz w:val="22"/>
          <w:szCs w:val="22"/>
        </w:rPr>
        <w:t>are</w:t>
      </w:r>
      <w:r w:rsidR="00F145D5" w:rsidRPr="00136F3A">
        <w:rPr>
          <w:rFonts w:ascii="Calibri" w:hAnsi="Calibri" w:cs="Calibri"/>
          <w:sz w:val="22"/>
          <w:szCs w:val="22"/>
        </w:rPr>
        <w:t xml:space="preserve"> adapted to reflect this </w:t>
      </w:r>
      <w:r w:rsidR="00617C9D" w:rsidRPr="00136F3A">
        <w:rPr>
          <w:rFonts w:ascii="Calibri" w:hAnsi="Calibri" w:cs="Calibri"/>
          <w:sz w:val="22"/>
          <w:szCs w:val="22"/>
        </w:rPr>
        <w:t>reality and that the differing nature of corporate entities as opposed to individuals</w:t>
      </w:r>
      <w:r w:rsidR="00041E5F">
        <w:rPr>
          <w:rFonts w:ascii="Calibri" w:hAnsi="Calibri" w:cs="Calibri"/>
          <w:sz w:val="22"/>
          <w:szCs w:val="22"/>
        </w:rPr>
        <w:t xml:space="preserve"> </w:t>
      </w:r>
      <w:proofErr w:type="gramStart"/>
      <w:r w:rsidR="00041E5F">
        <w:rPr>
          <w:rFonts w:ascii="Calibri" w:hAnsi="Calibri" w:cs="Calibri"/>
          <w:sz w:val="22"/>
          <w:szCs w:val="22"/>
        </w:rPr>
        <w:t xml:space="preserve">are </w:t>
      </w:r>
      <w:r w:rsidR="00041E5F">
        <w:rPr>
          <w:rFonts w:ascii="Calibri" w:hAnsi="Calibri" w:cs="Calibri"/>
          <w:sz w:val="22"/>
          <w:szCs w:val="22"/>
        </w:rPr>
        <w:lastRenderedPageBreak/>
        <w:t>understood</w:t>
      </w:r>
      <w:proofErr w:type="gramEnd"/>
      <w:r w:rsidR="008675E1" w:rsidRPr="00136F3A">
        <w:rPr>
          <w:rFonts w:ascii="Calibri" w:hAnsi="Calibri" w:cs="Calibri"/>
          <w:sz w:val="22"/>
          <w:szCs w:val="22"/>
        </w:rPr>
        <w:t xml:space="preserve">, not only </w:t>
      </w:r>
      <w:r w:rsidR="00041E5F">
        <w:rPr>
          <w:rFonts w:ascii="Calibri" w:hAnsi="Calibri" w:cs="Calibri"/>
          <w:sz w:val="22"/>
          <w:szCs w:val="22"/>
        </w:rPr>
        <w:t>relating to</w:t>
      </w:r>
      <w:r w:rsidR="008675E1" w:rsidRPr="00136F3A">
        <w:rPr>
          <w:rFonts w:ascii="Calibri" w:hAnsi="Calibri" w:cs="Calibri"/>
          <w:sz w:val="22"/>
          <w:szCs w:val="22"/>
        </w:rPr>
        <w:t xml:space="preserve"> positionality but critically </w:t>
      </w:r>
      <w:r w:rsidR="005B18A5">
        <w:rPr>
          <w:rFonts w:ascii="Calibri" w:hAnsi="Calibri" w:cs="Calibri"/>
          <w:sz w:val="22"/>
          <w:szCs w:val="22"/>
        </w:rPr>
        <w:t>with</w:t>
      </w:r>
      <w:r w:rsidR="00041E5F">
        <w:rPr>
          <w:rFonts w:ascii="Calibri" w:hAnsi="Calibri" w:cs="Calibri"/>
          <w:sz w:val="22"/>
          <w:szCs w:val="22"/>
        </w:rPr>
        <w:t>in</w:t>
      </w:r>
      <w:r w:rsidR="008675E1" w:rsidRPr="00136F3A">
        <w:rPr>
          <w:rFonts w:ascii="Calibri" w:hAnsi="Calibri" w:cs="Calibri"/>
          <w:sz w:val="22"/>
          <w:szCs w:val="22"/>
        </w:rPr>
        <w:t xml:space="preserve"> the methods and outcomes of </w:t>
      </w:r>
      <w:r w:rsidR="00041E5F">
        <w:rPr>
          <w:rFonts w:ascii="Calibri" w:hAnsi="Calibri" w:cs="Calibri"/>
          <w:sz w:val="22"/>
          <w:szCs w:val="22"/>
        </w:rPr>
        <w:t>the</w:t>
      </w:r>
      <w:r w:rsidR="008675E1" w:rsidRPr="00136F3A">
        <w:rPr>
          <w:rFonts w:ascii="Calibri" w:hAnsi="Calibri" w:cs="Calibri"/>
          <w:sz w:val="22"/>
          <w:szCs w:val="22"/>
        </w:rPr>
        <w:t xml:space="preserve"> research.</w:t>
      </w:r>
    </w:p>
    <w:p w14:paraId="37F63372" w14:textId="7B207593" w:rsidR="00443A73" w:rsidRDefault="00443A73" w:rsidP="00FF525C">
      <w:pPr>
        <w:jc w:val="both"/>
        <w:rPr>
          <w:rFonts w:ascii="Calibri" w:hAnsi="Calibri" w:cs="Calibri"/>
          <w:sz w:val="22"/>
          <w:szCs w:val="22"/>
        </w:rPr>
      </w:pPr>
    </w:p>
    <w:p w14:paraId="04991C67" w14:textId="00E33F76" w:rsidR="00134006" w:rsidRPr="00136F3A" w:rsidRDefault="00134006" w:rsidP="00FF525C">
      <w:pPr>
        <w:jc w:val="both"/>
        <w:rPr>
          <w:rFonts w:ascii="Calibri" w:hAnsi="Calibri" w:cs="Calibri"/>
          <w:sz w:val="22"/>
          <w:szCs w:val="22"/>
        </w:rPr>
      </w:pPr>
    </w:p>
    <w:p w14:paraId="4FB75F18" w14:textId="575B2511" w:rsidR="007A46F8" w:rsidRPr="00CB739D" w:rsidRDefault="00CB739D" w:rsidP="00CB739D">
      <w:pPr>
        <w:pStyle w:val="ListParagraph"/>
        <w:numPr>
          <w:ilvl w:val="0"/>
          <w:numId w:val="6"/>
        </w:numPr>
        <w:spacing w:after="240"/>
        <w:rPr>
          <w:rFonts w:ascii="Calibri" w:hAnsi="Calibri" w:cs="Calibri"/>
          <w:b/>
          <w:bCs/>
          <w:sz w:val="22"/>
          <w:szCs w:val="22"/>
        </w:rPr>
      </w:pPr>
      <w:r w:rsidRPr="00CB739D">
        <w:rPr>
          <w:rFonts w:ascii="Calibri" w:hAnsi="Calibri" w:cs="Calibri"/>
          <w:b/>
          <w:bCs/>
          <w:sz w:val="22"/>
          <w:szCs w:val="22"/>
        </w:rPr>
        <w:t>Conclusion</w:t>
      </w:r>
    </w:p>
    <w:p w14:paraId="728EAC59" w14:textId="76A29C3F" w:rsidR="00F6249A" w:rsidRDefault="00D0393B" w:rsidP="00EA1A5A">
      <w:pPr>
        <w:jc w:val="both"/>
        <w:rPr>
          <w:rFonts w:ascii="Calibri" w:hAnsi="Calibri" w:cs="Calibri"/>
          <w:sz w:val="22"/>
          <w:szCs w:val="22"/>
        </w:rPr>
      </w:pPr>
      <w:r>
        <w:rPr>
          <w:rFonts w:ascii="Calibri" w:hAnsi="Calibri" w:cs="Calibri"/>
          <w:sz w:val="22"/>
          <w:szCs w:val="22"/>
        </w:rPr>
        <w:t>In this paper I have argue</w:t>
      </w:r>
      <w:r w:rsidR="004C5397">
        <w:rPr>
          <w:rFonts w:ascii="Calibri" w:hAnsi="Calibri" w:cs="Calibri"/>
          <w:sz w:val="22"/>
          <w:szCs w:val="22"/>
        </w:rPr>
        <w:t>d</w:t>
      </w:r>
      <w:r>
        <w:rPr>
          <w:rFonts w:ascii="Calibri" w:hAnsi="Calibri" w:cs="Calibri"/>
          <w:sz w:val="22"/>
          <w:szCs w:val="22"/>
        </w:rPr>
        <w:t xml:space="preserve"> for a greater appreciation and application of ‘borrowed’ elements of sociological research to desk-based legal research. In particular, I have focused on the application of </w:t>
      </w:r>
      <w:r w:rsidR="004C5397">
        <w:rPr>
          <w:rFonts w:ascii="Calibri" w:hAnsi="Calibri" w:cs="Calibri"/>
          <w:sz w:val="22"/>
          <w:szCs w:val="22"/>
        </w:rPr>
        <w:t xml:space="preserve">research ethics, reflexivity and positionality to desk-based research </w:t>
      </w:r>
      <w:r w:rsidR="00B94F19">
        <w:rPr>
          <w:rFonts w:ascii="Calibri" w:hAnsi="Calibri" w:cs="Calibri"/>
          <w:sz w:val="22"/>
          <w:szCs w:val="22"/>
        </w:rPr>
        <w:t>at the</w:t>
      </w:r>
      <w:r w:rsidR="004C5397">
        <w:rPr>
          <w:rFonts w:ascii="Calibri" w:hAnsi="Calibri" w:cs="Calibri"/>
          <w:sz w:val="22"/>
          <w:szCs w:val="22"/>
        </w:rPr>
        <w:t xml:space="preserve"> </w:t>
      </w:r>
      <w:r w:rsidR="00B94F19">
        <w:rPr>
          <w:rFonts w:ascii="Calibri" w:hAnsi="Calibri" w:cs="Calibri"/>
          <w:sz w:val="22"/>
          <w:szCs w:val="22"/>
        </w:rPr>
        <w:t>intersection of</w:t>
      </w:r>
      <w:r w:rsidR="004C5397">
        <w:rPr>
          <w:rFonts w:ascii="Calibri" w:hAnsi="Calibri" w:cs="Calibri"/>
          <w:sz w:val="22"/>
          <w:szCs w:val="22"/>
        </w:rPr>
        <w:t xml:space="preserve"> human rights, health and ‘business and human </w:t>
      </w:r>
      <w:proofErr w:type="gramStart"/>
      <w:r w:rsidR="004C5397">
        <w:rPr>
          <w:rFonts w:ascii="Calibri" w:hAnsi="Calibri" w:cs="Calibri"/>
          <w:sz w:val="22"/>
          <w:szCs w:val="22"/>
        </w:rPr>
        <w:t>rights’</w:t>
      </w:r>
      <w:proofErr w:type="gramEnd"/>
      <w:r w:rsidR="004C5397">
        <w:rPr>
          <w:rFonts w:ascii="Calibri" w:hAnsi="Calibri" w:cs="Calibri"/>
          <w:sz w:val="22"/>
          <w:szCs w:val="22"/>
        </w:rPr>
        <w:t>.</w:t>
      </w:r>
      <w:r w:rsidR="00AB4413">
        <w:rPr>
          <w:rFonts w:ascii="Calibri" w:hAnsi="Calibri" w:cs="Calibri"/>
          <w:sz w:val="22"/>
          <w:szCs w:val="22"/>
        </w:rPr>
        <w:t xml:space="preserve"> F</w:t>
      </w:r>
      <w:r w:rsidR="00C8754A">
        <w:rPr>
          <w:rFonts w:ascii="Calibri" w:hAnsi="Calibri" w:cs="Calibri"/>
          <w:sz w:val="22"/>
          <w:szCs w:val="22"/>
        </w:rPr>
        <w:t>or desk-based legal researchers</w:t>
      </w:r>
      <w:r w:rsidR="007D5899">
        <w:rPr>
          <w:rFonts w:ascii="Calibri" w:hAnsi="Calibri" w:cs="Calibri"/>
          <w:sz w:val="22"/>
          <w:szCs w:val="22"/>
        </w:rPr>
        <w:t xml:space="preserve"> in particular</w:t>
      </w:r>
      <w:r w:rsidR="00C8754A">
        <w:rPr>
          <w:rFonts w:ascii="Calibri" w:hAnsi="Calibri" w:cs="Calibri"/>
          <w:sz w:val="22"/>
          <w:szCs w:val="22"/>
        </w:rPr>
        <w:t xml:space="preserve">, </w:t>
      </w:r>
      <w:r w:rsidR="00604767">
        <w:rPr>
          <w:rFonts w:ascii="Calibri" w:hAnsi="Calibri" w:cs="Calibri"/>
          <w:sz w:val="22"/>
          <w:szCs w:val="22"/>
        </w:rPr>
        <w:t xml:space="preserve">full engagement with nuanced and critical research ethics, or </w:t>
      </w:r>
      <w:r w:rsidR="00C8754A">
        <w:rPr>
          <w:rFonts w:ascii="Calibri" w:hAnsi="Calibri" w:cs="Calibri"/>
          <w:sz w:val="22"/>
          <w:szCs w:val="22"/>
        </w:rPr>
        <w:t>consideration of</w:t>
      </w:r>
      <w:r w:rsidR="008C4C8C">
        <w:rPr>
          <w:rFonts w:ascii="Calibri" w:hAnsi="Calibri" w:cs="Calibri"/>
          <w:sz w:val="22"/>
          <w:szCs w:val="22"/>
        </w:rPr>
        <w:t xml:space="preserve"> reflexivity</w:t>
      </w:r>
      <w:r w:rsidR="00604767">
        <w:rPr>
          <w:rFonts w:ascii="Calibri" w:hAnsi="Calibri" w:cs="Calibri"/>
          <w:sz w:val="22"/>
          <w:szCs w:val="22"/>
        </w:rPr>
        <w:t xml:space="preserve"> and</w:t>
      </w:r>
      <w:r w:rsidR="008C4C8C">
        <w:rPr>
          <w:rFonts w:ascii="Calibri" w:hAnsi="Calibri" w:cs="Calibri"/>
          <w:sz w:val="22"/>
          <w:szCs w:val="22"/>
        </w:rPr>
        <w:t xml:space="preserve"> positionality, </w:t>
      </w:r>
      <w:r w:rsidR="00C8754A">
        <w:rPr>
          <w:rFonts w:ascii="Calibri" w:hAnsi="Calibri" w:cs="Calibri"/>
          <w:sz w:val="22"/>
          <w:szCs w:val="22"/>
        </w:rPr>
        <w:t xml:space="preserve">may still </w:t>
      </w:r>
      <w:r w:rsidR="007E4990">
        <w:rPr>
          <w:rFonts w:ascii="Calibri" w:hAnsi="Calibri" w:cs="Calibri"/>
          <w:sz w:val="22"/>
          <w:szCs w:val="22"/>
        </w:rPr>
        <w:t>appear to be unnecessary</w:t>
      </w:r>
      <w:r w:rsidR="00762CEF">
        <w:rPr>
          <w:rFonts w:ascii="Calibri" w:hAnsi="Calibri" w:cs="Calibri"/>
          <w:sz w:val="22"/>
          <w:szCs w:val="22"/>
        </w:rPr>
        <w:t xml:space="preserve"> or even unheard of</w:t>
      </w:r>
      <w:r w:rsidR="007D5899">
        <w:rPr>
          <w:rFonts w:ascii="Calibri" w:hAnsi="Calibri" w:cs="Calibri"/>
          <w:sz w:val="22"/>
          <w:szCs w:val="22"/>
        </w:rPr>
        <w:t>;</w:t>
      </w:r>
      <w:r w:rsidR="007E4990">
        <w:rPr>
          <w:rFonts w:ascii="Calibri" w:hAnsi="Calibri" w:cs="Calibri"/>
          <w:sz w:val="22"/>
          <w:szCs w:val="22"/>
        </w:rPr>
        <w:t xml:space="preserve"> </w:t>
      </w:r>
      <w:proofErr w:type="gramStart"/>
      <w:r w:rsidR="00012F60">
        <w:rPr>
          <w:rFonts w:ascii="Calibri" w:hAnsi="Calibri" w:cs="Calibri"/>
          <w:sz w:val="22"/>
          <w:szCs w:val="22"/>
        </w:rPr>
        <w:t>required</w:t>
      </w:r>
      <w:proofErr w:type="gramEnd"/>
      <w:r w:rsidR="00012F60">
        <w:rPr>
          <w:rFonts w:ascii="Calibri" w:hAnsi="Calibri" w:cs="Calibri"/>
          <w:sz w:val="22"/>
          <w:szCs w:val="22"/>
        </w:rPr>
        <w:t xml:space="preserve"> only of those most </w:t>
      </w:r>
      <w:r w:rsidR="00D0413F">
        <w:rPr>
          <w:rFonts w:ascii="Calibri" w:hAnsi="Calibri" w:cs="Calibri"/>
          <w:sz w:val="22"/>
          <w:szCs w:val="22"/>
        </w:rPr>
        <w:t>sociologically</w:t>
      </w:r>
      <w:r w:rsidR="007D5899">
        <w:rPr>
          <w:rFonts w:ascii="Calibri" w:hAnsi="Calibri" w:cs="Calibri"/>
          <w:sz w:val="22"/>
          <w:szCs w:val="22"/>
        </w:rPr>
        <w:t xml:space="preserve"> minded</w:t>
      </w:r>
      <w:r w:rsidR="00012F60">
        <w:rPr>
          <w:rFonts w:ascii="Calibri" w:hAnsi="Calibri" w:cs="Calibri"/>
          <w:sz w:val="22"/>
          <w:szCs w:val="22"/>
        </w:rPr>
        <w:t xml:space="preserve"> of scholars</w:t>
      </w:r>
      <w:r w:rsidR="00C8754A">
        <w:rPr>
          <w:rFonts w:ascii="Calibri" w:hAnsi="Calibri" w:cs="Calibri"/>
          <w:sz w:val="22"/>
          <w:szCs w:val="22"/>
        </w:rPr>
        <w:t xml:space="preserve">. </w:t>
      </w:r>
      <w:r w:rsidR="002D633D">
        <w:rPr>
          <w:rFonts w:ascii="Calibri" w:hAnsi="Calibri" w:cs="Calibri"/>
          <w:sz w:val="22"/>
          <w:szCs w:val="22"/>
        </w:rPr>
        <w:t xml:space="preserve">Yet many areas of legal research, especially those interdisciplinary works, which draw upon broader </w:t>
      </w:r>
      <w:r w:rsidR="007C0761">
        <w:rPr>
          <w:rFonts w:ascii="Calibri" w:hAnsi="Calibri" w:cs="Calibri"/>
          <w:sz w:val="22"/>
          <w:szCs w:val="22"/>
        </w:rPr>
        <w:t>social sciences</w:t>
      </w:r>
      <w:r w:rsidR="002D633D">
        <w:rPr>
          <w:rFonts w:ascii="Calibri" w:hAnsi="Calibri" w:cs="Calibri"/>
          <w:sz w:val="22"/>
          <w:szCs w:val="22"/>
        </w:rPr>
        <w:t xml:space="preserve">, </w:t>
      </w:r>
      <w:r w:rsidR="00762CEF">
        <w:rPr>
          <w:rFonts w:ascii="Calibri" w:hAnsi="Calibri" w:cs="Calibri"/>
          <w:sz w:val="22"/>
          <w:szCs w:val="22"/>
        </w:rPr>
        <w:t>c</w:t>
      </w:r>
      <w:r w:rsidR="002D633D">
        <w:rPr>
          <w:rFonts w:ascii="Calibri" w:hAnsi="Calibri" w:cs="Calibri"/>
          <w:sz w:val="22"/>
          <w:szCs w:val="22"/>
        </w:rPr>
        <w:t xml:space="preserve">ould </w:t>
      </w:r>
      <w:proofErr w:type="gramStart"/>
      <w:r w:rsidR="002D633D">
        <w:rPr>
          <w:rFonts w:ascii="Calibri" w:hAnsi="Calibri" w:cs="Calibri"/>
          <w:sz w:val="22"/>
          <w:szCs w:val="22"/>
        </w:rPr>
        <w:t>benefit</w:t>
      </w:r>
      <w:proofErr w:type="gramEnd"/>
      <w:r w:rsidR="002D633D">
        <w:rPr>
          <w:rFonts w:ascii="Calibri" w:hAnsi="Calibri" w:cs="Calibri"/>
          <w:sz w:val="22"/>
          <w:szCs w:val="22"/>
        </w:rPr>
        <w:t xml:space="preserve"> </w:t>
      </w:r>
      <w:r w:rsidR="007C0761">
        <w:rPr>
          <w:rFonts w:ascii="Calibri" w:hAnsi="Calibri" w:cs="Calibri"/>
          <w:sz w:val="22"/>
          <w:szCs w:val="22"/>
        </w:rPr>
        <w:t>from</w:t>
      </w:r>
      <w:r w:rsidR="002D633D">
        <w:rPr>
          <w:rFonts w:ascii="Calibri" w:hAnsi="Calibri" w:cs="Calibri"/>
          <w:sz w:val="22"/>
          <w:szCs w:val="22"/>
        </w:rPr>
        <w:t xml:space="preserve"> engagement with these methodological tools. </w:t>
      </w:r>
    </w:p>
    <w:p w14:paraId="74E56134" w14:textId="77777777" w:rsidR="00F6249A" w:rsidRDefault="00F6249A" w:rsidP="00EA1A5A">
      <w:pPr>
        <w:jc w:val="both"/>
        <w:rPr>
          <w:rFonts w:ascii="Calibri" w:hAnsi="Calibri" w:cs="Calibri"/>
          <w:sz w:val="22"/>
          <w:szCs w:val="22"/>
        </w:rPr>
      </w:pPr>
    </w:p>
    <w:p w14:paraId="6C53F150" w14:textId="637AAF63" w:rsidR="00B171C8" w:rsidRDefault="00B40081" w:rsidP="00EA1A5A">
      <w:pPr>
        <w:jc w:val="both"/>
        <w:rPr>
          <w:rFonts w:ascii="Calibri" w:hAnsi="Calibri" w:cs="Calibri"/>
          <w:sz w:val="22"/>
          <w:szCs w:val="22"/>
        </w:rPr>
      </w:pPr>
      <w:r>
        <w:rPr>
          <w:rFonts w:ascii="Calibri" w:hAnsi="Calibri" w:cs="Calibri"/>
          <w:sz w:val="22"/>
          <w:szCs w:val="22"/>
        </w:rPr>
        <w:t>T</w:t>
      </w:r>
      <w:r w:rsidR="0044684F">
        <w:rPr>
          <w:rFonts w:ascii="Calibri" w:hAnsi="Calibri" w:cs="Calibri"/>
          <w:sz w:val="22"/>
          <w:szCs w:val="22"/>
        </w:rPr>
        <w:t xml:space="preserve">he emergent field of </w:t>
      </w:r>
      <w:r w:rsidR="00BC229B">
        <w:rPr>
          <w:rFonts w:ascii="Calibri" w:hAnsi="Calibri" w:cs="Calibri"/>
          <w:sz w:val="22"/>
          <w:szCs w:val="22"/>
        </w:rPr>
        <w:t>BHR</w:t>
      </w:r>
      <w:r w:rsidR="004F64FE">
        <w:rPr>
          <w:rFonts w:ascii="Calibri" w:hAnsi="Calibri" w:cs="Calibri"/>
          <w:sz w:val="22"/>
          <w:szCs w:val="22"/>
        </w:rPr>
        <w:t xml:space="preserve">, including </w:t>
      </w:r>
      <w:r w:rsidR="00762CEF">
        <w:rPr>
          <w:rFonts w:ascii="Calibri" w:hAnsi="Calibri" w:cs="Calibri"/>
          <w:sz w:val="22"/>
          <w:szCs w:val="22"/>
        </w:rPr>
        <w:t xml:space="preserve">its </w:t>
      </w:r>
      <w:r w:rsidR="004F64FE">
        <w:rPr>
          <w:rFonts w:ascii="Calibri" w:hAnsi="Calibri" w:cs="Calibri"/>
          <w:sz w:val="22"/>
          <w:szCs w:val="22"/>
        </w:rPr>
        <w:t xml:space="preserve">intersection with </w:t>
      </w:r>
      <w:r w:rsidR="00A57716">
        <w:rPr>
          <w:rFonts w:ascii="Calibri" w:hAnsi="Calibri" w:cs="Calibri"/>
          <w:sz w:val="22"/>
          <w:szCs w:val="22"/>
        </w:rPr>
        <w:t>health-rights research,</w:t>
      </w:r>
      <w:r w:rsidR="0044684F">
        <w:rPr>
          <w:rFonts w:ascii="Calibri" w:hAnsi="Calibri" w:cs="Calibri"/>
          <w:sz w:val="22"/>
          <w:szCs w:val="22"/>
        </w:rPr>
        <w:t xml:space="preserve"> </w:t>
      </w:r>
      <w:r w:rsidR="00762CEF">
        <w:rPr>
          <w:rFonts w:ascii="Calibri" w:hAnsi="Calibri" w:cs="Calibri"/>
          <w:sz w:val="22"/>
          <w:szCs w:val="22"/>
        </w:rPr>
        <w:t>is</w:t>
      </w:r>
      <w:r w:rsidR="005137C5">
        <w:rPr>
          <w:rFonts w:ascii="Calibri" w:hAnsi="Calibri" w:cs="Calibri"/>
          <w:sz w:val="22"/>
          <w:szCs w:val="22"/>
        </w:rPr>
        <w:t xml:space="preserve"> an excellent candidate</w:t>
      </w:r>
      <w:r w:rsidR="004F64FE">
        <w:rPr>
          <w:rFonts w:ascii="Calibri" w:hAnsi="Calibri" w:cs="Calibri"/>
          <w:sz w:val="22"/>
          <w:szCs w:val="22"/>
        </w:rPr>
        <w:t xml:space="preserve"> </w:t>
      </w:r>
      <w:r w:rsidR="00CA1B80">
        <w:rPr>
          <w:rFonts w:ascii="Calibri" w:hAnsi="Calibri" w:cs="Calibri"/>
          <w:sz w:val="22"/>
          <w:szCs w:val="22"/>
        </w:rPr>
        <w:t>to draw upon these techniques</w:t>
      </w:r>
      <w:r w:rsidR="005137C5">
        <w:rPr>
          <w:rFonts w:ascii="Calibri" w:hAnsi="Calibri" w:cs="Calibri"/>
          <w:sz w:val="22"/>
          <w:szCs w:val="22"/>
        </w:rPr>
        <w:t xml:space="preserve">. </w:t>
      </w:r>
      <w:r w:rsidR="00C06C78">
        <w:rPr>
          <w:rFonts w:ascii="Calibri" w:hAnsi="Calibri" w:cs="Calibri"/>
          <w:sz w:val="22"/>
          <w:szCs w:val="22"/>
        </w:rPr>
        <w:t>The juncture between socio-legal human rights</w:t>
      </w:r>
      <w:r w:rsidR="00A57716">
        <w:rPr>
          <w:rFonts w:ascii="Calibri" w:hAnsi="Calibri" w:cs="Calibri"/>
          <w:sz w:val="22"/>
          <w:szCs w:val="22"/>
        </w:rPr>
        <w:t>, health,</w:t>
      </w:r>
      <w:r w:rsidR="00C06C78">
        <w:rPr>
          <w:rFonts w:ascii="Calibri" w:hAnsi="Calibri" w:cs="Calibri"/>
          <w:sz w:val="22"/>
          <w:szCs w:val="22"/>
        </w:rPr>
        <w:t xml:space="preserve"> and the study of corporations</w:t>
      </w:r>
      <w:r w:rsidR="00A57716">
        <w:rPr>
          <w:rFonts w:ascii="Calibri" w:hAnsi="Calibri" w:cs="Calibri"/>
          <w:sz w:val="22"/>
          <w:szCs w:val="22"/>
        </w:rPr>
        <w:t>,</w:t>
      </w:r>
      <w:r w:rsidR="00C06C78">
        <w:rPr>
          <w:rFonts w:ascii="Calibri" w:hAnsi="Calibri" w:cs="Calibri"/>
          <w:sz w:val="22"/>
          <w:szCs w:val="22"/>
        </w:rPr>
        <w:t xml:space="preserve"> </w:t>
      </w:r>
      <w:r w:rsidR="00D329D8">
        <w:rPr>
          <w:rFonts w:ascii="Calibri" w:hAnsi="Calibri" w:cs="Calibri"/>
          <w:sz w:val="22"/>
          <w:szCs w:val="22"/>
        </w:rPr>
        <w:t>brings to the fore a chorus of issues for both the researcher and the researched</w:t>
      </w:r>
      <w:r w:rsidR="00A57716">
        <w:rPr>
          <w:rFonts w:ascii="Calibri" w:hAnsi="Calibri" w:cs="Calibri"/>
          <w:sz w:val="22"/>
          <w:szCs w:val="22"/>
        </w:rPr>
        <w:t>;</w:t>
      </w:r>
      <w:r w:rsidR="00331956">
        <w:rPr>
          <w:rFonts w:ascii="Calibri" w:hAnsi="Calibri" w:cs="Calibri"/>
          <w:sz w:val="22"/>
          <w:szCs w:val="22"/>
        </w:rPr>
        <w:t xml:space="preserve"> </w:t>
      </w:r>
      <w:r w:rsidR="00A57716">
        <w:rPr>
          <w:rFonts w:ascii="Calibri" w:hAnsi="Calibri" w:cs="Calibri"/>
          <w:sz w:val="22"/>
          <w:szCs w:val="22"/>
        </w:rPr>
        <w:t>i</w:t>
      </w:r>
      <w:r w:rsidR="00331956">
        <w:rPr>
          <w:rFonts w:ascii="Calibri" w:hAnsi="Calibri" w:cs="Calibri"/>
          <w:sz w:val="22"/>
          <w:szCs w:val="22"/>
        </w:rPr>
        <w:t xml:space="preserve">ssues, which can </w:t>
      </w:r>
      <w:proofErr w:type="gramStart"/>
      <w:r w:rsidR="00331956">
        <w:rPr>
          <w:rFonts w:ascii="Calibri" w:hAnsi="Calibri" w:cs="Calibri"/>
          <w:sz w:val="22"/>
          <w:szCs w:val="22"/>
        </w:rPr>
        <w:t>be addressed</w:t>
      </w:r>
      <w:proofErr w:type="gramEnd"/>
      <w:r w:rsidR="00331956">
        <w:rPr>
          <w:rFonts w:ascii="Calibri" w:hAnsi="Calibri" w:cs="Calibri"/>
          <w:sz w:val="22"/>
          <w:szCs w:val="22"/>
        </w:rPr>
        <w:t xml:space="preserve"> through the proper application and consideration of </w:t>
      </w:r>
      <w:r w:rsidR="00572AA7">
        <w:rPr>
          <w:rFonts w:ascii="Calibri" w:hAnsi="Calibri" w:cs="Calibri"/>
          <w:sz w:val="22"/>
          <w:szCs w:val="22"/>
        </w:rPr>
        <w:t xml:space="preserve">ethics, as well as </w:t>
      </w:r>
      <w:r w:rsidR="00331956">
        <w:rPr>
          <w:rFonts w:ascii="Calibri" w:hAnsi="Calibri" w:cs="Calibri"/>
          <w:sz w:val="22"/>
          <w:szCs w:val="22"/>
        </w:rPr>
        <w:t>the researcher</w:t>
      </w:r>
      <w:r w:rsidR="00A57716">
        <w:rPr>
          <w:rFonts w:ascii="Calibri" w:hAnsi="Calibri" w:cs="Calibri"/>
          <w:sz w:val="22"/>
          <w:szCs w:val="22"/>
        </w:rPr>
        <w:t>’</w:t>
      </w:r>
      <w:r w:rsidR="00331956">
        <w:rPr>
          <w:rFonts w:ascii="Calibri" w:hAnsi="Calibri" w:cs="Calibri"/>
          <w:sz w:val="22"/>
          <w:szCs w:val="22"/>
        </w:rPr>
        <w:t>s positionality, and critical reflexive practice.</w:t>
      </w:r>
      <w:r w:rsidR="00F6249A">
        <w:rPr>
          <w:rFonts w:ascii="Calibri" w:hAnsi="Calibri" w:cs="Calibri"/>
          <w:sz w:val="22"/>
          <w:szCs w:val="22"/>
        </w:rPr>
        <w:t xml:space="preserve"> </w:t>
      </w:r>
      <w:r w:rsidR="00EB448E">
        <w:rPr>
          <w:rFonts w:ascii="Calibri" w:hAnsi="Calibri" w:cs="Calibri"/>
          <w:sz w:val="22"/>
          <w:szCs w:val="22"/>
        </w:rPr>
        <w:t>Researchers</w:t>
      </w:r>
      <w:r w:rsidR="0061049D">
        <w:rPr>
          <w:rFonts w:ascii="Calibri" w:hAnsi="Calibri" w:cs="Calibri"/>
          <w:sz w:val="22"/>
          <w:szCs w:val="22"/>
        </w:rPr>
        <w:t xml:space="preserve"> </w:t>
      </w:r>
      <w:r w:rsidR="00572AA7">
        <w:rPr>
          <w:rFonts w:ascii="Calibri" w:hAnsi="Calibri" w:cs="Calibri"/>
          <w:sz w:val="22"/>
          <w:szCs w:val="22"/>
        </w:rPr>
        <w:t>working</w:t>
      </w:r>
      <w:r w:rsidR="0061049D">
        <w:rPr>
          <w:rFonts w:ascii="Calibri" w:hAnsi="Calibri" w:cs="Calibri"/>
          <w:sz w:val="22"/>
          <w:szCs w:val="22"/>
        </w:rPr>
        <w:t xml:space="preserve"> in this field should be mindful of their position</w:t>
      </w:r>
      <w:r w:rsidR="009B1DB2">
        <w:rPr>
          <w:rFonts w:ascii="Calibri" w:hAnsi="Calibri" w:cs="Calibri"/>
          <w:sz w:val="22"/>
          <w:szCs w:val="22"/>
        </w:rPr>
        <w:t>, both</w:t>
      </w:r>
      <w:r w:rsidR="0061049D">
        <w:rPr>
          <w:rFonts w:ascii="Calibri" w:hAnsi="Calibri" w:cs="Calibri"/>
          <w:sz w:val="22"/>
          <w:szCs w:val="22"/>
        </w:rPr>
        <w:t xml:space="preserve"> </w:t>
      </w:r>
      <w:r w:rsidR="005336CA">
        <w:rPr>
          <w:rFonts w:ascii="Calibri" w:hAnsi="Calibri" w:cs="Calibri"/>
          <w:sz w:val="22"/>
          <w:szCs w:val="22"/>
        </w:rPr>
        <w:t xml:space="preserve">in terms of their power and privilege compared to rights-holders, </w:t>
      </w:r>
      <w:proofErr w:type="gramStart"/>
      <w:r w:rsidR="009B1DB2">
        <w:rPr>
          <w:rFonts w:ascii="Calibri" w:hAnsi="Calibri" w:cs="Calibri"/>
          <w:sz w:val="22"/>
          <w:szCs w:val="22"/>
        </w:rPr>
        <w:t>and also</w:t>
      </w:r>
      <w:proofErr w:type="gramEnd"/>
      <w:r w:rsidR="009B1DB2">
        <w:rPr>
          <w:rFonts w:ascii="Calibri" w:hAnsi="Calibri" w:cs="Calibri"/>
          <w:sz w:val="22"/>
          <w:szCs w:val="22"/>
        </w:rPr>
        <w:t xml:space="preserve"> in </w:t>
      </w:r>
      <w:r w:rsidR="00EB448E">
        <w:rPr>
          <w:rFonts w:ascii="Calibri" w:hAnsi="Calibri" w:cs="Calibri"/>
          <w:sz w:val="22"/>
          <w:szCs w:val="22"/>
        </w:rPr>
        <w:t xml:space="preserve">terms of their own vulnerability in relation to </w:t>
      </w:r>
      <w:r w:rsidR="009B1DB2">
        <w:rPr>
          <w:rFonts w:ascii="Calibri" w:hAnsi="Calibri" w:cs="Calibri"/>
          <w:sz w:val="22"/>
          <w:szCs w:val="22"/>
        </w:rPr>
        <w:t xml:space="preserve">powerful </w:t>
      </w:r>
      <w:r w:rsidR="00EB448E">
        <w:rPr>
          <w:rFonts w:ascii="Calibri" w:hAnsi="Calibri" w:cs="Calibri"/>
          <w:sz w:val="22"/>
          <w:szCs w:val="22"/>
        </w:rPr>
        <w:t xml:space="preserve">corporate actors. </w:t>
      </w:r>
      <w:r w:rsidR="00C273D2">
        <w:rPr>
          <w:rFonts w:ascii="Calibri" w:hAnsi="Calibri" w:cs="Calibri"/>
          <w:sz w:val="22"/>
          <w:szCs w:val="22"/>
        </w:rPr>
        <w:t xml:space="preserve">Furthermore, the lack of direct participants should not absolve the desk-based researcher of </w:t>
      </w:r>
      <w:r w:rsidR="007C2AEC">
        <w:rPr>
          <w:rFonts w:ascii="Calibri" w:hAnsi="Calibri" w:cs="Calibri"/>
          <w:sz w:val="22"/>
          <w:szCs w:val="22"/>
        </w:rPr>
        <w:t xml:space="preserve">the necessary ethical considerations; accounting for the </w:t>
      </w:r>
      <w:r w:rsidR="008E493F">
        <w:rPr>
          <w:rFonts w:ascii="Calibri" w:hAnsi="Calibri" w:cs="Calibri"/>
          <w:sz w:val="22"/>
          <w:szCs w:val="22"/>
        </w:rPr>
        <w:t>real, human experiences</w:t>
      </w:r>
      <w:r w:rsidR="007C2AEC">
        <w:rPr>
          <w:rFonts w:ascii="Calibri" w:hAnsi="Calibri" w:cs="Calibri"/>
          <w:sz w:val="22"/>
          <w:szCs w:val="22"/>
        </w:rPr>
        <w:t xml:space="preserve"> which rest behind the written word. </w:t>
      </w:r>
      <w:r w:rsidR="00EB448E">
        <w:rPr>
          <w:rFonts w:ascii="Calibri" w:hAnsi="Calibri" w:cs="Calibri"/>
          <w:sz w:val="22"/>
          <w:szCs w:val="22"/>
        </w:rPr>
        <w:t xml:space="preserve">At the same time, </w:t>
      </w:r>
      <w:r w:rsidR="009B1DB2">
        <w:rPr>
          <w:rFonts w:ascii="Calibri" w:hAnsi="Calibri" w:cs="Calibri"/>
          <w:sz w:val="22"/>
          <w:szCs w:val="22"/>
        </w:rPr>
        <w:t>researchers</w:t>
      </w:r>
      <w:r w:rsidR="00EB448E">
        <w:rPr>
          <w:rFonts w:ascii="Calibri" w:hAnsi="Calibri" w:cs="Calibri"/>
          <w:sz w:val="22"/>
          <w:szCs w:val="22"/>
        </w:rPr>
        <w:t xml:space="preserve"> seeking pragmatic solution</w:t>
      </w:r>
      <w:r w:rsidR="009B1DB2">
        <w:rPr>
          <w:rFonts w:ascii="Calibri" w:hAnsi="Calibri" w:cs="Calibri"/>
          <w:sz w:val="22"/>
          <w:szCs w:val="22"/>
        </w:rPr>
        <w:t>s</w:t>
      </w:r>
      <w:r w:rsidR="00EB448E">
        <w:rPr>
          <w:rFonts w:ascii="Calibri" w:hAnsi="Calibri" w:cs="Calibri"/>
          <w:sz w:val="22"/>
          <w:szCs w:val="22"/>
        </w:rPr>
        <w:t xml:space="preserve"> to </w:t>
      </w:r>
      <w:r w:rsidR="00BC229B">
        <w:rPr>
          <w:rFonts w:ascii="Calibri" w:hAnsi="Calibri" w:cs="Calibri"/>
          <w:sz w:val="22"/>
          <w:szCs w:val="22"/>
        </w:rPr>
        <w:t>BHR</w:t>
      </w:r>
      <w:r w:rsidR="00EB448E">
        <w:rPr>
          <w:rFonts w:ascii="Calibri" w:hAnsi="Calibri" w:cs="Calibri"/>
          <w:sz w:val="22"/>
          <w:szCs w:val="22"/>
        </w:rPr>
        <w:t xml:space="preserve"> issues </w:t>
      </w:r>
      <w:r w:rsidR="009B1DB2">
        <w:rPr>
          <w:rFonts w:ascii="Calibri" w:hAnsi="Calibri" w:cs="Calibri"/>
          <w:sz w:val="22"/>
          <w:szCs w:val="22"/>
        </w:rPr>
        <w:t>may</w:t>
      </w:r>
      <w:r w:rsidR="00EB448E">
        <w:rPr>
          <w:rFonts w:ascii="Calibri" w:hAnsi="Calibri" w:cs="Calibri"/>
          <w:sz w:val="22"/>
          <w:szCs w:val="22"/>
        </w:rPr>
        <w:t xml:space="preserve"> also </w:t>
      </w:r>
      <w:r w:rsidR="009B1DB2">
        <w:rPr>
          <w:rFonts w:ascii="Calibri" w:hAnsi="Calibri" w:cs="Calibri"/>
          <w:sz w:val="22"/>
          <w:szCs w:val="22"/>
        </w:rPr>
        <w:t xml:space="preserve">wish to </w:t>
      </w:r>
      <w:r w:rsidR="00272D5C">
        <w:rPr>
          <w:rFonts w:ascii="Calibri" w:hAnsi="Calibri" w:cs="Calibri"/>
          <w:sz w:val="22"/>
          <w:szCs w:val="22"/>
        </w:rPr>
        <w:t>reflect upon the way in which they conduct and produce their research</w:t>
      </w:r>
      <w:r w:rsidR="00B32608">
        <w:rPr>
          <w:rFonts w:ascii="Calibri" w:hAnsi="Calibri" w:cs="Calibri"/>
          <w:sz w:val="22"/>
          <w:szCs w:val="22"/>
        </w:rPr>
        <w:t xml:space="preserve">. Given the voluntary nature </w:t>
      </w:r>
      <w:r w:rsidR="00006AE6">
        <w:rPr>
          <w:rFonts w:ascii="Calibri" w:hAnsi="Calibri" w:cs="Calibri"/>
          <w:sz w:val="22"/>
          <w:szCs w:val="22"/>
        </w:rPr>
        <w:t>the corporate-human rights relationship, researchers must also</w:t>
      </w:r>
      <w:r w:rsidR="007B3468">
        <w:rPr>
          <w:rFonts w:ascii="Calibri" w:hAnsi="Calibri" w:cs="Calibri"/>
          <w:sz w:val="22"/>
          <w:szCs w:val="22"/>
        </w:rPr>
        <w:t xml:space="preserve"> be mindful of how their research might </w:t>
      </w:r>
      <w:proofErr w:type="gramStart"/>
      <w:r w:rsidR="007B3468">
        <w:rPr>
          <w:rFonts w:ascii="Calibri" w:hAnsi="Calibri" w:cs="Calibri"/>
          <w:sz w:val="22"/>
          <w:szCs w:val="22"/>
        </w:rPr>
        <w:t>impact</w:t>
      </w:r>
      <w:proofErr w:type="gramEnd"/>
      <w:r w:rsidR="007B3468">
        <w:rPr>
          <w:rFonts w:ascii="Calibri" w:hAnsi="Calibri" w:cs="Calibri"/>
          <w:sz w:val="22"/>
          <w:szCs w:val="22"/>
        </w:rPr>
        <w:t xml:space="preserve"> upon the success of </w:t>
      </w:r>
      <w:r w:rsidR="008075BD">
        <w:rPr>
          <w:rFonts w:ascii="Calibri" w:hAnsi="Calibri" w:cs="Calibri"/>
          <w:sz w:val="22"/>
          <w:szCs w:val="22"/>
        </w:rPr>
        <w:t xml:space="preserve">any </w:t>
      </w:r>
      <w:r w:rsidR="007B3468">
        <w:rPr>
          <w:rFonts w:ascii="Calibri" w:hAnsi="Calibri" w:cs="Calibri"/>
          <w:sz w:val="22"/>
          <w:szCs w:val="22"/>
        </w:rPr>
        <w:t xml:space="preserve">negotiations and voluntary </w:t>
      </w:r>
      <w:r w:rsidR="008075BD">
        <w:rPr>
          <w:rFonts w:ascii="Calibri" w:hAnsi="Calibri" w:cs="Calibri"/>
          <w:sz w:val="22"/>
          <w:szCs w:val="22"/>
        </w:rPr>
        <w:t xml:space="preserve">agreements made by corporations in relation to their human rights </w:t>
      </w:r>
      <w:r w:rsidR="00006AE6">
        <w:rPr>
          <w:rFonts w:ascii="Calibri" w:hAnsi="Calibri" w:cs="Calibri"/>
          <w:sz w:val="22"/>
          <w:szCs w:val="22"/>
        </w:rPr>
        <w:t>obligations</w:t>
      </w:r>
      <w:r w:rsidR="008075BD">
        <w:rPr>
          <w:rFonts w:ascii="Calibri" w:hAnsi="Calibri" w:cs="Calibri"/>
          <w:sz w:val="22"/>
          <w:szCs w:val="22"/>
        </w:rPr>
        <w:t xml:space="preserve">. </w:t>
      </w:r>
    </w:p>
    <w:p w14:paraId="27BE4FF2" w14:textId="4B0DB016" w:rsidR="00CA1B80" w:rsidRDefault="00CA1B80" w:rsidP="00EA1A5A">
      <w:pPr>
        <w:jc w:val="both"/>
        <w:rPr>
          <w:rFonts w:ascii="Calibri" w:hAnsi="Calibri" w:cs="Calibri"/>
          <w:sz w:val="22"/>
          <w:szCs w:val="22"/>
        </w:rPr>
      </w:pPr>
    </w:p>
    <w:p w14:paraId="6729062B" w14:textId="36BD404D" w:rsidR="00CA1B80" w:rsidRDefault="001208F1" w:rsidP="00EA1A5A">
      <w:pPr>
        <w:jc w:val="both"/>
        <w:rPr>
          <w:rFonts w:ascii="Calibri" w:hAnsi="Calibri" w:cs="Calibri"/>
          <w:sz w:val="22"/>
          <w:szCs w:val="22"/>
        </w:rPr>
      </w:pPr>
      <w:r>
        <w:rPr>
          <w:rFonts w:ascii="Calibri" w:hAnsi="Calibri" w:cs="Calibri"/>
          <w:sz w:val="22"/>
          <w:szCs w:val="22"/>
        </w:rPr>
        <w:t xml:space="preserve">Whether </w:t>
      </w:r>
      <w:proofErr w:type="gramStart"/>
      <w:r>
        <w:rPr>
          <w:rFonts w:ascii="Calibri" w:hAnsi="Calibri" w:cs="Calibri"/>
          <w:sz w:val="22"/>
          <w:szCs w:val="22"/>
        </w:rPr>
        <w:t>apparent</w:t>
      </w:r>
      <w:proofErr w:type="gramEnd"/>
      <w:r>
        <w:rPr>
          <w:rFonts w:ascii="Calibri" w:hAnsi="Calibri" w:cs="Calibri"/>
          <w:sz w:val="22"/>
          <w:szCs w:val="22"/>
        </w:rPr>
        <w:t xml:space="preserve"> or not, consideration of the ethical quandies of research</w:t>
      </w:r>
      <w:r w:rsidR="00161ECB">
        <w:rPr>
          <w:rFonts w:ascii="Calibri" w:hAnsi="Calibri" w:cs="Calibri"/>
          <w:sz w:val="22"/>
          <w:szCs w:val="22"/>
        </w:rPr>
        <w:t>;</w:t>
      </w:r>
      <w:r>
        <w:rPr>
          <w:rFonts w:ascii="Calibri" w:hAnsi="Calibri" w:cs="Calibri"/>
          <w:sz w:val="22"/>
          <w:szCs w:val="22"/>
        </w:rPr>
        <w:t xml:space="preserve"> </w:t>
      </w:r>
      <w:r w:rsidR="00161ECB">
        <w:rPr>
          <w:rFonts w:ascii="Calibri" w:hAnsi="Calibri" w:cs="Calibri"/>
          <w:sz w:val="22"/>
          <w:szCs w:val="22"/>
        </w:rPr>
        <w:t xml:space="preserve">interrogation </w:t>
      </w:r>
      <w:r>
        <w:rPr>
          <w:rFonts w:ascii="Calibri" w:hAnsi="Calibri" w:cs="Calibri"/>
          <w:sz w:val="22"/>
          <w:szCs w:val="22"/>
        </w:rPr>
        <w:t>of the position of the researcher</w:t>
      </w:r>
      <w:r w:rsidR="00161ECB">
        <w:rPr>
          <w:rFonts w:ascii="Calibri" w:hAnsi="Calibri" w:cs="Calibri"/>
          <w:sz w:val="22"/>
          <w:szCs w:val="22"/>
        </w:rPr>
        <w:t>,</w:t>
      </w:r>
      <w:r>
        <w:rPr>
          <w:rFonts w:ascii="Calibri" w:hAnsi="Calibri" w:cs="Calibri"/>
          <w:sz w:val="22"/>
          <w:szCs w:val="22"/>
        </w:rPr>
        <w:t xml:space="preserve"> and </w:t>
      </w:r>
      <w:r w:rsidR="00161ECB">
        <w:rPr>
          <w:rFonts w:ascii="Calibri" w:hAnsi="Calibri" w:cs="Calibri"/>
          <w:sz w:val="22"/>
          <w:szCs w:val="22"/>
        </w:rPr>
        <w:t>reflection</w:t>
      </w:r>
      <w:r>
        <w:rPr>
          <w:rFonts w:ascii="Calibri" w:hAnsi="Calibri" w:cs="Calibri"/>
          <w:sz w:val="22"/>
          <w:szCs w:val="22"/>
        </w:rPr>
        <w:t xml:space="preserve"> upon </w:t>
      </w:r>
      <w:r w:rsidR="00161ECB">
        <w:rPr>
          <w:rFonts w:ascii="Calibri" w:hAnsi="Calibri" w:cs="Calibri"/>
          <w:sz w:val="22"/>
          <w:szCs w:val="22"/>
        </w:rPr>
        <w:t>the nuances and difficulties posed by the research</w:t>
      </w:r>
      <w:r w:rsidR="00D178CE">
        <w:rPr>
          <w:rFonts w:ascii="Calibri" w:hAnsi="Calibri" w:cs="Calibri"/>
          <w:sz w:val="22"/>
          <w:szCs w:val="22"/>
        </w:rPr>
        <w:t xml:space="preserve"> field</w:t>
      </w:r>
      <w:r w:rsidR="00161ECB">
        <w:rPr>
          <w:rFonts w:ascii="Calibri" w:hAnsi="Calibri" w:cs="Calibri"/>
          <w:sz w:val="22"/>
          <w:szCs w:val="22"/>
        </w:rPr>
        <w:t xml:space="preserve"> are all </w:t>
      </w:r>
      <w:r w:rsidR="00D178CE">
        <w:rPr>
          <w:rFonts w:ascii="Calibri" w:hAnsi="Calibri" w:cs="Calibri"/>
          <w:sz w:val="22"/>
          <w:szCs w:val="22"/>
        </w:rPr>
        <w:t>processes which have the potential to benefit desk-based socio-legal research.</w:t>
      </w:r>
      <w:r w:rsidR="00EF5848">
        <w:rPr>
          <w:rFonts w:ascii="Calibri" w:hAnsi="Calibri" w:cs="Calibri"/>
          <w:sz w:val="22"/>
          <w:szCs w:val="22"/>
        </w:rPr>
        <w:t xml:space="preserve"> I hope that this </w:t>
      </w:r>
      <w:r w:rsidR="004A52B5">
        <w:rPr>
          <w:rFonts w:ascii="Calibri" w:hAnsi="Calibri" w:cs="Calibri"/>
          <w:sz w:val="22"/>
          <w:szCs w:val="22"/>
        </w:rPr>
        <w:t xml:space="preserve">paper can serve as an example of how these tools, integral to field-based research, can </w:t>
      </w:r>
      <w:proofErr w:type="gramStart"/>
      <w:r w:rsidR="004A52B5">
        <w:rPr>
          <w:rFonts w:ascii="Calibri" w:hAnsi="Calibri" w:cs="Calibri"/>
          <w:sz w:val="22"/>
          <w:szCs w:val="22"/>
        </w:rPr>
        <w:t>be effectively deployed</w:t>
      </w:r>
      <w:proofErr w:type="gramEnd"/>
      <w:r w:rsidR="004A52B5">
        <w:rPr>
          <w:rFonts w:ascii="Calibri" w:hAnsi="Calibri" w:cs="Calibri"/>
          <w:sz w:val="22"/>
          <w:szCs w:val="22"/>
        </w:rPr>
        <w:t xml:space="preserve"> within desk-based</w:t>
      </w:r>
      <w:r w:rsidR="00E7363E">
        <w:rPr>
          <w:rFonts w:ascii="Calibri" w:hAnsi="Calibri" w:cs="Calibri"/>
          <w:sz w:val="22"/>
          <w:szCs w:val="22"/>
        </w:rPr>
        <w:t xml:space="preserve"> socio-legal</w:t>
      </w:r>
      <w:r w:rsidR="004A52B5">
        <w:rPr>
          <w:rFonts w:ascii="Calibri" w:hAnsi="Calibri" w:cs="Calibri"/>
          <w:sz w:val="22"/>
          <w:szCs w:val="22"/>
        </w:rPr>
        <w:t xml:space="preserve"> research</w:t>
      </w:r>
      <w:r w:rsidR="00BC27C6">
        <w:rPr>
          <w:rFonts w:ascii="Calibri" w:hAnsi="Calibri" w:cs="Calibri"/>
          <w:sz w:val="22"/>
          <w:szCs w:val="22"/>
        </w:rPr>
        <w:t>.</w:t>
      </w:r>
    </w:p>
    <w:p w14:paraId="36A90D51" w14:textId="0E70B478" w:rsidR="00BA0844" w:rsidRDefault="00BA0844" w:rsidP="00EA1A5A">
      <w:pPr>
        <w:jc w:val="both"/>
        <w:rPr>
          <w:rFonts w:ascii="Calibri" w:hAnsi="Calibri" w:cs="Calibri"/>
          <w:sz w:val="22"/>
          <w:szCs w:val="22"/>
        </w:rPr>
      </w:pPr>
    </w:p>
    <w:p w14:paraId="4DBDF72D" w14:textId="77777777" w:rsidR="00CB739D" w:rsidRDefault="00CB739D" w:rsidP="00EA1A5A">
      <w:pPr>
        <w:jc w:val="both"/>
        <w:rPr>
          <w:rFonts w:ascii="Calibri" w:hAnsi="Calibri" w:cs="Calibri"/>
          <w:sz w:val="22"/>
          <w:szCs w:val="22"/>
        </w:rPr>
      </w:pPr>
    </w:p>
    <w:p w14:paraId="49BC5409" w14:textId="34402AE9" w:rsidR="002A442E" w:rsidRPr="00CB739D" w:rsidRDefault="00CB739D" w:rsidP="00CB739D">
      <w:pPr>
        <w:rPr>
          <w:rFonts w:ascii="Calibri" w:hAnsi="Calibri" w:cs="Calibri"/>
          <w:b/>
          <w:bCs/>
          <w:sz w:val="22"/>
          <w:szCs w:val="22"/>
        </w:rPr>
      </w:pPr>
      <w:r w:rsidRPr="00CB739D">
        <w:rPr>
          <w:rFonts w:ascii="Calibri" w:hAnsi="Calibri" w:cs="Calibri"/>
          <w:b/>
          <w:bCs/>
          <w:sz w:val="22"/>
          <w:szCs w:val="22"/>
        </w:rPr>
        <w:t>References</w:t>
      </w:r>
    </w:p>
    <w:p w14:paraId="6EC8631E" w14:textId="7EEB7954" w:rsidR="00FF662F" w:rsidRDefault="00FF662F" w:rsidP="00EA1A5A">
      <w:pPr>
        <w:jc w:val="both"/>
        <w:rPr>
          <w:rFonts w:ascii="Calibri" w:hAnsi="Calibri" w:cs="Calibri"/>
          <w:sz w:val="22"/>
          <w:szCs w:val="22"/>
        </w:rPr>
      </w:pPr>
    </w:p>
    <w:p w14:paraId="681AE45D" w14:textId="6C1CD24F" w:rsidR="00054C8C" w:rsidRPr="00054C8C" w:rsidRDefault="00054C8C" w:rsidP="001E3E78">
      <w:pPr>
        <w:spacing w:after="240" w:line="276" w:lineRule="auto"/>
        <w:jc w:val="both"/>
        <w:rPr>
          <w:rFonts w:ascii="Calibri" w:hAnsi="Calibri" w:cs="Calibri"/>
          <w:sz w:val="22"/>
          <w:szCs w:val="22"/>
        </w:rPr>
      </w:pPr>
      <w:proofErr w:type="spellStart"/>
      <w:r w:rsidRPr="00054C8C">
        <w:rPr>
          <w:rFonts w:ascii="Calibri" w:hAnsi="Calibri" w:cs="Calibri"/>
          <w:sz w:val="22"/>
          <w:szCs w:val="22"/>
        </w:rPr>
        <w:t>Bilchitz</w:t>
      </w:r>
      <w:proofErr w:type="spellEnd"/>
      <w:r w:rsidRPr="00054C8C">
        <w:rPr>
          <w:rFonts w:ascii="Calibri" w:hAnsi="Calibri" w:cs="Calibri"/>
          <w:sz w:val="22"/>
          <w:szCs w:val="22"/>
        </w:rPr>
        <w:t xml:space="preserve">, D. (2016) ‘The Necessity for a </w:t>
      </w:r>
      <w:r w:rsidR="00481D86">
        <w:rPr>
          <w:rFonts w:ascii="Calibri" w:hAnsi="Calibri" w:cs="Calibri"/>
          <w:sz w:val="22"/>
          <w:szCs w:val="22"/>
        </w:rPr>
        <w:t>‘Business and Human Rights’</w:t>
      </w:r>
      <w:r w:rsidRPr="00054C8C">
        <w:rPr>
          <w:rFonts w:ascii="Calibri" w:hAnsi="Calibri" w:cs="Calibri"/>
          <w:sz w:val="22"/>
          <w:szCs w:val="22"/>
        </w:rPr>
        <w:t xml:space="preserve"> Treaty’, </w:t>
      </w:r>
      <w:r w:rsidR="00481D86">
        <w:rPr>
          <w:rFonts w:ascii="Calibri" w:hAnsi="Calibri" w:cs="Calibri"/>
          <w:sz w:val="22"/>
          <w:szCs w:val="22"/>
        </w:rPr>
        <w:t>‘Business and Human Rights’</w:t>
      </w:r>
      <w:r w:rsidRPr="00054C8C">
        <w:rPr>
          <w:rFonts w:ascii="Calibri" w:hAnsi="Calibri" w:cs="Calibri"/>
          <w:sz w:val="22"/>
          <w:szCs w:val="22"/>
        </w:rPr>
        <w:t xml:space="preserve"> Journal, 1(2), pp. 203–227.</w:t>
      </w:r>
    </w:p>
    <w:p w14:paraId="6AB7BDB1"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Bourke, B. (2014) ‘Positionality: Reflecting on the research process’, The Qualitative Report, 19(33), pp. 1–9.</w:t>
      </w:r>
    </w:p>
    <w:p w14:paraId="25F51D73"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 xml:space="preserve">Brazier, M. and Cave, E. (2016) Medicine, </w:t>
      </w:r>
      <w:proofErr w:type="gramStart"/>
      <w:r w:rsidRPr="00054C8C">
        <w:rPr>
          <w:rFonts w:ascii="Calibri" w:hAnsi="Calibri" w:cs="Calibri"/>
          <w:sz w:val="22"/>
          <w:szCs w:val="22"/>
        </w:rPr>
        <w:t>Patients</w:t>
      </w:r>
      <w:proofErr w:type="gramEnd"/>
      <w:r w:rsidRPr="00054C8C">
        <w:rPr>
          <w:rFonts w:ascii="Calibri" w:hAnsi="Calibri" w:cs="Calibri"/>
          <w:sz w:val="22"/>
          <w:szCs w:val="22"/>
        </w:rPr>
        <w:t xml:space="preserve"> and the Law. 6th </w:t>
      </w:r>
      <w:proofErr w:type="spellStart"/>
      <w:r w:rsidRPr="00054C8C">
        <w:rPr>
          <w:rFonts w:ascii="Calibri" w:hAnsi="Calibri" w:cs="Calibri"/>
          <w:sz w:val="22"/>
          <w:szCs w:val="22"/>
        </w:rPr>
        <w:t>edn</w:t>
      </w:r>
      <w:proofErr w:type="spellEnd"/>
      <w:r w:rsidRPr="00054C8C">
        <w:rPr>
          <w:rFonts w:ascii="Calibri" w:hAnsi="Calibri" w:cs="Calibri"/>
          <w:sz w:val="22"/>
          <w:szCs w:val="22"/>
        </w:rPr>
        <w:t>. Manchester University Press.</w:t>
      </w:r>
    </w:p>
    <w:p w14:paraId="477778B4" w14:textId="77777777" w:rsidR="00054C8C" w:rsidRPr="00054C8C" w:rsidRDefault="00054C8C" w:rsidP="001E3E78">
      <w:pPr>
        <w:spacing w:after="240" w:line="276" w:lineRule="auto"/>
        <w:jc w:val="both"/>
        <w:rPr>
          <w:rFonts w:ascii="Calibri" w:hAnsi="Calibri" w:cs="Calibri"/>
          <w:sz w:val="22"/>
          <w:szCs w:val="22"/>
        </w:rPr>
      </w:pPr>
      <w:proofErr w:type="spellStart"/>
      <w:r w:rsidRPr="00054C8C">
        <w:rPr>
          <w:rFonts w:ascii="Calibri" w:hAnsi="Calibri" w:cs="Calibri"/>
          <w:sz w:val="22"/>
          <w:szCs w:val="22"/>
        </w:rPr>
        <w:t>Brems</w:t>
      </w:r>
      <w:proofErr w:type="spellEnd"/>
      <w:r w:rsidRPr="00054C8C">
        <w:rPr>
          <w:rFonts w:ascii="Calibri" w:hAnsi="Calibri" w:cs="Calibri"/>
          <w:sz w:val="22"/>
          <w:szCs w:val="22"/>
        </w:rPr>
        <w:t>, E. (2009) ‘Methods in Legal Human Rights Research’, Methods of Human Rights Research, p. 77.</w:t>
      </w:r>
    </w:p>
    <w:p w14:paraId="6722F08B" w14:textId="78BD122F" w:rsidR="009C3E46" w:rsidRDefault="009C3E46" w:rsidP="001E3E78">
      <w:pPr>
        <w:spacing w:after="240" w:line="276" w:lineRule="auto"/>
        <w:jc w:val="both"/>
        <w:rPr>
          <w:rFonts w:ascii="Calibri" w:hAnsi="Calibri" w:cs="Calibri"/>
          <w:sz w:val="22"/>
          <w:szCs w:val="22"/>
        </w:rPr>
      </w:pPr>
      <w:r>
        <w:rPr>
          <w:rFonts w:ascii="Calibri" w:hAnsi="Calibri" w:cs="Calibri"/>
          <w:sz w:val="22"/>
          <w:szCs w:val="22"/>
        </w:rPr>
        <w:t>Bryman</w:t>
      </w:r>
      <w:r w:rsidR="00EC6E22">
        <w:rPr>
          <w:rFonts w:ascii="Calibri" w:hAnsi="Calibri" w:cs="Calibri"/>
          <w:sz w:val="22"/>
          <w:szCs w:val="22"/>
        </w:rPr>
        <w:t>, A.</w:t>
      </w:r>
      <w:r>
        <w:rPr>
          <w:rFonts w:ascii="Calibri" w:hAnsi="Calibri" w:cs="Calibri"/>
          <w:sz w:val="22"/>
          <w:szCs w:val="22"/>
        </w:rPr>
        <w:t xml:space="preserve"> (2016)</w:t>
      </w:r>
      <w:r w:rsidR="00EC6E22">
        <w:rPr>
          <w:rFonts w:ascii="Calibri" w:hAnsi="Calibri" w:cs="Calibri"/>
          <w:sz w:val="22"/>
          <w:szCs w:val="22"/>
        </w:rPr>
        <w:t xml:space="preserve"> Social Research Methods, Oxford University Press</w:t>
      </w:r>
      <w:r w:rsidR="000149B8">
        <w:rPr>
          <w:rFonts w:ascii="Calibri" w:hAnsi="Calibri" w:cs="Calibri"/>
          <w:sz w:val="22"/>
          <w:szCs w:val="22"/>
        </w:rPr>
        <w:t>.</w:t>
      </w:r>
    </w:p>
    <w:p w14:paraId="4D5E6682" w14:textId="33EEB1AC" w:rsidR="00054C8C" w:rsidRPr="00054C8C" w:rsidRDefault="00054C8C" w:rsidP="001E3E78">
      <w:pPr>
        <w:spacing w:after="240" w:line="276" w:lineRule="auto"/>
        <w:jc w:val="both"/>
        <w:rPr>
          <w:rFonts w:ascii="Calibri" w:hAnsi="Calibri" w:cs="Calibri"/>
          <w:sz w:val="22"/>
          <w:szCs w:val="22"/>
        </w:rPr>
      </w:pPr>
      <w:proofErr w:type="spellStart"/>
      <w:r w:rsidRPr="00054C8C">
        <w:rPr>
          <w:rFonts w:ascii="Calibri" w:hAnsi="Calibri" w:cs="Calibri"/>
          <w:sz w:val="22"/>
          <w:szCs w:val="22"/>
        </w:rPr>
        <w:lastRenderedPageBreak/>
        <w:t>Buhmann</w:t>
      </w:r>
      <w:proofErr w:type="spellEnd"/>
      <w:r w:rsidRPr="00054C8C">
        <w:rPr>
          <w:rFonts w:ascii="Calibri" w:hAnsi="Calibri" w:cs="Calibri"/>
          <w:sz w:val="22"/>
          <w:szCs w:val="22"/>
        </w:rPr>
        <w:t xml:space="preserve">, K., </w:t>
      </w:r>
      <w:proofErr w:type="spellStart"/>
      <w:r w:rsidRPr="00054C8C">
        <w:rPr>
          <w:rFonts w:ascii="Calibri" w:hAnsi="Calibri" w:cs="Calibri"/>
          <w:sz w:val="22"/>
          <w:szCs w:val="22"/>
        </w:rPr>
        <w:t>Fasterling</w:t>
      </w:r>
      <w:proofErr w:type="spellEnd"/>
      <w:r w:rsidRPr="00054C8C">
        <w:rPr>
          <w:rFonts w:ascii="Calibri" w:hAnsi="Calibri" w:cs="Calibri"/>
          <w:sz w:val="22"/>
          <w:szCs w:val="22"/>
        </w:rPr>
        <w:t xml:space="preserve">, B. and </w:t>
      </w:r>
      <w:proofErr w:type="spellStart"/>
      <w:r w:rsidRPr="00054C8C">
        <w:rPr>
          <w:rFonts w:ascii="Calibri" w:hAnsi="Calibri" w:cs="Calibri"/>
          <w:sz w:val="22"/>
          <w:szCs w:val="22"/>
        </w:rPr>
        <w:t>Voiculescu</w:t>
      </w:r>
      <w:proofErr w:type="spellEnd"/>
      <w:r w:rsidRPr="00054C8C">
        <w:rPr>
          <w:rFonts w:ascii="Calibri" w:hAnsi="Calibri" w:cs="Calibri"/>
          <w:sz w:val="22"/>
          <w:szCs w:val="22"/>
        </w:rPr>
        <w:t>, A. (2018) ‘Business &amp; human rights research methods’, Nordic Journal of Human Rights, 36(4), pp. 323–332.</w:t>
      </w:r>
    </w:p>
    <w:p w14:paraId="398F7041"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Butler, S. and Wood, Z. (2020) Coronavirus triggers sharp rise in price of pain relief medication, The Guardian. Available at: https://www.theguardian.com/world/2020/mar/12/coronavirus-triggers-sharp-rise-in-price-of-pain-relief-medication (Accessed: 13 October 2020).</w:t>
      </w:r>
    </w:p>
    <w:p w14:paraId="4ED23E16"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Chynoweth, P. (2008) ‘Legal Research’, in Knight, A. and Ruddock, L. (eds) Advanced Research Methods in the Built Environment. Wiley Blackwell, p. 1.</w:t>
      </w:r>
    </w:p>
    <w:p w14:paraId="72A4AEFA" w14:textId="77777777" w:rsidR="00054C8C" w:rsidRPr="00054C8C" w:rsidRDefault="00054C8C" w:rsidP="001E3E78">
      <w:pPr>
        <w:spacing w:after="240" w:line="276" w:lineRule="auto"/>
        <w:jc w:val="both"/>
        <w:rPr>
          <w:rFonts w:ascii="Calibri" w:hAnsi="Calibri" w:cs="Calibri"/>
          <w:sz w:val="22"/>
          <w:szCs w:val="22"/>
        </w:rPr>
      </w:pPr>
      <w:proofErr w:type="spellStart"/>
      <w:r w:rsidRPr="00054C8C">
        <w:rPr>
          <w:rFonts w:ascii="Calibri" w:hAnsi="Calibri" w:cs="Calibri"/>
          <w:sz w:val="22"/>
          <w:szCs w:val="22"/>
        </w:rPr>
        <w:t>Cownie</w:t>
      </w:r>
      <w:proofErr w:type="spellEnd"/>
      <w:r w:rsidRPr="00054C8C">
        <w:rPr>
          <w:rFonts w:ascii="Calibri" w:hAnsi="Calibri" w:cs="Calibri"/>
          <w:sz w:val="22"/>
          <w:szCs w:val="22"/>
        </w:rPr>
        <w:t>, F. (2004) Legal Academics: Culture and Identities. Hart Publishing.</w:t>
      </w:r>
    </w:p>
    <w:p w14:paraId="32D9969F" w14:textId="77777777" w:rsidR="00054C8C" w:rsidRPr="00054C8C" w:rsidRDefault="00054C8C" w:rsidP="001E3E78">
      <w:pPr>
        <w:spacing w:after="240" w:line="276" w:lineRule="auto"/>
        <w:jc w:val="both"/>
        <w:rPr>
          <w:rFonts w:ascii="Calibri" w:hAnsi="Calibri" w:cs="Calibri"/>
          <w:sz w:val="22"/>
          <w:szCs w:val="22"/>
        </w:rPr>
      </w:pPr>
      <w:proofErr w:type="spellStart"/>
      <w:r w:rsidRPr="00054C8C">
        <w:rPr>
          <w:rFonts w:ascii="Calibri" w:hAnsi="Calibri" w:cs="Calibri"/>
          <w:sz w:val="22"/>
          <w:szCs w:val="22"/>
        </w:rPr>
        <w:t>Cownie</w:t>
      </w:r>
      <w:proofErr w:type="spellEnd"/>
      <w:r w:rsidRPr="00054C8C">
        <w:rPr>
          <w:rFonts w:ascii="Calibri" w:hAnsi="Calibri" w:cs="Calibri"/>
          <w:sz w:val="22"/>
          <w:szCs w:val="22"/>
        </w:rPr>
        <w:t xml:space="preserve">, F. and </w:t>
      </w:r>
      <w:proofErr w:type="spellStart"/>
      <w:r w:rsidRPr="00054C8C">
        <w:rPr>
          <w:rFonts w:ascii="Calibri" w:hAnsi="Calibri" w:cs="Calibri"/>
          <w:sz w:val="22"/>
          <w:szCs w:val="22"/>
        </w:rPr>
        <w:t>Bradney</w:t>
      </w:r>
      <w:proofErr w:type="spellEnd"/>
      <w:r w:rsidRPr="00054C8C">
        <w:rPr>
          <w:rFonts w:ascii="Calibri" w:hAnsi="Calibri" w:cs="Calibri"/>
          <w:sz w:val="22"/>
          <w:szCs w:val="22"/>
        </w:rPr>
        <w:t>, A. (2017) ‘Socio-legal studies a challenge to the doctrinal approach’, in Watkins, D. and Burton, M. (eds) Research Methods in Law. Taylor &amp; Francis Group, pp. 40–65.</w:t>
      </w:r>
    </w:p>
    <w:p w14:paraId="60741785" w14:textId="7950DEEC"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 xml:space="preserve">Deva, S. and </w:t>
      </w:r>
      <w:proofErr w:type="spellStart"/>
      <w:r w:rsidRPr="00054C8C">
        <w:rPr>
          <w:rFonts w:ascii="Calibri" w:hAnsi="Calibri" w:cs="Calibri"/>
          <w:sz w:val="22"/>
          <w:szCs w:val="22"/>
        </w:rPr>
        <w:t>Bilchitz</w:t>
      </w:r>
      <w:proofErr w:type="spellEnd"/>
      <w:r w:rsidRPr="00054C8C">
        <w:rPr>
          <w:rFonts w:ascii="Calibri" w:hAnsi="Calibri" w:cs="Calibri"/>
          <w:sz w:val="22"/>
          <w:szCs w:val="22"/>
        </w:rPr>
        <w:t xml:space="preserve">, D. (eds) (2017) Building A Treaty on </w:t>
      </w:r>
      <w:r w:rsidR="00481D86">
        <w:rPr>
          <w:rFonts w:ascii="Calibri" w:hAnsi="Calibri" w:cs="Calibri"/>
          <w:sz w:val="22"/>
          <w:szCs w:val="22"/>
        </w:rPr>
        <w:t>‘Business and Human Rights’</w:t>
      </w:r>
      <w:r w:rsidRPr="00054C8C">
        <w:rPr>
          <w:rFonts w:ascii="Calibri" w:hAnsi="Calibri" w:cs="Calibri"/>
          <w:sz w:val="22"/>
          <w:szCs w:val="22"/>
        </w:rPr>
        <w:t>. Cambridge University Press.</w:t>
      </w:r>
    </w:p>
    <w:p w14:paraId="60B72746" w14:textId="572BF7D1" w:rsid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England, K. (1994) ‘Getting Personal: Reflexivity, Positionality, and Feminist Research’, Professional Geographer, 46(1), pp. 80–89.</w:t>
      </w:r>
    </w:p>
    <w:p w14:paraId="4CCEFAFF" w14:textId="0FBB3459" w:rsidR="0092051F" w:rsidRPr="00054C8C" w:rsidRDefault="0092051F" w:rsidP="001E3E78">
      <w:pPr>
        <w:spacing w:after="240" w:line="276" w:lineRule="auto"/>
        <w:jc w:val="both"/>
        <w:rPr>
          <w:rFonts w:ascii="Calibri" w:hAnsi="Calibri" w:cs="Calibri"/>
          <w:sz w:val="22"/>
          <w:szCs w:val="22"/>
        </w:rPr>
      </w:pPr>
      <w:r w:rsidRPr="0092051F">
        <w:rPr>
          <w:rFonts w:ascii="Calibri" w:hAnsi="Calibri" w:cs="Calibri"/>
          <w:sz w:val="22"/>
          <w:szCs w:val="22"/>
        </w:rPr>
        <w:t xml:space="preserve">England, K. (2017). Positionality. In International </w:t>
      </w:r>
      <w:proofErr w:type="spellStart"/>
      <w:r w:rsidRPr="0092051F">
        <w:rPr>
          <w:rFonts w:ascii="Calibri" w:hAnsi="Calibri" w:cs="Calibri"/>
          <w:sz w:val="22"/>
          <w:szCs w:val="22"/>
        </w:rPr>
        <w:t>Encyclopedia</w:t>
      </w:r>
      <w:proofErr w:type="spellEnd"/>
      <w:r w:rsidRPr="0092051F">
        <w:rPr>
          <w:rFonts w:ascii="Calibri" w:hAnsi="Calibri" w:cs="Calibri"/>
          <w:sz w:val="22"/>
          <w:szCs w:val="22"/>
        </w:rPr>
        <w:t xml:space="preserve"> of Geography: People, the Earth, Environment and Technology (eds D. Richardson, N. </w:t>
      </w:r>
      <w:proofErr w:type="spellStart"/>
      <w:r w:rsidRPr="0092051F">
        <w:rPr>
          <w:rFonts w:ascii="Calibri" w:hAnsi="Calibri" w:cs="Calibri"/>
          <w:sz w:val="22"/>
          <w:szCs w:val="22"/>
        </w:rPr>
        <w:t>Castree</w:t>
      </w:r>
      <w:proofErr w:type="spellEnd"/>
      <w:r w:rsidRPr="0092051F">
        <w:rPr>
          <w:rFonts w:ascii="Calibri" w:hAnsi="Calibri" w:cs="Calibri"/>
          <w:sz w:val="22"/>
          <w:szCs w:val="22"/>
        </w:rPr>
        <w:t xml:space="preserve">, M.F. Goodchild, A. Kobayashi, W. </w:t>
      </w:r>
      <w:proofErr w:type="gramStart"/>
      <w:r w:rsidRPr="0092051F">
        <w:rPr>
          <w:rFonts w:ascii="Calibri" w:hAnsi="Calibri" w:cs="Calibri"/>
          <w:sz w:val="22"/>
          <w:szCs w:val="22"/>
        </w:rPr>
        <w:t>Liu</w:t>
      </w:r>
      <w:proofErr w:type="gramEnd"/>
      <w:r w:rsidRPr="0092051F">
        <w:rPr>
          <w:rFonts w:ascii="Calibri" w:hAnsi="Calibri" w:cs="Calibri"/>
          <w:sz w:val="22"/>
          <w:szCs w:val="22"/>
        </w:rPr>
        <w:t xml:space="preserve"> and R.A. Marston).</w:t>
      </w:r>
    </w:p>
    <w:p w14:paraId="6D6AA016" w14:textId="0171589C"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 xml:space="preserve">Guillemin, M. and Gillam, L. (2004) ‘Ethics, reflexivity, and </w:t>
      </w:r>
      <w:r w:rsidR="00F220E6">
        <w:rPr>
          <w:rFonts w:ascii="Calibri" w:hAnsi="Calibri" w:cs="Calibri"/>
          <w:sz w:val="22"/>
          <w:szCs w:val="22"/>
        </w:rPr>
        <w:t>‘</w:t>
      </w:r>
      <w:r w:rsidRPr="00054C8C">
        <w:rPr>
          <w:rFonts w:ascii="Calibri" w:hAnsi="Calibri" w:cs="Calibri"/>
          <w:sz w:val="22"/>
          <w:szCs w:val="22"/>
        </w:rPr>
        <w:t>Ethically important moments</w:t>
      </w:r>
      <w:r w:rsidR="00F220E6">
        <w:rPr>
          <w:rFonts w:ascii="Calibri" w:hAnsi="Calibri" w:cs="Calibri"/>
          <w:sz w:val="22"/>
          <w:szCs w:val="22"/>
        </w:rPr>
        <w:t>’</w:t>
      </w:r>
      <w:r w:rsidRPr="00054C8C">
        <w:rPr>
          <w:rFonts w:ascii="Calibri" w:hAnsi="Calibri" w:cs="Calibri"/>
          <w:sz w:val="22"/>
          <w:szCs w:val="22"/>
        </w:rPr>
        <w:t xml:space="preserve"> in research’, Qualitative Inquiry, 10(2), pp. 261–280.</w:t>
      </w:r>
    </w:p>
    <w:p w14:paraId="2E8C6F45"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 xml:space="preserve">Hopkins, R. M., </w:t>
      </w:r>
      <w:proofErr w:type="spellStart"/>
      <w:r w:rsidRPr="00054C8C">
        <w:rPr>
          <w:rFonts w:ascii="Calibri" w:hAnsi="Calibri" w:cs="Calibri"/>
          <w:sz w:val="22"/>
          <w:szCs w:val="22"/>
        </w:rPr>
        <w:t>Regehr</w:t>
      </w:r>
      <w:proofErr w:type="spellEnd"/>
      <w:r w:rsidRPr="00054C8C">
        <w:rPr>
          <w:rFonts w:ascii="Calibri" w:hAnsi="Calibri" w:cs="Calibri"/>
          <w:sz w:val="22"/>
          <w:szCs w:val="22"/>
        </w:rPr>
        <w:t>, G. and Pratt, D. D. (2017) ‘A framework for negotiating positionality in phenomenological research*’, Medical Teacher, 39(1), pp. 20–25.</w:t>
      </w:r>
    </w:p>
    <w:p w14:paraId="5C956688"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Hutchinson, T. and Duncan, N. (2012) ‘Defining and Describing What We Do: Doctrinal Legal Research’, Deakin Law Review, 17(1), pp. 83–120.</w:t>
      </w:r>
    </w:p>
    <w:p w14:paraId="6A8B5FA6"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Johnson, B. (2020) ‘House of Commons Engagements: Volume 683: debated on Wednesday 11 November 2020’. Hansard.</w:t>
      </w:r>
    </w:p>
    <w:p w14:paraId="7FE140E3"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 xml:space="preserve">van Klink, B. and </w:t>
      </w:r>
      <w:proofErr w:type="spellStart"/>
      <w:r w:rsidRPr="00054C8C">
        <w:rPr>
          <w:rFonts w:ascii="Calibri" w:hAnsi="Calibri" w:cs="Calibri"/>
          <w:sz w:val="22"/>
          <w:szCs w:val="22"/>
        </w:rPr>
        <w:t>Taekema</w:t>
      </w:r>
      <w:proofErr w:type="spellEnd"/>
      <w:r w:rsidRPr="00054C8C">
        <w:rPr>
          <w:rFonts w:ascii="Calibri" w:hAnsi="Calibri" w:cs="Calibri"/>
          <w:sz w:val="22"/>
          <w:szCs w:val="22"/>
        </w:rPr>
        <w:t>, S. (2008) ‘A Dynamic Model of Interdisciplinarity: Limits and Possibilities of Interdisciplinary Research into Law’, Tilburg University Legal Studies, p. 1.</w:t>
      </w:r>
    </w:p>
    <w:p w14:paraId="7F833FA5" w14:textId="77777777" w:rsidR="00054C8C" w:rsidRPr="00054C8C" w:rsidRDefault="00054C8C" w:rsidP="001E3E78">
      <w:pPr>
        <w:spacing w:after="240" w:line="276" w:lineRule="auto"/>
        <w:jc w:val="both"/>
        <w:rPr>
          <w:rFonts w:ascii="Calibri" w:hAnsi="Calibri" w:cs="Calibri"/>
          <w:sz w:val="22"/>
          <w:szCs w:val="22"/>
        </w:rPr>
      </w:pPr>
      <w:proofErr w:type="spellStart"/>
      <w:r w:rsidRPr="00054C8C">
        <w:rPr>
          <w:rFonts w:ascii="Calibri" w:hAnsi="Calibri" w:cs="Calibri"/>
          <w:sz w:val="22"/>
          <w:szCs w:val="22"/>
        </w:rPr>
        <w:t>Kuchler</w:t>
      </w:r>
      <w:proofErr w:type="spellEnd"/>
      <w:r w:rsidRPr="00054C8C">
        <w:rPr>
          <w:rFonts w:ascii="Calibri" w:hAnsi="Calibri" w:cs="Calibri"/>
          <w:sz w:val="22"/>
          <w:szCs w:val="22"/>
        </w:rPr>
        <w:t>, H. (2019) Sanofi and Novo Nordisk press ahead with US insulin prices rises, The Financial Times. Available at: https://www.ft.com/content/b102475a-1460-11e9-a581-4ff78404524e (Accessed: 5 November 2019).</w:t>
      </w:r>
    </w:p>
    <w:p w14:paraId="692D8E75"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 xml:space="preserve">Langford, M. (2017) ‘Interdisciplinarity and multimethod research’, in </w:t>
      </w:r>
      <w:proofErr w:type="spellStart"/>
      <w:r w:rsidRPr="00054C8C">
        <w:rPr>
          <w:rFonts w:ascii="Calibri" w:hAnsi="Calibri" w:cs="Calibri"/>
          <w:sz w:val="22"/>
          <w:szCs w:val="22"/>
        </w:rPr>
        <w:t>Andreassen</w:t>
      </w:r>
      <w:proofErr w:type="spellEnd"/>
      <w:r w:rsidRPr="00054C8C">
        <w:rPr>
          <w:rFonts w:ascii="Calibri" w:hAnsi="Calibri" w:cs="Calibri"/>
          <w:sz w:val="22"/>
          <w:szCs w:val="22"/>
        </w:rPr>
        <w:t xml:space="preserve">, B. A., Sano, H. O., and </w:t>
      </w:r>
      <w:proofErr w:type="spellStart"/>
      <w:r w:rsidRPr="00054C8C">
        <w:rPr>
          <w:rFonts w:ascii="Calibri" w:hAnsi="Calibri" w:cs="Calibri"/>
          <w:sz w:val="22"/>
          <w:szCs w:val="22"/>
        </w:rPr>
        <w:t>McInerney</w:t>
      </w:r>
      <w:proofErr w:type="spellEnd"/>
      <w:r w:rsidRPr="00054C8C">
        <w:rPr>
          <w:rFonts w:ascii="Calibri" w:hAnsi="Calibri" w:cs="Calibri"/>
          <w:sz w:val="22"/>
          <w:szCs w:val="22"/>
        </w:rPr>
        <w:t>-Lankford, S. (eds) Research Methods in Human Rights: A Handbook, pp. 161–191.</w:t>
      </w:r>
    </w:p>
    <w:p w14:paraId="13BEFF8A"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lastRenderedPageBreak/>
        <w:t>Madsen, M. R. (2011) ‘Reflexivity and the construction of the international object: The case of human rights’, International Political Sociology, 5(3), pp. 259–275.</w:t>
      </w:r>
    </w:p>
    <w:p w14:paraId="215E0D3A" w14:textId="77777777" w:rsidR="00054C8C" w:rsidRPr="00054C8C" w:rsidRDefault="00054C8C" w:rsidP="001E3E78">
      <w:pPr>
        <w:spacing w:after="240" w:line="276" w:lineRule="auto"/>
        <w:jc w:val="both"/>
        <w:rPr>
          <w:rFonts w:ascii="Calibri" w:hAnsi="Calibri" w:cs="Calibri"/>
          <w:sz w:val="22"/>
          <w:szCs w:val="22"/>
        </w:rPr>
      </w:pPr>
      <w:proofErr w:type="spellStart"/>
      <w:r w:rsidRPr="00054C8C">
        <w:rPr>
          <w:rFonts w:ascii="Calibri" w:hAnsi="Calibri" w:cs="Calibri"/>
          <w:sz w:val="22"/>
          <w:szCs w:val="22"/>
        </w:rPr>
        <w:t>McBarnet</w:t>
      </w:r>
      <w:proofErr w:type="spellEnd"/>
      <w:r w:rsidRPr="00054C8C">
        <w:rPr>
          <w:rFonts w:ascii="Calibri" w:hAnsi="Calibri" w:cs="Calibri"/>
          <w:sz w:val="22"/>
          <w:szCs w:val="22"/>
        </w:rPr>
        <w:t>, D. (2009) ‘Corporate Social Responsibility Beyond Law, Through Law, for Law’, SSRN Electronic Journal.</w:t>
      </w:r>
    </w:p>
    <w:p w14:paraId="302E3779" w14:textId="3F11CA14"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 xml:space="preserve">McConnell, L. (2017) ‘Assessing the </w:t>
      </w:r>
      <w:proofErr w:type="spellStart"/>
      <w:r w:rsidRPr="00054C8C">
        <w:rPr>
          <w:rFonts w:ascii="Calibri" w:hAnsi="Calibri" w:cs="Calibri"/>
          <w:sz w:val="22"/>
          <w:szCs w:val="22"/>
        </w:rPr>
        <w:t>Feasability</w:t>
      </w:r>
      <w:proofErr w:type="spellEnd"/>
      <w:r w:rsidRPr="00054C8C">
        <w:rPr>
          <w:rFonts w:ascii="Calibri" w:hAnsi="Calibri" w:cs="Calibri"/>
          <w:sz w:val="22"/>
          <w:szCs w:val="22"/>
        </w:rPr>
        <w:t xml:space="preserve"> of a </w:t>
      </w:r>
      <w:r w:rsidR="00481D86">
        <w:rPr>
          <w:rFonts w:ascii="Calibri" w:hAnsi="Calibri" w:cs="Calibri"/>
          <w:sz w:val="22"/>
          <w:szCs w:val="22"/>
        </w:rPr>
        <w:t>‘Business and Human Rights’</w:t>
      </w:r>
      <w:r w:rsidRPr="00054C8C">
        <w:rPr>
          <w:rFonts w:ascii="Calibri" w:hAnsi="Calibri" w:cs="Calibri"/>
          <w:sz w:val="22"/>
          <w:szCs w:val="22"/>
        </w:rPr>
        <w:t xml:space="preserve"> Treaty’, International and Comparative Law Quarterly, 66(1), pp. 143–180.</w:t>
      </w:r>
    </w:p>
    <w:p w14:paraId="7812E8C8" w14:textId="77777777" w:rsidR="00054C8C" w:rsidRPr="00054C8C" w:rsidRDefault="00054C8C" w:rsidP="001E3E78">
      <w:pPr>
        <w:spacing w:after="240" w:line="276" w:lineRule="auto"/>
        <w:jc w:val="both"/>
        <w:rPr>
          <w:rFonts w:ascii="Calibri" w:hAnsi="Calibri" w:cs="Calibri"/>
          <w:sz w:val="22"/>
          <w:szCs w:val="22"/>
        </w:rPr>
      </w:pPr>
      <w:proofErr w:type="spellStart"/>
      <w:r w:rsidRPr="00054C8C">
        <w:rPr>
          <w:rFonts w:ascii="Calibri" w:hAnsi="Calibri" w:cs="Calibri"/>
          <w:sz w:val="22"/>
          <w:szCs w:val="22"/>
        </w:rPr>
        <w:t>McInerney</w:t>
      </w:r>
      <w:proofErr w:type="spellEnd"/>
      <w:r w:rsidRPr="00054C8C">
        <w:rPr>
          <w:rFonts w:ascii="Calibri" w:hAnsi="Calibri" w:cs="Calibri"/>
          <w:sz w:val="22"/>
          <w:szCs w:val="22"/>
        </w:rPr>
        <w:t xml:space="preserve">-Lankford, S. (2017) ‘Legal methodologies and human rights research: Challenges and opportunities’, in </w:t>
      </w:r>
      <w:proofErr w:type="spellStart"/>
      <w:r w:rsidRPr="00054C8C">
        <w:rPr>
          <w:rFonts w:ascii="Calibri" w:hAnsi="Calibri" w:cs="Calibri"/>
          <w:sz w:val="22"/>
          <w:szCs w:val="22"/>
        </w:rPr>
        <w:t>Andreassen</w:t>
      </w:r>
      <w:proofErr w:type="spellEnd"/>
      <w:r w:rsidRPr="00054C8C">
        <w:rPr>
          <w:rFonts w:ascii="Calibri" w:hAnsi="Calibri" w:cs="Calibri"/>
          <w:sz w:val="22"/>
          <w:szCs w:val="22"/>
        </w:rPr>
        <w:t xml:space="preserve">, B. A., Sano, H. O., and </w:t>
      </w:r>
      <w:proofErr w:type="spellStart"/>
      <w:r w:rsidRPr="00054C8C">
        <w:rPr>
          <w:rFonts w:ascii="Calibri" w:hAnsi="Calibri" w:cs="Calibri"/>
          <w:sz w:val="22"/>
          <w:szCs w:val="22"/>
        </w:rPr>
        <w:t>McInerney</w:t>
      </w:r>
      <w:proofErr w:type="spellEnd"/>
      <w:r w:rsidRPr="00054C8C">
        <w:rPr>
          <w:rFonts w:ascii="Calibri" w:hAnsi="Calibri" w:cs="Calibri"/>
          <w:sz w:val="22"/>
          <w:szCs w:val="22"/>
        </w:rPr>
        <w:t>-Lankford, S. (eds) Research Methods in Human Rights: A Handbook. Edward Elgar Publishing, pp. 38–67.</w:t>
      </w:r>
    </w:p>
    <w:p w14:paraId="087939F8"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Merriam, S. B. et al. (2001) ‘Power and positionality: negotiating insider/outsider status within and across cultures’, International Journal of Lifelong Education, 20(5), pp. 405–416.</w:t>
      </w:r>
    </w:p>
    <w:p w14:paraId="2DB19591" w14:textId="241D0F45"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 xml:space="preserve">Moon, S. (2013) ‘Respecting the right to access to medicines: Implications of the UN Guiding Principles on </w:t>
      </w:r>
      <w:r w:rsidR="00481D86">
        <w:rPr>
          <w:rFonts w:ascii="Calibri" w:hAnsi="Calibri" w:cs="Calibri"/>
          <w:sz w:val="22"/>
          <w:szCs w:val="22"/>
        </w:rPr>
        <w:t>‘Business and Human Rights’</w:t>
      </w:r>
      <w:r w:rsidRPr="00054C8C">
        <w:rPr>
          <w:rFonts w:ascii="Calibri" w:hAnsi="Calibri" w:cs="Calibri"/>
          <w:sz w:val="22"/>
          <w:szCs w:val="22"/>
        </w:rPr>
        <w:t xml:space="preserve"> for the pharmaceutical industry’, Health and Human Rights, 15(1), pp. 32–43.</w:t>
      </w:r>
    </w:p>
    <w:p w14:paraId="10C3B78B"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O’Callaghan, L. (2020) Coronavirus UK: Pharmacies ‘on brink of collapse’ as wholesalers increase drug prices, Express. Available at: https://www.express.co.uk/news/uk/1258678/coronavirus-uk-medicines-paracetamol-increases-In-prices-pharmacies-nhs-covid-19 (Accessed: 13 October 2020).</w:t>
      </w:r>
    </w:p>
    <w:p w14:paraId="3F64F722"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Rapaport, L. (2017) Another look at the surge in EpiPen costs, Reuters. Available at: https://uk.reuters.com/article/us-health-epipen-costs/another-look-at-the-surge-in-epipen-costs-idUKKBN16Y24O (Accessed: 5 November 2019).</w:t>
      </w:r>
    </w:p>
    <w:p w14:paraId="19C28B03" w14:textId="31388CD7" w:rsidR="000E3C51" w:rsidRDefault="000E3C51" w:rsidP="001E3E78">
      <w:pPr>
        <w:spacing w:after="240" w:line="276" w:lineRule="auto"/>
        <w:jc w:val="both"/>
        <w:rPr>
          <w:rFonts w:ascii="Calibri" w:hAnsi="Calibri" w:cs="Calibri"/>
          <w:sz w:val="22"/>
          <w:szCs w:val="22"/>
        </w:rPr>
      </w:pPr>
      <w:r w:rsidRPr="000E3C51">
        <w:rPr>
          <w:rFonts w:ascii="Calibri" w:hAnsi="Calibri" w:cs="Calibri"/>
          <w:sz w:val="22"/>
          <w:szCs w:val="22"/>
        </w:rPr>
        <w:t xml:space="preserve">Reyes, V. (2018). </w:t>
      </w:r>
      <w:r w:rsidR="008445C0">
        <w:rPr>
          <w:rFonts w:ascii="Calibri" w:hAnsi="Calibri" w:cs="Calibri"/>
          <w:sz w:val="22"/>
          <w:szCs w:val="22"/>
        </w:rPr>
        <w:t>‘</w:t>
      </w:r>
      <w:r w:rsidRPr="000E3C51">
        <w:rPr>
          <w:rFonts w:ascii="Calibri" w:hAnsi="Calibri" w:cs="Calibri"/>
          <w:sz w:val="22"/>
          <w:szCs w:val="22"/>
        </w:rPr>
        <w:t>Ethnographic toolkit: Strategic positionality and researchers’ visible and invisible tools in field research</w:t>
      </w:r>
      <w:r w:rsidR="008445C0">
        <w:rPr>
          <w:rFonts w:ascii="Calibri" w:hAnsi="Calibri" w:cs="Calibri"/>
          <w:sz w:val="22"/>
          <w:szCs w:val="22"/>
        </w:rPr>
        <w:t xml:space="preserve">’ </w:t>
      </w:r>
      <w:r w:rsidRPr="000E3C51">
        <w:rPr>
          <w:rFonts w:ascii="Calibri" w:hAnsi="Calibri" w:cs="Calibri"/>
          <w:sz w:val="22"/>
          <w:szCs w:val="22"/>
        </w:rPr>
        <w:t>Ethnography</w:t>
      </w:r>
      <w:r w:rsidR="008445C0">
        <w:rPr>
          <w:rFonts w:ascii="Calibri" w:hAnsi="Calibri" w:cs="Calibri"/>
          <w:sz w:val="22"/>
          <w:szCs w:val="22"/>
        </w:rPr>
        <w:t>, 21(2), pp.</w:t>
      </w:r>
      <w:r w:rsidR="00162CA5">
        <w:rPr>
          <w:rFonts w:ascii="Calibri" w:hAnsi="Calibri" w:cs="Calibri"/>
          <w:sz w:val="22"/>
          <w:szCs w:val="22"/>
        </w:rPr>
        <w:t xml:space="preserve"> 220-240.</w:t>
      </w:r>
    </w:p>
    <w:p w14:paraId="1F69B091" w14:textId="728CAC7F"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Richardson Voyles, L. (2016) For my daughter, the EpiPen is a lifeline, not a luxury, The Guardian. Available at: https://www.theguardian.com/commentisfree/2016/aug/25/epipen-price-increase-mylan (Accessed: 14 November 2019).</w:t>
      </w:r>
    </w:p>
    <w:p w14:paraId="34A75CA7"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 xml:space="preserve">Rogers, W., </w:t>
      </w:r>
      <w:proofErr w:type="spellStart"/>
      <w:r w:rsidRPr="00054C8C">
        <w:rPr>
          <w:rFonts w:ascii="Calibri" w:hAnsi="Calibri" w:cs="Calibri"/>
          <w:sz w:val="22"/>
          <w:szCs w:val="22"/>
        </w:rPr>
        <w:t>MacKenzie</w:t>
      </w:r>
      <w:proofErr w:type="spellEnd"/>
      <w:r w:rsidRPr="00054C8C">
        <w:rPr>
          <w:rFonts w:ascii="Calibri" w:hAnsi="Calibri" w:cs="Calibri"/>
          <w:sz w:val="22"/>
          <w:szCs w:val="22"/>
        </w:rPr>
        <w:t xml:space="preserve">, C. and </w:t>
      </w:r>
      <w:proofErr w:type="spellStart"/>
      <w:r w:rsidRPr="00054C8C">
        <w:rPr>
          <w:rFonts w:ascii="Calibri" w:hAnsi="Calibri" w:cs="Calibri"/>
          <w:sz w:val="22"/>
          <w:szCs w:val="22"/>
        </w:rPr>
        <w:t>Dodds</w:t>
      </w:r>
      <w:proofErr w:type="spellEnd"/>
      <w:r w:rsidRPr="00054C8C">
        <w:rPr>
          <w:rFonts w:ascii="Calibri" w:hAnsi="Calibri" w:cs="Calibri"/>
          <w:sz w:val="22"/>
          <w:szCs w:val="22"/>
        </w:rPr>
        <w:t>, S. (2012) ‘Why bioethics needs a concept of vulnerability’, International Journal of Feminist Approaches to Bioethics, 5(2), pp. 11–38.</w:t>
      </w:r>
    </w:p>
    <w:p w14:paraId="139A526E" w14:textId="77777777" w:rsidR="00054C8C" w:rsidRPr="00054C8C" w:rsidRDefault="00054C8C" w:rsidP="001E3E78">
      <w:pPr>
        <w:spacing w:after="240" w:line="276" w:lineRule="auto"/>
        <w:jc w:val="both"/>
        <w:rPr>
          <w:rFonts w:ascii="Calibri" w:hAnsi="Calibri" w:cs="Calibri"/>
          <w:sz w:val="22"/>
          <w:szCs w:val="22"/>
        </w:rPr>
      </w:pPr>
      <w:r w:rsidRPr="00547C0E">
        <w:rPr>
          <w:rFonts w:ascii="Calibri" w:hAnsi="Calibri" w:cs="Calibri"/>
          <w:sz w:val="22"/>
          <w:szCs w:val="22"/>
          <w:lang w:val="fr-CH"/>
        </w:rPr>
        <w:t xml:space="preserve">Shaw, R. M. et al. </w:t>
      </w:r>
      <w:r w:rsidRPr="00054C8C">
        <w:rPr>
          <w:rFonts w:ascii="Calibri" w:hAnsi="Calibri" w:cs="Calibri"/>
          <w:sz w:val="22"/>
          <w:szCs w:val="22"/>
        </w:rPr>
        <w:t>(2020) ‘Ethics and positionality in qualitative research with vulnerable and marginal groups’, Qualitative Research, 20(3), pp. 277–293.</w:t>
      </w:r>
    </w:p>
    <w:p w14:paraId="2258FEAF" w14:textId="77777777" w:rsidR="00054C8C" w:rsidRPr="00054C8C" w:rsidRDefault="00054C8C" w:rsidP="001E3E78">
      <w:pPr>
        <w:spacing w:after="240" w:line="276" w:lineRule="auto"/>
        <w:jc w:val="both"/>
        <w:rPr>
          <w:rFonts w:ascii="Calibri" w:hAnsi="Calibri" w:cs="Calibri"/>
          <w:sz w:val="22"/>
          <w:szCs w:val="22"/>
        </w:rPr>
      </w:pPr>
      <w:proofErr w:type="spellStart"/>
      <w:r w:rsidRPr="00054C8C">
        <w:rPr>
          <w:rFonts w:ascii="Calibri" w:hAnsi="Calibri" w:cs="Calibri"/>
          <w:sz w:val="22"/>
          <w:szCs w:val="22"/>
        </w:rPr>
        <w:t>Soedirgo</w:t>
      </w:r>
      <w:proofErr w:type="spellEnd"/>
      <w:r w:rsidRPr="00054C8C">
        <w:rPr>
          <w:rFonts w:ascii="Calibri" w:hAnsi="Calibri" w:cs="Calibri"/>
          <w:sz w:val="22"/>
          <w:szCs w:val="22"/>
        </w:rPr>
        <w:t xml:space="preserve">, J. and </w:t>
      </w:r>
      <w:proofErr w:type="spellStart"/>
      <w:r w:rsidRPr="00054C8C">
        <w:rPr>
          <w:rFonts w:ascii="Calibri" w:hAnsi="Calibri" w:cs="Calibri"/>
          <w:sz w:val="22"/>
          <w:szCs w:val="22"/>
        </w:rPr>
        <w:t>Glas</w:t>
      </w:r>
      <w:proofErr w:type="spellEnd"/>
      <w:r w:rsidRPr="00054C8C">
        <w:rPr>
          <w:rFonts w:ascii="Calibri" w:hAnsi="Calibri" w:cs="Calibri"/>
          <w:sz w:val="22"/>
          <w:szCs w:val="22"/>
        </w:rPr>
        <w:t>, A. (2020) ‘Toward Active Reflexivity: Positionality and Practice in the Production of Knowledge’, PS - Political Science and Politics, 53(3), pp. 527–531.</w:t>
      </w:r>
    </w:p>
    <w:p w14:paraId="4B2F464E"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UK Socio-Legal Studies Association (2009) Statement of Principles of Ethical Research Practice.</w:t>
      </w:r>
    </w:p>
    <w:p w14:paraId="6FA90A28"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lastRenderedPageBreak/>
        <w:t xml:space="preserve">Ulrich, G. (2017) ‘Research ethics for human rights researchers’, in </w:t>
      </w:r>
      <w:proofErr w:type="spellStart"/>
      <w:r w:rsidRPr="00054C8C">
        <w:rPr>
          <w:rFonts w:ascii="Calibri" w:hAnsi="Calibri" w:cs="Calibri"/>
          <w:sz w:val="22"/>
          <w:szCs w:val="22"/>
        </w:rPr>
        <w:t>Andreassen</w:t>
      </w:r>
      <w:proofErr w:type="spellEnd"/>
      <w:r w:rsidRPr="00054C8C">
        <w:rPr>
          <w:rFonts w:ascii="Calibri" w:hAnsi="Calibri" w:cs="Calibri"/>
          <w:sz w:val="22"/>
          <w:szCs w:val="22"/>
        </w:rPr>
        <w:t xml:space="preserve">, B. A., Sano, H. O., and </w:t>
      </w:r>
      <w:proofErr w:type="spellStart"/>
      <w:r w:rsidRPr="00054C8C">
        <w:rPr>
          <w:rFonts w:ascii="Calibri" w:hAnsi="Calibri" w:cs="Calibri"/>
          <w:sz w:val="22"/>
          <w:szCs w:val="22"/>
        </w:rPr>
        <w:t>McInerney</w:t>
      </w:r>
      <w:proofErr w:type="spellEnd"/>
      <w:r w:rsidRPr="00054C8C">
        <w:rPr>
          <w:rFonts w:ascii="Calibri" w:hAnsi="Calibri" w:cs="Calibri"/>
          <w:sz w:val="22"/>
          <w:szCs w:val="22"/>
        </w:rPr>
        <w:t>-Lankford, S. (eds) Research Methods in Human Rights: A Handbook. Edward Elgar Publishing, pp. 192–221.</w:t>
      </w:r>
    </w:p>
    <w:p w14:paraId="42F788FB" w14:textId="77777777" w:rsidR="00054C8C" w:rsidRPr="00054C8C" w:rsidRDefault="00054C8C" w:rsidP="001E3E78">
      <w:pPr>
        <w:spacing w:after="240" w:line="276" w:lineRule="auto"/>
        <w:jc w:val="both"/>
        <w:rPr>
          <w:rFonts w:ascii="Calibri" w:hAnsi="Calibri" w:cs="Calibri"/>
          <w:sz w:val="22"/>
          <w:szCs w:val="22"/>
        </w:rPr>
      </w:pPr>
      <w:r w:rsidRPr="00054C8C">
        <w:rPr>
          <w:rFonts w:ascii="Calibri" w:hAnsi="Calibri" w:cs="Calibri"/>
          <w:sz w:val="22"/>
          <w:szCs w:val="22"/>
        </w:rPr>
        <w:t xml:space="preserve">Ward, D. J., </w:t>
      </w:r>
      <w:proofErr w:type="spellStart"/>
      <w:r w:rsidRPr="00054C8C">
        <w:rPr>
          <w:rFonts w:ascii="Calibri" w:hAnsi="Calibri" w:cs="Calibri"/>
          <w:sz w:val="22"/>
          <w:szCs w:val="22"/>
        </w:rPr>
        <w:t>Doos</w:t>
      </w:r>
      <w:proofErr w:type="spellEnd"/>
      <w:r w:rsidRPr="00054C8C">
        <w:rPr>
          <w:rFonts w:ascii="Calibri" w:hAnsi="Calibri" w:cs="Calibri"/>
          <w:sz w:val="22"/>
          <w:szCs w:val="22"/>
        </w:rPr>
        <w:t>, L. and Stevens, A. (2019) ‘Trends in the costs of drugs launched in the UK between 1981 and 2015: An analysis of the launch price of drugs in five disease areas’, BMJ Open. BMJ Publishing Group, 9(5).</w:t>
      </w:r>
    </w:p>
    <w:p w14:paraId="66143986" w14:textId="529D461D" w:rsidR="00FF662F" w:rsidRPr="00EA1A5A" w:rsidRDefault="00054C8C" w:rsidP="008634E3">
      <w:pPr>
        <w:spacing w:after="240" w:line="276" w:lineRule="auto"/>
        <w:jc w:val="both"/>
        <w:rPr>
          <w:rFonts w:ascii="Calibri" w:hAnsi="Calibri" w:cs="Calibri"/>
          <w:sz w:val="22"/>
          <w:szCs w:val="22"/>
        </w:rPr>
      </w:pPr>
      <w:r w:rsidRPr="00054C8C">
        <w:rPr>
          <w:rFonts w:ascii="Calibri" w:hAnsi="Calibri" w:cs="Calibri"/>
          <w:sz w:val="22"/>
          <w:szCs w:val="22"/>
        </w:rPr>
        <w:t xml:space="preserve">Webley, L. (2012) ‘Qualitative Approaches to Empirical Legal Research’, in Cane, P. and </w:t>
      </w:r>
      <w:proofErr w:type="spellStart"/>
      <w:r w:rsidRPr="00054C8C">
        <w:rPr>
          <w:rFonts w:ascii="Calibri" w:hAnsi="Calibri" w:cs="Calibri"/>
          <w:sz w:val="22"/>
          <w:szCs w:val="22"/>
        </w:rPr>
        <w:t>Kritzer</w:t>
      </w:r>
      <w:proofErr w:type="spellEnd"/>
      <w:r w:rsidRPr="00054C8C">
        <w:rPr>
          <w:rFonts w:ascii="Calibri" w:hAnsi="Calibri" w:cs="Calibri"/>
          <w:sz w:val="22"/>
          <w:szCs w:val="22"/>
        </w:rPr>
        <w:t>, H. (eds) The Oxford Handbook of Empirical Legal Research. Oxford University Press, pp. 927–942.</w:t>
      </w:r>
    </w:p>
    <w:sectPr w:rsidR="00FF662F" w:rsidRPr="00EA1A5A" w:rsidSect="003554E6">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02DE" w14:textId="77777777" w:rsidR="00EB7FFA" w:rsidRDefault="00EB7FFA" w:rsidP="00D66647">
      <w:r>
        <w:separator/>
      </w:r>
    </w:p>
  </w:endnote>
  <w:endnote w:type="continuationSeparator" w:id="0">
    <w:p w14:paraId="13E5634A" w14:textId="77777777" w:rsidR="00EB7FFA" w:rsidRDefault="00EB7FFA" w:rsidP="00D6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6577335"/>
      <w:docPartObj>
        <w:docPartGallery w:val="Page Numbers (Bottom of Page)"/>
        <w:docPartUnique/>
      </w:docPartObj>
    </w:sdtPr>
    <w:sdtContent>
      <w:p w14:paraId="32CEB05C" w14:textId="33736B6B" w:rsidR="001D4D1F" w:rsidRDefault="001D4D1F" w:rsidP="0086464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80DA8" w14:textId="77777777" w:rsidR="001D4D1F" w:rsidRDefault="001D4D1F" w:rsidP="001D4D1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5124896"/>
      <w:docPartObj>
        <w:docPartGallery w:val="Page Numbers (Bottom of Page)"/>
        <w:docPartUnique/>
      </w:docPartObj>
    </w:sdtPr>
    <w:sdtContent>
      <w:p w14:paraId="0E65CE7E" w14:textId="4697C146" w:rsidR="001D4D1F" w:rsidRDefault="001D4D1F" w:rsidP="0086464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846CFC" w14:textId="77777777" w:rsidR="001D4D1F" w:rsidRDefault="001D4D1F" w:rsidP="001D4D1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F07B" w14:textId="77777777" w:rsidR="00EB7FFA" w:rsidRDefault="00EB7FFA" w:rsidP="00D66647">
      <w:r>
        <w:separator/>
      </w:r>
    </w:p>
  </w:footnote>
  <w:footnote w:type="continuationSeparator" w:id="0">
    <w:p w14:paraId="74E8D78D" w14:textId="77777777" w:rsidR="00EB7FFA" w:rsidRDefault="00EB7FFA" w:rsidP="00D6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121C"/>
    <w:multiLevelType w:val="multilevel"/>
    <w:tmpl w:val="F6722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B17D93"/>
    <w:multiLevelType w:val="hybridMultilevel"/>
    <w:tmpl w:val="31805894"/>
    <w:lvl w:ilvl="0" w:tplc="98F098D2">
      <w:start w:val="1"/>
      <w:numFmt w:val="decimal"/>
      <w:lvlText w:val="%1."/>
      <w:lvlJc w:val="left"/>
      <w:pPr>
        <w:ind w:left="3900" w:hanging="360"/>
      </w:pPr>
      <w:rPr>
        <w:rFonts w:hint="default"/>
      </w:rPr>
    </w:lvl>
    <w:lvl w:ilvl="1" w:tplc="08090019" w:tentative="1">
      <w:start w:val="1"/>
      <w:numFmt w:val="lowerLetter"/>
      <w:lvlText w:val="%2."/>
      <w:lvlJc w:val="left"/>
      <w:pPr>
        <w:ind w:left="4620" w:hanging="360"/>
      </w:pPr>
    </w:lvl>
    <w:lvl w:ilvl="2" w:tplc="0809001B" w:tentative="1">
      <w:start w:val="1"/>
      <w:numFmt w:val="lowerRoman"/>
      <w:lvlText w:val="%3."/>
      <w:lvlJc w:val="right"/>
      <w:pPr>
        <w:ind w:left="5340" w:hanging="180"/>
      </w:pPr>
    </w:lvl>
    <w:lvl w:ilvl="3" w:tplc="0809000F" w:tentative="1">
      <w:start w:val="1"/>
      <w:numFmt w:val="decimal"/>
      <w:lvlText w:val="%4."/>
      <w:lvlJc w:val="left"/>
      <w:pPr>
        <w:ind w:left="6060" w:hanging="360"/>
      </w:pPr>
    </w:lvl>
    <w:lvl w:ilvl="4" w:tplc="08090019" w:tentative="1">
      <w:start w:val="1"/>
      <w:numFmt w:val="lowerLetter"/>
      <w:lvlText w:val="%5."/>
      <w:lvlJc w:val="left"/>
      <w:pPr>
        <w:ind w:left="6780" w:hanging="360"/>
      </w:pPr>
    </w:lvl>
    <w:lvl w:ilvl="5" w:tplc="0809001B" w:tentative="1">
      <w:start w:val="1"/>
      <w:numFmt w:val="lowerRoman"/>
      <w:lvlText w:val="%6."/>
      <w:lvlJc w:val="right"/>
      <w:pPr>
        <w:ind w:left="7500" w:hanging="180"/>
      </w:pPr>
    </w:lvl>
    <w:lvl w:ilvl="6" w:tplc="0809000F" w:tentative="1">
      <w:start w:val="1"/>
      <w:numFmt w:val="decimal"/>
      <w:lvlText w:val="%7."/>
      <w:lvlJc w:val="left"/>
      <w:pPr>
        <w:ind w:left="8220" w:hanging="360"/>
      </w:pPr>
    </w:lvl>
    <w:lvl w:ilvl="7" w:tplc="08090019" w:tentative="1">
      <w:start w:val="1"/>
      <w:numFmt w:val="lowerLetter"/>
      <w:lvlText w:val="%8."/>
      <w:lvlJc w:val="left"/>
      <w:pPr>
        <w:ind w:left="8940" w:hanging="360"/>
      </w:pPr>
    </w:lvl>
    <w:lvl w:ilvl="8" w:tplc="0809001B" w:tentative="1">
      <w:start w:val="1"/>
      <w:numFmt w:val="lowerRoman"/>
      <w:lvlText w:val="%9."/>
      <w:lvlJc w:val="right"/>
      <w:pPr>
        <w:ind w:left="9660" w:hanging="180"/>
      </w:pPr>
    </w:lvl>
  </w:abstractNum>
  <w:abstractNum w:abstractNumId="2" w15:restartNumberingAfterBreak="0">
    <w:nsid w:val="25591196"/>
    <w:multiLevelType w:val="hybridMultilevel"/>
    <w:tmpl w:val="E236F1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CA061A"/>
    <w:multiLevelType w:val="hybridMultilevel"/>
    <w:tmpl w:val="DFF0B8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7552F2"/>
    <w:multiLevelType w:val="hybridMultilevel"/>
    <w:tmpl w:val="AEB6F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021BB1"/>
    <w:multiLevelType w:val="hybridMultilevel"/>
    <w:tmpl w:val="62C0F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A70FBC"/>
    <w:multiLevelType w:val="hybridMultilevel"/>
    <w:tmpl w:val="A688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306787">
    <w:abstractNumId w:val="3"/>
  </w:num>
  <w:num w:numId="2" w16cid:durableId="2141143283">
    <w:abstractNumId w:val="4"/>
  </w:num>
  <w:num w:numId="3" w16cid:durableId="1653170235">
    <w:abstractNumId w:val="2"/>
  </w:num>
  <w:num w:numId="4" w16cid:durableId="765005897">
    <w:abstractNumId w:val="5"/>
  </w:num>
  <w:num w:numId="5" w16cid:durableId="978655780">
    <w:abstractNumId w:val="1"/>
  </w:num>
  <w:num w:numId="6" w16cid:durableId="1225919909">
    <w:abstractNumId w:val="0"/>
  </w:num>
  <w:num w:numId="7" w16cid:durableId="314336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57"/>
    <w:rsid w:val="000006F5"/>
    <w:rsid w:val="00002093"/>
    <w:rsid w:val="00002940"/>
    <w:rsid w:val="000044C5"/>
    <w:rsid w:val="000063A1"/>
    <w:rsid w:val="00006AE6"/>
    <w:rsid w:val="00012494"/>
    <w:rsid w:val="00012F60"/>
    <w:rsid w:val="000132E5"/>
    <w:rsid w:val="000149B8"/>
    <w:rsid w:val="00016B7E"/>
    <w:rsid w:val="000252F2"/>
    <w:rsid w:val="00030B0F"/>
    <w:rsid w:val="00034140"/>
    <w:rsid w:val="000368C4"/>
    <w:rsid w:val="000378EA"/>
    <w:rsid w:val="00040FDB"/>
    <w:rsid w:val="00041B29"/>
    <w:rsid w:val="00041E5F"/>
    <w:rsid w:val="00045236"/>
    <w:rsid w:val="00046CA0"/>
    <w:rsid w:val="0004726F"/>
    <w:rsid w:val="00047EF5"/>
    <w:rsid w:val="00047FFE"/>
    <w:rsid w:val="000502D5"/>
    <w:rsid w:val="000507C6"/>
    <w:rsid w:val="00052055"/>
    <w:rsid w:val="000526D5"/>
    <w:rsid w:val="000543D8"/>
    <w:rsid w:val="00054C8C"/>
    <w:rsid w:val="00055BA8"/>
    <w:rsid w:val="00056B31"/>
    <w:rsid w:val="000624E3"/>
    <w:rsid w:val="00062811"/>
    <w:rsid w:val="00062A4C"/>
    <w:rsid w:val="00063BDE"/>
    <w:rsid w:val="00064624"/>
    <w:rsid w:val="00066339"/>
    <w:rsid w:val="000667DD"/>
    <w:rsid w:val="000672DA"/>
    <w:rsid w:val="00070390"/>
    <w:rsid w:val="00071667"/>
    <w:rsid w:val="00072D3A"/>
    <w:rsid w:val="000754FE"/>
    <w:rsid w:val="000759EF"/>
    <w:rsid w:val="0008145E"/>
    <w:rsid w:val="00082FDF"/>
    <w:rsid w:val="000834D7"/>
    <w:rsid w:val="00083E9B"/>
    <w:rsid w:val="00087563"/>
    <w:rsid w:val="00093336"/>
    <w:rsid w:val="000935F5"/>
    <w:rsid w:val="00093AD6"/>
    <w:rsid w:val="00096F45"/>
    <w:rsid w:val="000A0C44"/>
    <w:rsid w:val="000A1B2B"/>
    <w:rsid w:val="000A3CC0"/>
    <w:rsid w:val="000B08C4"/>
    <w:rsid w:val="000B35EC"/>
    <w:rsid w:val="000B4F6F"/>
    <w:rsid w:val="000B612A"/>
    <w:rsid w:val="000C1883"/>
    <w:rsid w:val="000C44C8"/>
    <w:rsid w:val="000D1BBD"/>
    <w:rsid w:val="000D1C43"/>
    <w:rsid w:val="000D5004"/>
    <w:rsid w:val="000D79F6"/>
    <w:rsid w:val="000D7BFD"/>
    <w:rsid w:val="000E06D9"/>
    <w:rsid w:val="000E06F8"/>
    <w:rsid w:val="000E0B06"/>
    <w:rsid w:val="000E3C51"/>
    <w:rsid w:val="000E49EC"/>
    <w:rsid w:val="000E5B46"/>
    <w:rsid w:val="000E6EEB"/>
    <w:rsid w:val="000F0C3B"/>
    <w:rsid w:val="000F236D"/>
    <w:rsid w:val="000F3F9A"/>
    <w:rsid w:val="000F4FD7"/>
    <w:rsid w:val="00100F5F"/>
    <w:rsid w:val="001026BF"/>
    <w:rsid w:val="00102D38"/>
    <w:rsid w:val="0010711D"/>
    <w:rsid w:val="0011045F"/>
    <w:rsid w:val="0011597B"/>
    <w:rsid w:val="0011697D"/>
    <w:rsid w:val="001179D3"/>
    <w:rsid w:val="00117A4E"/>
    <w:rsid w:val="001208F1"/>
    <w:rsid w:val="00120BEF"/>
    <w:rsid w:val="00121A30"/>
    <w:rsid w:val="001225CE"/>
    <w:rsid w:val="0012417B"/>
    <w:rsid w:val="0012676F"/>
    <w:rsid w:val="0013117A"/>
    <w:rsid w:val="00132727"/>
    <w:rsid w:val="00132F8A"/>
    <w:rsid w:val="00134006"/>
    <w:rsid w:val="00136C33"/>
    <w:rsid w:val="00136F3A"/>
    <w:rsid w:val="001370EB"/>
    <w:rsid w:val="00143FA6"/>
    <w:rsid w:val="001448F0"/>
    <w:rsid w:val="00145534"/>
    <w:rsid w:val="001469B6"/>
    <w:rsid w:val="00146DF1"/>
    <w:rsid w:val="00147008"/>
    <w:rsid w:val="001603CD"/>
    <w:rsid w:val="0016108A"/>
    <w:rsid w:val="00161ECB"/>
    <w:rsid w:val="00162CA5"/>
    <w:rsid w:val="0016520C"/>
    <w:rsid w:val="00171FF2"/>
    <w:rsid w:val="001731B3"/>
    <w:rsid w:val="00174ECA"/>
    <w:rsid w:val="00176BAD"/>
    <w:rsid w:val="00177B9A"/>
    <w:rsid w:val="00181DEA"/>
    <w:rsid w:val="00183276"/>
    <w:rsid w:val="0018478E"/>
    <w:rsid w:val="001848DD"/>
    <w:rsid w:val="001902A8"/>
    <w:rsid w:val="00191A1D"/>
    <w:rsid w:val="0019295D"/>
    <w:rsid w:val="00193C0E"/>
    <w:rsid w:val="00196005"/>
    <w:rsid w:val="001A00DA"/>
    <w:rsid w:val="001A12E4"/>
    <w:rsid w:val="001A15C9"/>
    <w:rsid w:val="001A189F"/>
    <w:rsid w:val="001A428C"/>
    <w:rsid w:val="001A5108"/>
    <w:rsid w:val="001A7432"/>
    <w:rsid w:val="001B1C73"/>
    <w:rsid w:val="001B4989"/>
    <w:rsid w:val="001B652A"/>
    <w:rsid w:val="001C176C"/>
    <w:rsid w:val="001C60DC"/>
    <w:rsid w:val="001C6C57"/>
    <w:rsid w:val="001D1395"/>
    <w:rsid w:val="001D2263"/>
    <w:rsid w:val="001D4D1F"/>
    <w:rsid w:val="001D7078"/>
    <w:rsid w:val="001E0517"/>
    <w:rsid w:val="001E0D36"/>
    <w:rsid w:val="001E108B"/>
    <w:rsid w:val="001E1A2F"/>
    <w:rsid w:val="001E228E"/>
    <w:rsid w:val="001E25D7"/>
    <w:rsid w:val="001E2722"/>
    <w:rsid w:val="001E3A0C"/>
    <w:rsid w:val="001E3E78"/>
    <w:rsid w:val="001E4949"/>
    <w:rsid w:val="001E59C2"/>
    <w:rsid w:val="001E62EF"/>
    <w:rsid w:val="001E6709"/>
    <w:rsid w:val="001F060A"/>
    <w:rsid w:val="001F2D75"/>
    <w:rsid w:val="001F42C9"/>
    <w:rsid w:val="001F5510"/>
    <w:rsid w:val="00202482"/>
    <w:rsid w:val="00206CA2"/>
    <w:rsid w:val="00207E36"/>
    <w:rsid w:val="002113AE"/>
    <w:rsid w:val="00211A21"/>
    <w:rsid w:val="0021336E"/>
    <w:rsid w:val="00216222"/>
    <w:rsid w:val="00216F27"/>
    <w:rsid w:val="00224552"/>
    <w:rsid w:val="00227068"/>
    <w:rsid w:val="0023321B"/>
    <w:rsid w:val="00233DE3"/>
    <w:rsid w:val="002342BB"/>
    <w:rsid w:val="00234D7D"/>
    <w:rsid w:val="00237CD4"/>
    <w:rsid w:val="002422DC"/>
    <w:rsid w:val="00243CE0"/>
    <w:rsid w:val="00247A3E"/>
    <w:rsid w:val="00250EFD"/>
    <w:rsid w:val="00252B2C"/>
    <w:rsid w:val="00252CD7"/>
    <w:rsid w:val="00256599"/>
    <w:rsid w:val="00264114"/>
    <w:rsid w:val="002644C0"/>
    <w:rsid w:val="00264E7A"/>
    <w:rsid w:val="00267036"/>
    <w:rsid w:val="00267272"/>
    <w:rsid w:val="00267444"/>
    <w:rsid w:val="002724D0"/>
    <w:rsid w:val="00272D5C"/>
    <w:rsid w:val="00273D78"/>
    <w:rsid w:val="00276BE7"/>
    <w:rsid w:val="0027727E"/>
    <w:rsid w:val="00280760"/>
    <w:rsid w:val="002852BB"/>
    <w:rsid w:val="00287393"/>
    <w:rsid w:val="0029191A"/>
    <w:rsid w:val="00293B45"/>
    <w:rsid w:val="002A1F57"/>
    <w:rsid w:val="002A307F"/>
    <w:rsid w:val="002A442E"/>
    <w:rsid w:val="002A50AB"/>
    <w:rsid w:val="002B28A9"/>
    <w:rsid w:val="002B59D2"/>
    <w:rsid w:val="002B5DCE"/>
    <w:rsid w:val="002B6B49"/>
    <w:rsid w:val="002B71D1"/>
    <w:rsid w:val="002C1548"/>
    <w:rsid w:val="002C57FB"/>
    <w:rsid w:val="002C6A8B"/>
    <w:rsid w:val="002D0750"/>
    <w:rsid w:val="002D2908"/>
    <w:rsid w:val="002D3102"/>
    <w:rsid w:val="002D4B91"/>
    <w:rsid w:val="002D5738"/>
    <w:rsid w:val="002D633D"/>
    <w:rsid w:val="002E2D24"/>
    <w:rsid w:val="002E5769"/>
    <w:rsid w:val="002F06C0"/>
    <w:rsid w:val="002F10AC"/>
    <w:rsid w:val="002F5005"/>
    <w:rsid w:val="002F52DE"/>
    <w:rsid w:val="002F7864"/>
    <w:rsid w:val="00301691"/>
    <w:rsid w:val="00302960"/>
    <w:rsid w:val="00304539"/>
    <w:rsid w:val="00305010"/>
    <w:rsid w:val="003112D5"/>
    <w:rsid w:val="00313AE4"/>
    <w:rsid w:val="00321AD0"/>
    <w:rsid w:val="00321F06"/>
    <w:rsid w:val="003268E7"/>
    <w:rsid w:val="00331956"/>
    <w:rsid w:val="003323AA"/>
    <w:rsid w:val="003350D9"/>
    <w:rsid w:val="00336EB2"/>
    <w:rsid w:val="003377D7"/>
    <w:rsid w:val="00340087"/>
    <w:rsid w:val="0034077E"/>
    <w:rsid w:val="003409CA"/>
    <w:rsid w:val="00346A96"/>
    <w:rsid w:val="00350B80"/>
    <w:rsid w:val="003520B0"/>
    <w:rsid w:val="00354E7D"/>
    <w:rsid w:val="003554E6"/>
    <w:rsid w:val="00357C89"/>
    <w:rsid w:val="00357F92"/>
    <w:rsid w:val="003613DF"/>
    <w:rsid w:val="0036614C"/>
    <w:rsid w:val="003673AA"/>
    <w:rsid w:val="00375D26"/>
    <w:rsid w:val="00381AC4"/>
    <w:rsid w:val="0038259B"/>
    <w:rsid w:val="003849E0"/>
    <w:rsid w:val="0038521C"/>
    <w:rsid w:val="0038633A"/>
    <w:rsid w:val="00386F7C"/>
    <w:rsid w:val="0039124B"/>
    <w:rsid w:val="0039159B"/>
    <w:rsid w:val="0039230F"/>
    <w:rsid w:val="00394A19"/>
    <w:rsid w:val="00395D26"/>
    <w:rsid w:val="003968D3"/>
    <w:rsid w:val="00397203"/>
    <w:rsid w:val="00397547"/>
    <w:rsid w:val="003A15EE"/>
    <w:rsid w:val="003A2708"/>
    <w:rsid w:val="003A3138"/>
    <w:rsid w:val="003A6A78"/>
    <w:rsid w:val="003A7AC9"/>
    <w:rsid w:val="003B03E0"/>
    <w:rsid w:val="003B205A"/>
    <w:rsid w:val="003B2A04"/>
    <w:rsid w:val="003B59FF"/>
    <w:rsid w:val="003B65BF"/>
    <w:rsid w:val="003B6995"/>
    <w:rsid w:val="003B7D17"/>
    <w:rsid w:val="003C1116"/>
    <w:rsid w:val="003C17A2"/>
    <w:rsid w:val="003C52C4"/>
    <w:rsid w:val="003C6642"/>
    <w:rsid w:val="003D0E54"/>
    <w:rsid w:val="003E04CD"/>
    <w:rsid w:val="003E34C5"/>
    <w:rsid w:val="003E460B"/>
    <w:rsid w:val="003E54AA"/>
    <w:rsid w:val="003E70A8"/>
    <w:rsid w:val="003F155E"/>
    <w:rsid w:val="003F1618"/>
    <w:rsid w:val="003F58C9"/>
    <w:rsid w:val="003F6A1E"/>
    <w:rsid w:val="003F6F39"/>
    <w:rsid w:val="003F72FD"/>
    <w:rsid w:val="00401535"/>
    <w:rsid w:val="00403ECC"/>
    <w:rsid w:val="004041AF"/>
    <w:rsid w:val="00406BA7"/>
    <w:rsid w:val="00413191"/>
    <w:rsid w:val="00414B83"/>
    <w:rsid w:val="00414EAA"/>
    <w:rsid w:val="004157FD"/>
    <w:rsid w:val="004158A1"/>
    <w:rsid w:val="00416371"/>
    <w:rsid w:val="00416EB7"/>
    <w:rsid w:val="00417C0B"/>
    <w:rsid w:val="004228F8"/>
    <w:rsid w:val="0042328B"/>
    <w:rsid w:val="00427A86"/>
    <w:rsid w:val="0043267A"/>
    <w:rsid w:val="00433381"/>
    <w:rsid w:val="00437164"/>
    <w:rsid w:val="0043768C"/>
    <w:rsid w:val="00437C1F"/>
    <w:rsid w:val="0044026E"/>
    <w:rsid w:val="0044136D"/>
    <w:rsid w:val="00441B9F"/>
    <w:rsid w:val="004428C8"/>
    <w:rsid w:val="00443619"/>
    <w:rsid w:val="00443822"/>
    <w:rsid w:val="00443A73"/>
    <w:rsid w:val="0044488B"/>
    <w:rsid w:val="00444995"/>
    <w:rsid w:val="0044684F"/>
    <w:rsid w:val="00450EA5"/>
    <w:rsid w:val="004511D9"/>
    <w:rsid w:val="00452468"/>
    <w:rsid w:val="0045508B"/>
    <w:rsid w:val="004550CB"/>
    <w:rsid w:val="00461E40"/>
    <w:rsid w:val="004624F7"/>
    <w:rsid w:val="004658D4"/>
    <w:rsid w:val="0047413F"/>
    <w:rsid w:val="00475494"/>
    <w:rsid w:val="00477F1A"/>
    <w:rsid w:val="004806A1"/>
    <w:rsid w:val="00481072"/>
    <w:rsid w:val="004817D7"/>
    <w:rsid w:val="00481D86"/>
    <w:rsid w:val="00485953"/>
    <w:rsid w:val="00487960"/>
    <w:rsid w:val="00491410"/>
    <w:rsid w:val="004928C4"/>
    <w:rsid w:val="00493171"/>
    <w:rsid w:val="004A52B5"/>
    <w:rsid w:val="004B1B7E"/>
    <w:rsid w:val="004B1D23"/>
    <w:rsid w:val="004B3C94"/>
    <w:rsid w:val="004B4470"/>
    <w:rsid w:val="004B4E77"/>
    <w:rsid w:val="004C09F6"/>
    <w:rsid w:val="004C1820"/>
    <w:rsid w:val="004C1B41"/>
    <w:rsid w:val="004C4658"/>
    <w:rsid w:val="004C5242"/>
    <w:rsid w:val="004C5397"/>
    <w:rsid w:val="004D02E3"/>
    <w:rsid w:val="004D5FD3"/>
    <w:rsid w:val="004E1058"/>
    <w:rsid w:val="004E1DF4"/>
    <w:rsid w:val="004E2930"/>
    <w:rsid w:val="004E2E90"/>
    <w:rsid w:val="004E49AD"/>
    <w:rsid w:val="004E54F3"/>
    <w:rsid w:val="004F0392"/>
    <w:rsid w:val="004F0D2E"/>
    <w:rsid w:val="004F1543"/>
    <w:rsid w:val="004F1A37"/>
    <w:rsid w:val="004F30D3"/>
    <w:rsid w:val="004F5BB7"/>
    <w:rsid w:val="004F6365"/>
    <w:rsid w:val="004F64FE"/>
    <w:rsid w:val="004F7EDC"/>
    <w:rsid w:val="0050090C"/>
    <w:rsid w:val="0050291F"/>
    <w:rsid w:val="005044F0"/>
    <w:rsid w:val="00504EFA"/>
    <w:rsid w:val="005051C4"/>
    <w:rsid w:val="00507090"/>
    <w:rsid w:val="005113D3"/>
    <w:rsid w:val="005137C5"/>
    <w:rsid w:val="00515C08"/>
    <w:rsid w:val="00516A6B"/>
    <w:rsid w:val="005203A9"/>
    <w:rsid w:val="00526015"/>
    <w:rsid w:val="005334FF"/>
    <w:rsid w:val="005336CA"/>
    <w:rsid w:val="0053420C"/>
    <w:rsid w:val="00536954"/>
    <w:rsid w:val="0053730D"/>
    <w:rsid w:val="005426F1"/>
    <w:rsid w:val="0054287D"/>
    <w:rsid w:val="005435F7"/>
    <w:rsid w:val="005438BF"/>
    <w:rsid w:val="0054467E"/>
    <w:rsid w:val="00545943"/>
    <w:rsid w:val="00547C0E"/>
    <w:rsid w:val="005507BA"/>
    <w:rsid w:val="005516D1"/>
    <w:rsid w:val="00551F49"/>
    <w:rsid w:val="005520D1"/>
    <w:rsid w:val="00552A47"/>
    <w:rsid w:val="00553C54"/>
    <w:rsid w:val="00556CE0"/>
    <w:rsid w:val="005573E0"/>
    <w:rsid w:val="00557EB3"/>
    <w:rsid w:val="00561005"/>
    <w:rsid w:val="005675AF"/>
    <w:rsid w:val="005723D7"/>
    <w:rsid w:val="00572AA7"/>
    <w:rsid w:val="00573C3C"/>
    <w:rsid w:val="00573C64"/>
    <w:rsid w:val="00574213"/>
    <w:rsid w:val="005748E7"/>
    <w:rsid w:val="00577CA3"/>
    <w:rsid w:val="0058008A"/>
    <w:rsid w:val="005826F3"/>
    <w:rsid w:val="00583672"/>
    <w:rsid w:val="00584534"/>
    <w:rsid w:val="005845EC"/>
    <w:rsid w:val="00584E39"/>
    <w:rsid w:val="005859C0"/>
    <w:rsid w:val="00587553"/>
    <w:rsid w:val="00587C98"/>
    <w:rsid w:val="005916E4"/>
    <w:rsid w:val="00591E45"/>
    <w:rsid w:val="00592A7D"/>
    <w:rsid w:val="0059690B"/>
    <w:rsid w:val="005A230B"/>
    <w:rsid w:val="005A2355"/>
    <w:rsid w:val="005A4870"/>
    <w:rsid w:val="005A781D"/>
    <w:rsid w:val="005B093D"/>
    <w:rsid w:val="005B18A5"/>
    <w:rsid w:val="005B590B"/>
    <w:rsid w:val="005B5EFD"/>
    <w:rsid w:val="005B6AE5"/>
    <w:rsid w:val="005C174A"/>
    <w:rsid w:val="005C36B8"/>
    <w:rsid w:val="005C5C93"/>
    <w:rsid w:val="005C7EE2"/>
    <w:rsid w:val="005D1DEA"/>
    <w:rsid w:val="005D21C6"/>
    <w:rsid w:val="005D4E76"/>
    <w:rsid w:val="005D54CF"/>
    <w:rsid w:val="005D6924"/>
    <w:rsid w:val="005D77BF"/>
    <w:rsid w:val="005E0139"/>
    <w:rsid w:val="005E04BD"/>
    <w:rsid w:val="005E1D37"/>
    <w:rsid w:val="005E29C6"/>
    <w:rsid w:val="005E47A3"/>
    <w:rsid w:val="005F3D54"/>
    <w:rsid w:val="005F40E6"/>
    <w:rsid w:val="005F4740"/>
    <w:rsid w:val="005F6209"/>
    <w:rsid w:val="005F6606"/>
    <w:rsid w:val="0060275E"/>
    <w:rsid w:val="00602E53"/>
    <w:rsid w:val="006041B6"/>
    <w:rsid w:val="00604767"/>
    <w:rsid w:val="0061049D"/>
    <w:rsid w:val="00611018"/>
    <w:rsid w:val="006142B1"/>
    <w:rsid w:val="00615F02"/>
    <w:rsid w:val="00617C9D"/>
    <w:rsid w:val="00620661"/>
    <w:rsid w:val="0062258C"/>
    <w:rsid w:val="006226BF"/>
    <w:rsid w:val="00622C10"/>
    <w:rsid w:val="0062526A"/>
    <w:rsid w:val="00625C2D"/>
    <w:rsid w:val="00627A15"/>
    <w:rsid w:val="00630CBB"/>
    <w:rsid w:val="0063152A"/>
    <w:rsid w:val="00631679"/>
    <w:rsid w:val="00633D0E"/>
    <w:rsid w:val="00635E56"/>
    <w:rsid w:val="00640CE8"/>
    <w:rsid w:val="00642BED"/>
    <w:rsid w:val="00643DBE"/>
    <w:rsid w:val="00644684"/>
    <w:rsid w:val="00645942"/>
    <w:rsid w:val="006470A2"/>
    <w:rsid w:val="00647468"/>
    <w:rsid w:val="00647653"/>
    <w:rsid w:val="0065092F"/>
    <w:rsid w:val="00653FB1"/>
    <w:rsid w:val="00654FDC"/>
    <w:rsid w:val="00660A32"/>
    <w:rsid w:val="00661008"/>
    <w:rsid w:val="00661373"/>
    <w:rsid w:val="00661AF1"/>
    <w:rsid w:val="00664DA1"/>
    <w:rsid w:val="0066549E"/>
    <w:rsid w:val="006667F1"/>
    <w:rsid w:val="00667325"/>
    <w:rsid w:val="00673078"/>
    <w:rsid w:val="006747B2"/>
    <w:rsid w:val="006751CB"/>
    <w:rsid w:val="00680768"/>
    <w:rsid w:val="006827DC"/>
    <w:rsid w:val="00683AAD"/>
    <w:rsid w:val="00683AB8"/>
    <w:rsid w:val="00683F56"/>
    <w:rsid w:val="00684E6F"/>
    <w:rsid w:val="00685E0D"/>
    <w:rsid w:val="00686787"/>
    <w:rsid w:val="006924FD"/>
    <w:rsid w:val="00692DC2"/>
    <w:rsid w:val="00692E81"/>
    <w:rsid w:val="00692F3F"/>
    <w:rsid w:val="0069531D"/>
    <w:rsid w:val="00697C67"/>
    <w:rsid w:val="006A1567"/>
    <w:rsid w:val="006A279E"/>
    <w:rsid w:val="006B0ACB"/>
    <w:rsid w:val="006B1530"/>
    <w:rsid w:val="006B6AEB"/>
    <w:rsid w:val="006C101C"/>
    <w:rsid w:val="006C247A"/>
    <w:rsid w:val="006C2C95"/>
    <w:rsid w:val="006C6A75"/>
    <w:rsid w:val="006D0A8A"/>
    <w:rsid w:val="006D0EA9"/>
    <w:rsid w:val="006D14CA"/>
    <w:rsid w:val="006E0797"/>
    <w:rsid w:val="006E159F"/>
    <w:rsid w:val="006E2831"/>
    <w:rsid w:val="006E5B57"/>
    <w:rsid w:val="006F12AA"/>
    <w:rsid w:val="006F3D07"/>
    <w:rsid w:val="006F46E0"/>
    <w:rsid w:val="006F4E82"/>
    <w:rsid w:val="006F5B6E"/>
    <w:rsid w:val="006F6190"/>
    <w:rsid w:val="006F6B6C"/>
    <w:rsid w:val="00701BD9"/>
    <w:rsid w:val="00705F66"/>
    <w:rsid w:val="007069BC"/>
    <w:rsid w:val="00710468"/>
    <w:rsid w:val="00710BF4"/>
    <w:rsid w:val="00712CC8"/>
    <w:rsid w:val="007141DA"/>
    <w:rsid w:val="0071438F"/>
    <w:rsid w:val="00715138"/>
    <w:rsid w:val="007156A2"/>
    <w:rsid w:val="0072114A"/>
    <w:rsid w:val="007225CC"/>
    <w:rsid w:val="00722E99"/>
    <w:rsid w:val="00724FF2"/>
    <w:rsid w:val="00725215"/>
    <w:rsid w:val="00725939"/>
    <w:rsid w:val="00725DE4"/>
    <w:rsid w:val="007315B4"/>
    <w:rsid w:val="00731E34"/>
    <w:rsid w:val="00731FCE"/>
    <w:rsid w:val="007340CE"/>
    <w:rsid w:val="00734779"/>
    <w:rsid w:val="0073757E"/>
    <w:rsid w:val="00741495"/>
    <w:rsid w:val="00743F99"/>
    <w:rsid w:val="00745626"/>
    <w:rsid w:val="00745958"/>
    <w:rsid w:val="00750446"/>
    <w:rsid w:val="00752E71"/>
    <w:rsid w:val="00762146"/>
    <w:rsid w:val="00762CEF"/>
    <w:rsid w:val="00763D10"/>
    <w:rsid w:val="00765695"/>
    <w:rsid w:val="0077113C"/>
    <w:rsid w:val="007718C9"/>
    <w:rsid w:val="00772086"/>
    <w:rsid w:val="0077637D"/>
    <w:rsid w:val="00777013"/>
    <w:rsid w:val="00781F5D"/>
    <w:rsid w:val="00782237"/>
    <w:rsid w:val="00785208"/>
    <w:rsid w:val="007879ED"/>
    <w:rsid w:val="00787EB6"/>
    <w:rsid w:val="00790317"/>
    <w:rsid w:val="00791AD0"/>
    <w:rsid w:val="00792184"/>
    <w:rsid w:val="007932D6"/>
    <w:rsid w:val="007A0898"/>
    <w:rsid w:val="007A1C6A"/>
    <w:rsid w:val="007A3D1E"/>
    <w:rsid w:val="007A3D3E"/>
    <w:rsid w:val="007A46F8"/>
    <w:rsid w:val="007A6ACA"/>
    <w:rsid w:val="007A6DAF"/>
    <w:rsid w:val="007A7D3A"/>
    <w:rsid w:val="007B1626"/>
    <w:rsid w:val="007B28E0"/>
    <w:rsid w:val="007B3468"/>
    <w:rsid w:val="007B3CD2"/>
    <w:rsid w:val="007B5AE0"/>
    <w:rsid w:val="007B64E5"/>
    <w:rsid w:val="007B68A5"/>
    <w:rsid w:val="007B6DC7"/>
    <w:rsid w:val="007C0761"/>
    <w:rsid w:val="007C1257"/>
    <w:rsid w:val="007C2283"/>
    <w:rsid w:val="007C2648"/>
    <w:rsid w:val="007C2AEC"/>
    <w:rsid w:val="007C3FF8"/>
    <w:rsid w:val="007C64C5"/>
    <w:rsid w:val="007C6FD4"/>
    <w:rsid w:val="007C7610"/>
    <w:rsid w:val="007D3033"/>
    <w:rsid w:val="007D3205"/>
    <w:rsid w:val="007D32B3"/>
    <w:rsid w:val="007D4436"/>
    <w:rsid w:val="007D5899"/>
    <w:rsid w:val="007D64F0"/>
    <w:rsid w:val="007D6BC2"/>
    <w:rsid w:val="007E0B38"/>
    <w:rsid w:val="007E2022"/>
    <w:rsid w:val="007E4990"/>
    <w:rsid w:val="007E7557"/>
    <w:rsid w:val="007F0D12"/>
    <w:rsid w:val="007F1B2C"/>
    <w:rsid w:val="007F1FD1"/>
    <w:rsid w:val="007F22BC"/>
    <w:rsid w:val="007F42F3"/>
    <w:rsid w:val="007F4FB0"/>
    <w:rsid w:val="007F6A90"/>
    <w:rsid w:val="00802C81"/>
    <w:rsid w:val="008056F0"/>
    <w:rsid w:val="00806512"/>
    <w:rsid w:val="008075BD"/>
    <w:rsid w:val="008076E8"/>
    <w:rsid w:val="0080771B"/>
    <w:rsid w:val="00810B32"/>
    <w:rsid w:val="00812E76"/>
    <w:rsid w:val="00816437"/>
    <w:rsid w:val="00816C06"/>
    <w:rsid w:val="00821E20"/>
    <w:rsid w:val="00825077"/>
    <w:rsid w:val="00831705"/>
    <w:rsid w:val="008373EA"/>
    <w:rsid w:val="00840A02"/>
    <w:rsid w:val="008412BF"/>
    <w:rsid w:val="008443F1"/>
    <w:rsid w:val="008445C0"/>
    <w:rsid w:val="008452D1"/>
    <w:rsid w:val="00845ACA"/>
    <w:rsid w:val="00850894"/>
    <w:rsid w:val="008521EA"/>
    <w:rsid w:val="00852AB4"/>
    <w:rsid w:val="008557A3"/>
    <w:rsid w:val="00855E9B"/>
    <w:rsid w:val="00856026"/>
    <w:rsid w:val="0085683D"/>
    <w:rsid w:val="00863176"/>
    <w:rsid w:val="008631C3"/>
    <w:rsid w:val="008634E0"/>
    <w:rsid w:val="008634E3"/>
    <w:rsid w:val="00863977"/>
    <w:rsid w:val="00864357"/>
    <w:rsid w:val="008643AF"/>
    <w:rsid w:val="008647C9"/>
    <w:rsid w:val="0086563A"/>
    <w:rsid w:val="00866016"/>
    <w:rsid w:val="008675E1"/>
    <w:rsid w:val="008720B9"/>
    <w:rsid w:val="00874E04"/>
    <w:rsid w:val="00876CCD"/>
    <w:rsid w:val="00876F7C"/>
    <w:rsid w:val="008778C1"/>
    <w:rsid w:val="00877F2B"/>
    <w:rsid w:val="00880DC6"/>
    <w:rsid w:val="00881FDB"/>
    <w:rsid w:val="00883E4E"/>
    <w:rsid w:val="008850A4"/>
    <w:rsid w:val="00886511"/>
    <w:rsid w:val="00887E26"/>
    <w:rsid w:val="00890718"/>
    <w:rsid w:val="008911D8"/>
    <w:rsid w:val="00892008"/>
    <w:rsid w:val="00893AA4"/>
    <w:rsid w:val="00895FF8"/>
    <w:rsid w:val="00896F6F"/>
    <w:rsid w:val="008A2065"/>
    <w:rsid w:val="008A23EB"/>
    <w:rsid w:val="008A4CE4"/>
    <w:rsid w:val="008B0386"/>
    <w:rsid w:val="008B16B3"/>
    <w:rsid w:val="008B18B8"/>
    <w:rsid w:val="008B3725"/>
    <w:rsid w:val="008B3E03"/>
    <w:rsid w:val="008B46D6"/>
    <w:rsid w:val="008B4A20"/>
    <w:rsid w:val="008C2075"/>
    <w:rsid w:val="008C4C8C"/>
    <w:rsid w:val="008C69BB"/>
    <w:rsid w:val="008D1416"/>
    <w:rsid w:val="008D1D37"/>
    <w:rsid w:val="008D3A4B"/>
    <w:rsid w:val="008D7139"/>
    <w:rsid w:val="008D757C"/>
    <w:rsid w:val="008E2EE1"/>
    <w:rsid w:val="008E493F"/>
    <w:rsid w:val="008E5179"/>
    <w:rsid w:val="008E5369"/>
    <w:rsid w:val="008E69BE"/>
    <w:rsid w:val="008F3093"/>
    <w:rsid w:val="008F39C5"/>
    <w:rsid w:val="008F7DA8"/>
    <w:rsid w:val="00900208"/>
    <w:rsid w:val="00901A3B"/>
    <w:rsid w:val="00902F29"/>
    <w:rsid w:val="009038F7"/>
    <w:rsid w:val="0092051F"/>
    <w:rsid w:val="00921F9E"/>
    <w:rsid w:val="0092697E"/>
    <w:rsid w:val="009273D0"/>
    <w:rsid w:val="00927A44"/>
    <w:rsid w:val="009304A8"/>
    <w:rsid w:val="0093354B"/>
    <w:rsid w:val="00933A4F"/>
    <w:rsid w:val="00933E69"/>
    <w:rsid w:val="009356D7"/>
    <w:rsid w:val="00941FBD"/>
    <w:rsid w:val="009441B5"/>
    <w:rsid w:val="00944345"/>
    <w:rsid w:val="00944982"/>
    <w:rsid w:val="00946FAB"/>
    <w:rsid w:val="00947AAD"/>
    <w:rsid w:val="00950CCA"/>
    <w:rsid w:val="009537C1"/>
    <w:rsid w:val="00953943"/>
    <w:rsid w:val="00953A1F"/>
    <w:rsid w:val="00953B50"/>
    <w:rsid w:val="00953DB8"/>
    <w:rsid w:val="009554F0"/>
    <w:rsid w:val="009557CC"/>
    <w:rsid w:val="00956B16"/>
    <w:rsid w:val="00964CD3"/>
    <w:rsid w:val="00965058"/>
    <w:rsid w:val="00965573"/>
    <w:rsid w:val="00967553"/>
    <w:rsid w:val="00967E8A"/>
    <w:rsid w:val="00973E46"/>
    <w:rsid w:val="00974E54"/>
    <w:rsid w:val="00976CA8"/>
    <w:rsid w:val="00977F10"/>
    <w:rsid w:val="00986523"/>
    <w:rsid w:val="00987FA8"/>
    <w:rsid w:val="00992A57"/>
    <w:rsid w:val="0099315C"/>
    <w:rsid w:val="00994DDE"/>
    <w:rsid w:val="00995273"/>
    <w:rsid w:val="009977CD"/>
    <w:rsid w:val="009A0C5F"/>
    <w:rsid w:val="009A191A"/>
    <w:rsid w:val="009A526E"/>
    <w:rsid w:val="009B1DB2"/>
    <w:rsid w:val="009B3940"/>
    <w:rsid w:val="009B3E92"/>
    <w:rsid w:val="009B444B"/>
    <w:rsid w:val="009B78AF"/>
    <w:rsid w:val="009C26C9"/>
    <w:rsid w:val="009C3E46"/>
    <w:rsid w:val="009C765D"/>
    <w:rsid w:val="009C7DDF"/>
    <w:rsid w:val="009D1992"/>
    <w:rsid w:val="009D2402"/>
    <w:rsid w:val="009D28CA"/>
    <w:rsid w:val="009D2B5C"/>
    <w:rsid w:val="009D333F"/>
    <w:rsid w:val="009D4C49"/>
    <w:rsid w:val="009D56C3"/>
    <w:rsid w:val="009D60E7"/>
    <w:rsid w:val="009D6195"/>
    <w:rsid w:val="009D6AEA"/>
    <w:rsid w:val="009E113D"/>
    <w:rsid w:val="009E14E5"/>
    <w:rsid w:val="009E4DCE"/>
    <w:rsid w:val="009E6EA9"/>
    <w:rsid w:val="009F0366"/>
    <w:rsid w:val="009F1088"/>
    <w:rsid w:val="009F148D"/>
    <w:rsid w:val="009F317B"/>
    <w:rsid w:val="009F6FFD"/>
    <w:rsid w:val="00A01CFD"/>
    <w:rsid w:val="00A054E7"/>
    <w:rsid w:val="00A05ECC"/>
    <w:rsid w:val="00A129DA"/>
    <w:rsid w:val="00A13963"/>
    <w:rsid w:val="00A13B2F"/>
    <w:rsid w:val="00A13C92"/>
    <w:rsid w:val="00A14DB4"/>
    <w:rsid w:val="00A17EA4"/>
    <w:rsid w:val="00A20CA3"/>
    <w:rsid w:val="00A34EEB"/>
    <w:rsid w:val="00A35021"/>
    <w:rsid w:val="00A42FB5"/>
    <w:rsid w:val="00A47DF1"/>
    <w:rsid w:val="00A51053"/>
    <w:rsid w:val="00A528FF"/>
    <w:rsid w:val="00A535A3"/>
    <w:rsid w:val="00A5471D"/>
    <w:rsid w:val="00A554EF"/>
    <w:rsid w:val="00A57716"/>
    <w:rsid w:val="00A634CC"/>
    <w:rsid w:val="00A6477B"/>
    <w:rsid w:val="00A671C9"/>
    <w:rsid w:val="00A70DF6"/>
    <w:rsid w:val="00A71807"/>
    <w:rsid w:val="00A72DD7"/>
    <w:rsid w:val="00A751A8"/>
    <w:rsid w:val="00A80052"/>
    <w:rsid w:val="00A80F3A"/>
    <w:rsid w:val="00A81DAB"/>
    <w:rsid w:val="00A87336"/>
    <w:rsid w:val="00A92BBA"/>
    <w:rsid w:val="00A93F5B"/>
    <w:rsid w:val="00A94995"/>
    <w:rsid w:val="00A96226"/>
    <w:rsid w:val="00A976EA"/>
    <w:rsid w:val="00AA1A11"/>
    <w:rsid w:val="00AA233B"/>
    <w:rsid w:val="00AA40B8"/>
    <w:rsid w:val="00AA5F1E"/>
    <w:rsid w:val="00AA709E"/>
    <w:rsid w:val="00AB3554"/>
    <w:rsid w:val="00AB4017"/>
    <w:rsid w:val="00AB4413"/>
    <w:rsid w:val="00AB6709"/>
    <w:rsid w:val="00AB7EEC"/>
    <w:rsid w:val="00AC094C"/>
    <w:rsid w:val="00AC214E"/>
    <w:rsid w:val="00AC3215"/>
    <w:rsid w:val="00AC44D4"/>
    <w:rsid w:val="00AD54A6"/>
    <w:rsid w:val="00AD617B"/>
    <w:rsid w:val="00AE0DF9"/>
    <w:rsid w:val="00AE667D"/>
    <w:rsid w:val="00AE7A08"/>
    <w:rsid w:val="00AF10D9"/>
    <w:rsid w:val="00AF6FEA"/>
    <w:rsid w:val="00B002D3"/>
    <w:rsid w:val="00B03444"/>
    <w:rsid w:val="00B03AC6"/>
    <w:rsid w:val="00B05F34"/>
    <w:rsid w:val="00B074BD"/>
    <w:rsid w:val="00B13A6F"/>
    <w:rsid w:val="00B13B0E"/>
    <w:rsid w:val="00B152B7"/>
    <w:rsid w:val="00B168AB"/>
    <w:rsid w:val="00B16B3E"/>
    <w:rsid w:val="00B171C8"/>
    <w:rsid w:val="00B17A12"/>
    <w:rsid w:val="00B20526"/>
    <w:rsid w:val="00B227A8"/>
    <w:rsid w:val="00B22830"/>
    <w:rsid w:val="00B22914"/>
    <w:rsid w:val="00B22D8C"/>
    <w:rsid w:val="00B231BC"/>
    <w:rsid w:val="00B30197"/>
    <w:rsid w:val="00B32608"/>
    <w:rsid w:val="00B32EDB"/>
    <w:rsid w:val="00B33E32"/>
    <w:rsid w:val="00B36FD2"/>
    <w:rsid w:val="00B40081"/>
    <w:rsid w:val="00B41A67"/>
    <w:rsid w:val="00B4235D"/>
    <w:rsid w:val="00B45797"/>
    <w:rsid w:val="00B52BF8"/>
    <w:rsid w:val="00B530E9"/>
    <w:rsid w:val="00B57C93"/>
    <w:rsid w:val="00B6126A"/>
    <w:rsid w:val="00B61A3D"/>
    <w:rsid w:val="00B62E31"/>
    <w:rsid w:val="00B65494"/>
    <w:rsid w:val="00B66C13"/>
    <w:rsid w:val="00B718D1"/>
    <w:rsid w:val="00B7302B"/>
    <w:rsid w:val="00B7325E"/>
    <w:rsid w:val="00B73FDA"/>
    <w:rsid w:val="00B74310"/>
    <w:rsid w:val="00B750AE"/>
    <w:rsid w:val="00B75A6B"/>
    <w:rsid w:val="00B76398"/>
    <w:rsid w:val="00B7758C"/>
    <w:rsid w:val="00B800D6"/>
    <w:rsid w:val="00B81648"/>
    <w:rsid w:val="00B81891"/>
    <w:rsid w:val="00B8279E"/>
    <w:rsid w:val="00B838CD"/>
    <w:rsid w:val="00B84ADE"/>
    <w:rsid w:val="00B93642"/>
    <w:rsid w:val="00B949C5"/>
    <w:rsid w:val="00B94D09"/>
    <w:rsid w:val="00B94F19"/>
    <w:rsid w:val="00B96DE3"/>
    <w:rsid w:val="00BA0133"/>
    <w:rsid w:val="00BA0599"/>
    <w:rsid w:val="00BA0844"/>
    <w:rsid w:val="00BA2D37"/>
    <w:rsid w:val="00BA3B0E"/>
    <w:rsid w:val="00BA3D5E"/>
    <w:rsid w:val="00BA4607"/>
    <w:rsid w:val="00BB206E"/>
    <w:rsid w:val="00BB22AE"/>
    <w:rsid w:val="00BB307C"/>
    <w:rsid w:val="00BB421D"/>
    <w:rsid w:val="00BB4A34"/>
    <w:rsid w:val="00BB69E0"/>
    <w:rsid w:val="00BC229B"/>
    <w:rsid w:val="00BC27C6"/>
    <w:rsid w:val="00BC58A7"/>
    <w:rsid w:val="00BC5E33"/>
    <w:rsid w:val="00BD04A0"/>
    <w:rsid w:val="00BD0E23"/>
    <w:rsid w:val="00BD4908"/>
    <w:rsid w:val="00BD5370"/>
    <w:rsid w:val="00BD5F54"/>
    <w:rsid w:val="00BD73CE"/>
    <w:rsid w:val="00BE0465"/>
    <w:rsid w:val="00BE10A0"/>
    <w:rsid w:val="00BE1E3F"/>
    <w:rsid w:val="00BE28B7"/>
    <w:rsid w:val="00BE49D6"/>
    <w:rsid w:val="00BE4D29"/>
    <w:rsid w:val="00BE6740"/>
    <w:rsid w:val="00BE73C6"/>
    <w:rsid w:val="00BF1A00"/>
    <w:rsid w:val="00BF2711"/>
    <w:rsid w:val="00BF37FA"/>
    <w:rsid w:val="00BF6145"/>
    <w:rsid w:val="00BF64CC"/>
    <w:rsid w:val="00C00381"/>
    <w:rsid w:val="00C021A3"/>
    <w:rsid w:val="00C02CB9"/>
    <w:rsid w:val="00C03439"/>
    <w:rsid w:val="00C0371F"/>
    <w:rsid w:val="00C03A5E"/>
    <w:rsid w:val="00C06C78"/>
    <w:rsid w:val="00C0726F"/>
    <w:rsid w:val="00C10780"/>
    <w:rsid w:val="00C123F7"/>
    <w:rsid w:val="00C1492B"/>
    <w:rsid w:val="00C162DB"/>
    <w:rsid w:val="00C1659C"/>
    <w:rsid w:val="00C22743"/>
    <w:rsid w:val="00C2407F"/>
    <w:rsid w:val="00C2457B"/>
    <w:rsid w:val="00C25238"/>
    <w:rsid w:val="00C2530E"/>
    <w:rsid w:val="00C273D2"/>
    <w:rsid w:val="00C31A17"/>
    <w:rsid w:val="00C365D8"/>
    <w:rsid w:val="00C36887"/>
    <w:rsid w:val="00C37DA6"/>
    <w:rsid w:val="00C43E69"/>
    <w:rsid w:val="00C47A14"/>
    <w:rsid w:val="00C50D6E"/>
    <w:rsid w:val="00C51E25"/>
    <w:rsid w:val="00C52FB3"/>
    <w:rsid w:val="00C53EA4"/>
    <w:rsid w:val="00C56305"/>
    <w:rsid w:val="00C63279"/>
    <w:rsid w:val="00C648E7"/>
    <w:rsid w:val="00C650A2"/>
    <w:rsid w:val="00C654BA"/>
    <w:rsid w:val="00C67CD9"/>
    <w:rsid w:val="00C7044F"/>
    <w:rsid w:val="00C7526B"/>
    <w:rsid w:val="00C75480"/>
    <w:rsid w:val="00C83894"/>
    <w:rsid w:val="00C859D6"/>
    <w:rsid w:val="00C86981"/>
    <w:rsid w:val="00C87320"/>
    <w:rsid w:val="00C874E6"/>
    <w:rsid w:val="00C8754A"/>
    <w:rsid w:val="00C900AE"/>
    <w:rsid w:val="00C927C0"/>
    <w:rsid w:val="00C92F4F"/>
    <w:rsid w:val="00C953B0"/>
    <w:rsid w:val="00C9684B"/>
    <w:rsid w:val="00CA0D57"/>
    <w:rsid w:val="00CA1B80"/>
    <w:rsid w:val="00CA5111"/>
    <w:rsid w:val="00CA6450"/>
    <w:rsid w:val="00CA6738"/>
    <w:rsid w:val="00CA7BF1"/>
    <w:rsid w:val="00CB5B5A"/>
    <w:rsid w:val="00CB60A9"/>
    <w:rsid w:val="00CB739D"/>
    <w:rsid w:val="00CB7EDB"/>
    <w:rsid w:val="00CC07A7"/>
    <w:rsid w:val="00CC0EF3"/>
    <w:rsid w:val="00CC3191"/>
    <w:rsid w:val="00CC48A6"/>
    <w:rsid w:val="00CC5070"/>
    <w:rsid w:val="00CC7D9F"/>
    <w:rsid w:val="00CD32AC"/>
    <w:rsid w:val="00CD480F"/>
    <w:rsid w:val="00CD51D7"/>
    <w:rsid w:val="00CD68F6"/>
    <w:rsid w:val="00CD7FD1"/>
    <w:rsid w:val="00CE2850"/>
    <w:rsid w:val="00CE337C"/>
    <w:rsid w:val="00CE3AC0"/>
    <w:rsid w:val="00CE486B"/>
    <w:rsid w:val="00CE4C5D"/>
    <w:rsid w:val="00CE74BE"/>
    <w:rsid w:val="00CF7E4C"/>
    <w:rsid w:val="00D0204B"/>
    <w:rsid w:val="00D0393B"/>
    <w:rsid w:val="00D0413F"/>
    <w:rsid w:val="00D060EB"/>
    <w:rsid w:val="00D063F1"/>
    <w:rsid w:val="00D07CF8"/>
    <w:rsid w:val="00D11144"/>
    <w:rsid w:val="00D11EBC"/>
    <w:rsid w:val="00D13EEA"/>
    <w:rsid w:val="00D13FEC"/>
    <w:rsid w:val="00D178CE"/>
    <w:rsid w:val="00D24098"/>
    <w:rsid w:val="00D2637D"/>
    <w:rsid w:val="00D268A5"/>
    <w:rsid w:val="00D30282"/>
    <w:rsid w:val="00D32145"/>
    <w:rsid w:val="00D329D8"/>
    <w:rsid w:val="00D377EC"/>
    <w:rsid w:val="00D41AFF"/>
    <w:rsid w:val="00D42950"/>
    <w:rsid w:val="00D435D0"/>
    <w:rsid w:val="00D43A50"/>
    <w:rsid w:val="00D4526F"/>
    <w:rsid w:val="00D46A79"/>
    <w:rsid w:val="00D4786B"/>
    <w:rsid w:val="00D47B97"/>
    <w:rsid w:val="00D47FB8"/>
    <w:rsid w:val="00D50481"/>
    <w:rsid w:val="00D529D0"/>
    <w:rsid w:val="00D538BE"/>
    <w:rsid w:val="00D54A42"/>
    <w:rsid w:val="00D55873"/>
    <w:rsid w:val="00D55A4A"/>
    <w:rsid w:val="00D55AD1"/>
    <w:rsid w:val="00D57414"/>
    <w:rsid w:val="00D576F5"/>
    <w:rsid w:val="00D57CAA"/>
    <w:rsid w:val="00D6286C"/>
    <w:rsid w:val="00D66647"/>
    <w:rsid w:val="00D66D5F"/>
    <w:rsid w:val="00D70FB7"/>
    <w:rsid w:val="00D71492"/>
    <w:rsid w:val="00D738A4"/>
    <w:rsid w:val="00D73BA5"/>
    <w:rsid w:val="00D73D7C"/>
    <w:rsid w:val="00D74745"/>
    <w:rsid w:val="00D74FCD"/>
    <w:rsid w:val="00D75FC1"/>
    <w:rsid w:val="00D8529F"/>
    <w:rsid w:val="00D862C4"/>
    <w:rsid w:val="00D86A18"/>
    <w:rsid w:val="00D87ECD"/>
    <w:rsid w:val="00D9049B"/>
    <w:rsid w:val="00D9066C"/>
    <w:rsid w:val="00D90EFB"/>
    <w:rsid w:val="00D91DBA"/>
    <w:rsid w:val="00D97B5F"/>
    <w:rsid w:val="00DA2F97"/>
    <w:rsid w:val="00DA4514"/>
    <w:rsid w:val="00DA4EFE"/>
    <w:rsid w:val="00DA6D91"/>
    <w:rsid w:val="00DB08B8"/>
    <w:rsid w:val="00DB0EAB"/>
    <w:rsid w:val="00DB12CC"/>
    <w:rsid w:val="00DB2B11"/>
    <w:rsid w:val="00DB4C86"/>
    <w:rsid w:val="00DB5CA0"/>
    <w:rsid w:val="00DB65FA"/>
    <w:rsid w:val="00DB6F2B"/>
    <w:rsid w:val="00DB73E9"/>
    <w:rsid w:val="00DC0421"/>
    <w:rsid w:val="00DC29FD"/>
    <w:rsid w:val="00DC782F"/>
    <w:rsid w:val="00DD2FAE"/>
    <w:rsid w:val="00DD6A54"/>
    <w:rsid w:val="00DE2645"/>
    <w:rsid w:val="00DE3A9C"/>
    <w:rsid w:val="00DE7937"/>
    <w:rsid w:val="00DF1543"/>
    <w:rsid w:val="00DF52B9"/>
    <w:rsid w:val="00DF6F0F"/>
    <w:rsid w:val="00DF78AD"/>
    <w:rsid w:val="00E015FE"/>
    <w:rsid w:val="00E02E88"/>
    <w:rsid w:val="00E07B6E"/>
    <w:rsid w:val="00E149CD"/>
    <w:rsid w:val="00E1633A"/>
    <w:rsid w:val="00E16CB8"/>
    <w:rsid w:val="00E209A5"/>
    <w:rsid w:val="00E20D7B"/>
    <w:rsid w:val="00E23996"/>
    <w:rsid w:val="00E240A4"/>
    <w:rsid w:val="00E2454E"/>
    <w:rsid w:val="00E325ED"/>
    <w:rsid w:val="00E33D91"/>
    <w:rsid w:val="00E35F5A"/>
    <w:rsid w:val="00E37019"/>
    <w:rsid w:val="00E4504D"/>
    <w:rsid w:val="00E45E3C"/>
    <w:rsid w:val="00E5222F"/>
    <w:rsid w:val="00E52FAB"/>
    <w:rsid w:val="00E53289"/>
    <w:rsid w:val="00E53BCF"/>
    <w:rsid w:val="00E542E9"/>
    <w:rsid w:val="00E56682"/>
    <w:rsid w:val="00E57236"/>
    <w:rsid w:val="00E60094"/>
    <w:rsid w:val="00E60C86"/>
    <w:rsid w:val="00E61905"/>
    <w:rsid w:val="00E630CA"/>
    <w:rsid w:val="00E65680"/>
    <w:rsid w:val="00E65BE4"/>
    <w:rsid w:val="00E6623C"/>
    <w:rsid w:val="00E708D4"/>
    <w:rsid w:val="00E709BB"/>
    <w:rsid w:val="00E70FFA"/>
    <w:rsid w:val="00E730BD"/>
    <w:rsid w:val="00E7363E"/>
    <w:rsid w:val="00E745EA"/>
    <w:rsid w:val="00E802EE"/>
    <w:rsid w:val="00E80E5C"/>
    <w:rsid w:val="00E82171"/>
    <w:rsid w:val="00E87E55"/>
    <w:rsid w:val="00E90D9B"/>
    <w:rsid w:val="00E918EC"/>
    <w:rsid w:val="00E93897"/>
    <w:rsid w:val="00E9507E"/>
    <w:rsid w:val="00E97386"/>
    <w:rsid w:val="00EA1A5A"/>
    <w:rsid w:val="00EA4B4C"/>
    <w:rsid w:val="00EA5BD4"/>
    <w:rsid w:val="00EA6B4F"/>
    <w:rsid w:val="00EB1D8D"/>
    <w:rsid w:val="00EB30AD"/>
    <w:rsid w:val="00EB32DD"/>
    <w:rsid w:val="00EB3580"/>
    <w:rsid w:val="00EB37C2"/>
    <w:rsid w:val="00EB448E"/>
    <w:rsid w:val="00EB5A1F"/>
    <w:rsid w:val="00EB6513"/>
    <w:rsid w:val="00EB7FFA"/>
    <w:rsid w:val="00EC1B13"/>
    <w:rsid w:val="00EC3CBB"/>
    <w:rsid w:val="00EC4430"/>
    <w:rsid w:val="00EC69F5"/>
    <w:rsid w:val="00EC6D79"/>
    <w:rsid w:val="00EC6E22"/>
    <w:rsid w:val="00EC7149"/>
    <w:rsid w:val="00ED06DA"/>
    <w:rsid w:val="00ED19D9"/>
    <w:rsid w:val="00ED4C39"/>
    <w:rsid w:val="00ED5279"/>
    <w:rsid w:val="00ED59D7"/>
    <w:rsid w:val="00EE4255"/>
    <w:rsid w:val="00EE4828"/>
    <w:rsid w:val="00EE6D77"/>
    <w:rsid w:val="00EF29F8"/>
    <w:rsid w:val="00EF5272"/>
    <w:rsid w:val="00EF5848"/>
    <w:rsid w:val="00EF7A39"/>
    <w:rsid w:val="00EF7B75"/>
    <w:rsid w:val="00F005EA"/>
    <w:rsid w:val="00F03A69"/>
    <w:rsid w:val="00F03EE6"/>
    <w:rsid w:val="00F0507D"/>
    <w:rsid w:val="00F0539E"/>
    <w:rsid w:val="00F05F90"/>
    <w:rsid w:val="00F07942"/>
    <w:rsid w:val="00F10E97"/>
    <w:rsid w:val="00F11363"/>
    <w:rsid w:val="00F11ADB"/>
    <w:rsid w:val="00F145D5"/>
    <w:rsid w:val="00F220E6"/>
    <w:rsid w:val="00F232A0"/>
    <w:rsid w:val="00F243B3"/>
    <w:rsid w:val="00F25DD4"/>
    <w:rsid w:val="00F35624"/>
    <w:rsid w:val="00F36E74"/>
    <w:rsid w:val="00F40621"/>
    <w:rsid w:val="00F409EF"/>
    <w:rsid w:val="00F51025"/>
    <w:rsid w:val="00F51AEB"/>
    <w:rsid w:val="00F532CD"/>
    <w:rsid w:val="00F53430"/>
    <w:rsid w:val="00F57092"/>
    <w:rsid w:val="00F573A7"/>
    <w:rsid w:val="00F61568"/>
    <w:rsid w:val="00F6249A"/>
    <w:rsid w:val="00F638D2"/>
    <w:rsid w:val="00F6542F"/>
    <w:rsid w:val="00F67913"/>
    <w:rsid w:val="00F723DC"/>
    <w:rsid w:val="00F73AE0"/>
    <w:rsid w:val="00F76B26"/>
    <w:rsid w:val="00F82FE8"/>
    <w:rsid w:val="00F836F5"/>
    <w:rsid w:val="00F83BDD"/>
    <w:rsid w:val="00F845FD"/>
    <w:rsid w:val="00F84B75"/>
    <w:rsid w:val="00F85BF0"/>
    <w:rsid w:val="00F95A13"/>
    <w:rsid w:val="00F963BC"/>
    <w:rsid w:val="00F96AB0"/>
    <w:rsid w:val="00F96AC1"/>
    <w:rsid w:val="00FA0F50"/>
    <w:rsid w:val="00FA28EE"/>
    <w:rsid w:val="00FA2999"/>
    <w:rsid w:val="00FA3FA2"/>
    <w:rsid w:val="00FA449A"/>
    <w:rsid w:val="00FA48E3"/>
    <w:rsid w:val="00FA5F39"/>
    <w:rsid w:val="00FB21A7"/>
    <w:rsid w:val="00FB3076"/>
    <w:rsid w:val="00FB3B0F"/>
    <w:rsid w:val="00FC2A5C"/>
    <w:rsid w:val="00FD167E"/>
    <w:rsid w:val="00FD1829"/>
    <w:rsid w:val="00FD1D6D"/>
    <w:rsid w:val="00FD6629"/>
    <w:rsid w:val="00FD6ED6"/>
    <w:rsid w:val="00FD7753"/>
    <w:rsid w:val="00FE0ED6"/>
    <w:rsid w:val="00FE202A"/>
    <w:rsid w:val="00FE40CB"/>
    <w:rsid w:val="00FE54F4"/>
    <w:rsid w:val="00FE57C3"/>
    <w:rsid w:val="00FF1A27"/>
    <w:rsid w:val="00FF421C"/>
    <w:rsid w:val="00FF525C"/>
    <w:rsid w:val="00FF662F"/>
    <w:rsid w:val="00FF7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68CA1"/>
  <w14:defaultImageDpi w14:val="32767"/>
  <w15:chartTrackingRefBased/>
  <w15:docId w15:val="{0AAAB4AD-2D02-894E-B8DB-B10B4A5A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Body">
    <w:name w:val="ES Body"/>
    <w:qFormat/>
    <w:rsid w:val="005D21C6"/>
    <w:pPr>
      <w:jc w:val="both"/>
    </w:pPr>
    <w:rPr>
      <w:rFonts w:ascii="Times New Roman" w:eastAsiaTheme="majorEastAsia" w:hAnsi="Times New Roman" w:cs="Times New Roman"/>
      <w:color w:val="000000" w:themeColor="text1"/>
      <w:sz w:val="22"/>
      <w:lang w:val="en-US"/>
    </w:rPr>
  </w:style>
  <w:style w:type="paragraph" w:styleId="BalloonText">
    <w:name w:val="Balloon Text"/>
    <w:basedOn w:val="Normal"/>
    <w:link w:val="BalloonTextChar"/>
    <w:uiPriority w:val="99"/>
    <w:semiHidden/>
    <w:unhideWhenUsed/>
    <w:rsid w:val="002A1F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1F57"/>
    <w:rPr>
      <w:rFonts w:ascii="Times New Roman" w:hAnsi="Times New Roman" w:cs="Times New Roman"/>
      <w:sz w:val="18"/>
      <w:szCs w:val="18"/>
    </w:rPr>
  </w:style>
  <w:style w:type="paragraph" w:styleId="ListParagraph">
    <w:name w:val="List Paragraph"/>
    <w:basedOn w:val="Normal"/>
    <w:uiPriority w:val="34"/>
    <w:qFormat/>
    <w:rsid w:val="0054287D"/>
    <w:pPr>
      <w:ind w:left="720"/>
      <w:contextualSpacing/>
    </w:pPr>
  </w:style>
  <w:style w:type="paragraph" w:styleId="Header">
    <w:name w:val="header"/>
    <w:basedOn w:val="Normal"/>
    <w:link w:val="HeaderChar"/>
    <w:uiPriority w:val="99"/>
    <w:unhideWhenUsed/>
    <w:rsid w:val="00D66647"/>
    <w:pPr>
      <w:tabs>
        <w:tab w:val="center" w:pos="4680"/>
        <w:tab w:val="right" w:pos="9360"/>
      </w:tabs>
    </w:pPr>
  </w:style>
  <w:style w:type="character" w:customStyle="1" w:styleId="HeaderChar">
    <w:name w:val="Header Char"/>
    <w:basedOn w:val="DefaultParagraphFont"/>
    <w:link w:val="Header"/>
    <w:uiPriority w:val="99"/>
    <w:rsid w:val="00D66647"/>
  </w:style>
  <w:style w:type="paragraph" w:styleId="Footer">
    <w:name w:val="footer"/>
    <w:basedOn w:val="Normal"/>
    <w:link w:val="FooterChar"/>
    <w:uiPriority w:val="99"/>
    <w:unhideWhenUsed/>
    <w:rsid w:val="00D66647"/>
    <w:pPr>
      <w:tabs>
        <w:tab w:val="center" w:pos="4680"/>
        <w:tab w:val="right" w:pos="9360"/>
      </w:tabs>
    </w:pPr>
  </w:style>
  <w:style w:type="character" w:customStyle="1" w:styleId="FooterChar">
    <w:name w:val="Footer Char"/>
    <w:basedOn w:val="DefaultParagraphFont"/>
    <w:link w:val="Footer"/>
    <w:uiPriority w:val="99"/>
    <w:rsid w:val="00D66647"/>
  </w:style>
  <w:style w:type="character" w:styleId="CommentReference">
    <w:name w:val="annotation reference"/>
    <w:basedOn w:val="DefaultParagraphFont"/>
    <w:uiPriority w:val="99"/>
    <w:semiHidden/>
    <w:unhideWhenUsed/>
    <w:rsid w:val="00437C1F"/>
    <w:rPr>
      <w:sz w:val="16"/>
      <w:szCs w:val="16"/>
    </w:rPr>
  </w:style>
  <w:style w:type="paragraph" w:styleId="CommentText">
    <w:name w:val="annotation text"/>
    <w:basedOn w:val="Normal"/>
    <w:link w:val="CommentTextChar"/>
    <w:uiPriority w:val="99"/>
    <w:semiHidden/>
    <w:unhideWhenUsed/>
    <w:rsid w:val="00437C1F"/>
    <w:rPr>
      <w:sz w:val="20"/>
      <w:szCs w:val="20"/>
    </w:rPr>
  </w:style>
  <w:style w:type="character" w:customStyle="1" w:styleId="CommentTextChar">
    <w:name w:val="Comment Text Char"/>
    <w:basedOn w:val="DefaultParagraphFont"/>
    <w:link w:val="CommentText"/>
    <w:uiPriority w:val="99"/>
    <w:semiHidden/>
    <w:rsid w:val="00437C1F"/>
    <w:rPr>
      <w:sz w:val="20"/>
      <w:szCs w:val="20"/>
    </w:rPr>
  </w:style>
  <w:style w:type="paragraph" w:styleId="CommentSubject">
    <w:name w:val="annotation subject"/>
    <w:basedOn w:val="CommentText"/>
    <w:next w:val="CommentText"/>
    <w:link w:val="CommentSubjectChar"/>
    <w:uiPriority w:val="99"/>
    <w:semiHidden/>
    <w:unhideWhenUsed/>
    <w:rsid w:val="00437C1F"/>
    <w:rPr>
      <w:b/>
      <w:bCs/>
    </w:rPr>
  </w:style>
  <w:style w:type="character" w:customStyle="1" w:styleId="CommentSubjectChar">
    <w:name w:val="Comment Subject Char"/>
    <w:basedOn w:val="CommentTextChar"/>
    <w:link w:val="CommentSubject"/>
    <w:uiPriority w:val="99"/>
    <w:semiHidden/>
    <w:rsid w:val="00437C1F"/>
    <w:rPr>
      <w:b/>
      <w:bCs/>
      <w:sz w:val="20"/>
      <w:szCs w:val="20"/>
    </w:rPr>
  </w:style>
  <w:style w:type="table" w:styleId="TableGrid">
    <w:name w:val="Table Grid"/>
    <w:basedOn w:val="TableNormal"/>
    <w:rsid w:val="004B4E77"/>
    <w:pPr>
      <w:overflowPunct w:val="0"/>
      <w:autoSpaceDE w:val="0"/>
      <w:autoSpaceDN w:val="0"/>
      <w:adjustRightInd w:val="0"/>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273"/>
    <w:rPr>
      <w:color w:val="0563C1" w:themeColor="hyperlink"/>
      <w:u w:val="single"/>
    </w:rPr>
  </w:style>
  <w:style w:type="character" w:styleId="UnresolvedMention">
    <w:name w:val="Unresolved Mention"/>
    <w:basedOn w:val="DefaultParagraphFont"/>
    <w:uiPriority w:val="99"/>
    <w:rsid w:val="00995273"/>
    <w:rPr>
      <w:color w:val="605E5C"/>
      <w:shd w:val="clear" w:color="auto" w:fill="E1DFDD"/>
    </w:rPr>
  </w:style>
  <w:style w:type="character" w:styleId="FollowedHyperlink">
    <w:name w:val="FollowedHyperlink"/>
    <w:basedOn w:val="DefaultParagraphFont"/>
    <w:uiPriority w:val="99"/>
    <w:semiHidden/>
    <w:unhideWhenUsed/>
    <w:rsid w:val="002A442E"/>
    <w:rPr>
      <w:color w:val="954F72" w:themeColor="followedHyperlink"/>
      <w:u w:val="single"/>
    </w:rPr>
  </w:style>
  <w:style w:type="paragraph" w:styleId="Revision">
    <w:name w:val="Revision"/>
    <w:hidden/>
    <w:uiPriority w:val="99"/>
    <w:semiHidden/>
    <w:rsid w:val="00F220E6"/>
  </w:style>
  <w:style w:type="paragraph" w:styleId="FootnoteText">
    <w:name w:val="footnote text"/>
    <w:basedOn w:val="Normal"/>
    <w:link w:val="FootnoteTextChar"/>
    <w:uiPriority w:val="99"/>
    <w:semiHidden/>
    <w:unhideWhenUsed/>
    <w:rsid w:val="00E708D4"/>
    <w:rPr>
      <w:sz w:val="20"/>
      <w:szCs w:val="20"/>
    </w:rPr>
  </w:style>
  <w:style w:type="character" w:customStyle="1" w:styleId="FootnoteTextChar">
    <w:name w:val="Footnote Text Char"/>
    <w:basedOn w:val="DefaultParagraphFont"/>
    <w:link w:val="FootnoteText"/>
    <w:uiPriority w:val="99"/>
    <w:semiHidden/>
    <w:rsid w:val="00E708D4"/>
    <w:rPr>
      <w:sz w:val="20"/>
      <w:szCs w:val="20"/>
    </w:rPr>
  </w:style>
  <w:style w:type="character" w:styleId="FootnoteReference">
    <w:name w:val="footnote reference"/>
    <w:basedOn w:val="DefaultParagraphFont"/>
    <w:uiPriority w:val="99"/>
    <w:semiHidden/>
    <w:unhideWhenUsed/>
    <w:rsid w:val="00E708D4"/>
    <w:rPr>
      <w:vertAlign w:val="superscript"/>
    </w:rPr>
  </w:style>
  <w:style w:type="character" w:styleId="PageNumber">
    <w:name w:val="page number"/>
    <w:basedOn w:val="DefaultParagraphFont"/>
    <w:uiPriority w:val="99"/>
    <w:semiHidden/>
    <w:unhideWhenUsed/>
    <w:rsid w:val="001D4D1F"/>
  </w:style>
  <w:style w:type="character" w:styleId="PlaceholderText">
    <w:name w:val="Placeholder Text"/>
    <w:basedOn w:val="DefaultParagraphFont"/>
    <w:uiPriority w:val="99"/>
    <w:semiHidden/>
    <w:rsid w:val="006F61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18ACE3-6B89-744C-AF91-ADFA0043BA84}">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4B567-7194-4A48-8D50-088941B8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12</Pages>
  <Words>17705</Words>
  <Characters>100923</Characters>
  <Application>Microsoft Office Word</Application>
  <DocSecurity>0</DocSecurity>
  <Lines>841</Lines>
  <Paragraphs>236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Thomas (Student)</dc:creator>
  <cp:keywords/>
  <dc:description/>
  <cp:lastModifiedBy>Peck, Thomas</cp:lastModifiedBy>
  <cp:revision>303</cp:revision>
  <cp:lastPrinted>2021-04-22T12:32:00Z</cp:lastPrinted>
  <dcterms:created xsi:type="dcterms:W3CDTF">2022-11-01T08:42:00Z</dcterms:created>
  <dcterms:modified xsi:type="dcterms:W3CDTF">2022-11-21T10:46:00Z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http://www.zotero.org/styles/elsevier-harvard2</vt:lpwstr>
  </property>
  <property fmtid="{D5CDD505-2E9C-101B-9397-08002B2CF9AE}" pid="9" name="Mendeley Recent Style Name 3_1">
    <vt:lpwstr>Elsevier - Harvard 2</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http://www.zotero.org/styles/lancaster-university-harvard</vt:lpwstr>
  </property>
  <property fmtid="{D5CDD505-2E9C-101B-9397-08002B2CF9AE}" pid="15" name="Mendeley Recent Style Name 6_1">
    <vt:lpwstr>Lancaster University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460aadf8-c9cc-3aff-9e29-9249f1c2a7dc</vt:lpwstr>
  </property>
  <property fmtid="{D5CDD505-2E9C-101B-9397-08002B2CF9AE}" pid="24" name="Mendeley Citation Style_1">
    <vt:lpwstr>http://www.zotero.org/styles/lancaster-university-harvard</vt:lpwstr>
  </property>
  <property fmtid="{D5CDD505-2E9C-101B-9397-08002B2CF9AE}" pid="25" name="grammarly_documentId">
    <vt:lpwstr>documentId_6646</vt:lpwstr>
  </property>
  <property fmtid="{D5CDD505-2E9C-101B-9397-08002B2CF9AE}" pid="26" name="grammarly_documentContext">
    <vt:lpwstr>{"goals":[],"domain":"general","emotions":[],"dialect":"british"}</vt:lpwstr>
  </property>
</Properties>
</file>