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C2014" w14:textId="77777777" w:rsidR="00556C2A" w:rsidRDefault="00556C2A" w:rsidP="00540BCC">
      <w:pPr>
        <w:pStyle w:val="Heading1"/>
        <w:jc w:val="center"/>
        <w:rPr>
          <w:rStyle w:val="markedcontent"/>
        </w:rPr>
      </w:pPr>
      <w:r w:rsidRPr="00A17556">
        <w:rPr>
          <w:rStyle w:val="markedcontent"/>
        </w:rPr>
        <w:t>Written evidence submitted by</w:t>
      </w:r>
      <w:r w:rsidR="006A7FBF">
        <w:rPr>
          <w:rStyle w:val="markedcontent"/>
        </w:rPr>
        <w:t xml:space="preserve"> </w:t>
      </w:r>
      <w:r w:rsidR="006A7FBF">
        <w:t>Professor David Tyfield and Dr Andy Yuille (Lancaster University) and Professor Matthew Cotton and Dr Nicholas Gray (Teesside University)</w:t>
      </w:r>
      <w:r w:rsidR="00092789">
        <w:t>, all in personal capacity,</w:t>
      </w:r>
      <w:r w:rsidR="006A7FBF">
        <w:t xml:space="preserve"> to the Environmental Audit Committee</w:t>
      </w:r>
      <w:r w:rsidR="001E40AB">
        <w:t>: Inquiry on</w:t>
      </w:r>
      <w:r w:rsidR="00C51A93">
        <w:t xml:space="preserve"> carbon border adjustment mechanism</w:t>
      </w:r>
    </w:p>
    <w:p w14:paraId="70C44EEA" w14:textId="77777777" w:rsidR="007D5372" w:rsidRDefault="007D5372" w:rsidP="001C174B">
      <w:pPr>
        <w:pStyle w:val="Heading2"/>
      </w:pPr>
      <w:r>
        <w:t>Exec</w:t>
      </w:r>
      <w:r w:rsidR="002A7677">
        <w:t>utive</w:t>
      </w:r>
      <w:r>
        <w:t xml:space="preserve"> summary </w:t>
      </w:r>
    </w:p>
    <w:p w14:paraId="36145202" w14:textId="1E7488F5" w:rsidR="000701E2" w:rsidRDefault="005F4DF8" w:rsidP="009D1CA9">
      <w:pPr>
        <w:pStyle w:val="ListParagraph"/>
        <w:numPr>
          <w:ilvl w:val="0"/>
          <w:numId w:val="10"/>
        </w:numPr>
        <w:jc w:val="both"/>
      </w:pPr>
      <w:r>
        <w:t xml:space="preserve">In March this year the Government designated 8 new </w:t>
      </w:r>
      <w:r w:rsidR="002A7677">
        <w:t>F</w:t>
      </w:r>
      <w:r>
        <w:t>reeports in England</w:t>
      </w:r>
      <w:r w:rsidR="008A2F85">
        <w:t xml:space="preserve">, one of </w:t>
      </w:r>
      <w:r w:rsidR="000701E2">
        <w:t>its</w:t>
      </w:r>
      <w:r w:rsidR="00C44132">
        <w:t xml:space="preserve"> flagship polic</w:t>
      </w:r>
      <w:r w:rsidR="008A2F85">
        <w:t>ies</w:t>
      </w:r>
      <w:r w:rsidR="000701E2">
        <w:t xml:space="preserve"> to drive regional economic growth, international trade, and innovation</w:t>
      </w:r>
      <w:r w:rsidR="00F16C2A">
        <w:t>.</w:t>
      </w:r>
    </w:p>
    <w:p w14:paraId="449AD8E3" w14:textId="626FC570" w:rsidR="00101635" w:rsidRDefault="00101635" w:rsidP="009D1CA9">
      <w:pPr>
        <w:pStyle w:val="ListParagraph"/>
        <w:numPr>
          <w:ilvl w:val="0"/>
          <w:numId w:val="10"/>
        </w:numPr>
        <w:jc w:val="both"/>
      </w:pPr>
      <w:r>
        <w:t>Businesses oper</w:t>
      </w:r>
      <w:r w:rsidR="005C6A5F">
        <w:t xml:space="preserve">ating within Freeport sites benefit from reduced </w:t>
      </w:r>
      <w:r w:rsidR="00F16C2A">
        <w:t>tariffs</w:t>
      </w:r>
      <w:r w:rsidR="005C6A5F">
        <w:t xml:space="preserve">, </w:t>
      </w:r>
      <w:r w:rsidR="00F16C2A">
        <w:t>business rates,</w:t>
      </w:r>
      <w:r w:rsidR="004F610F">
        <w:t xml:space="preserve"> and</w:t>
      </w:r>
      <w:r w:rsidR="00F16C2A">
        <w:t xml:space="preserve"> national insurance </w:t>
      </w:r>
      <w:proofErr w:type="gramStart"/>
      <w:r w:rsidR="00F16C2A">
        <w:t>contributions;</w:t>
      </w:r>
      <w:proofErr w:type="gramEnd"/>
      <w:r w:rsidR="00F16C2A">
        <w:t xml:space="preserve"> alongside simplified </w:t>
      </w:r>
      <w:r w:rsidR="005C6A5F">
        <w:t xml:space="preserve">customs, planning and </w:t>
      </w:r>
      <w:r w:rsidR="00F16C2A">
        <w:t xml:space="preserve">data processing </w:t>
      </w:r>
      <w:r w:rsidR="005C6A5F">
        <w:t>requirements</w:t>
      </w:r>
      <w:r w:rsidR="00F16C2A">
        <w:t>.</w:t>
      </w:r>
    </w:p>
    <w:p w14:paraId="037F6538" w14:textId="0182032A" w:rsidR="00F65831" w:rsidRDefault="00F65831" w:rsidP="009D1CA9">
      <w:pPr>
        <w:pStyle w:val="ListParagraph"/>
        <w:numPr>
          <w:ilvl w:val="0"/>
          <w:numId w:val="10"/>
        </w:numPr>
        <w:jc w:val="both"/>
      </w:pPr>
      <w:r>
        <w:t xml:space="preserve">A </w:t>
      </w:r>
      <w:r w:rsidR="00F16C2A">
        <w:t>carbon border adjustment mechanism (CB</w:t>
      </w:r>
      <w:r>
        <w:t>AM</w:t>
      </w:r>
      <w:r w:rsidR="00F16C2A">
        <w:t xml:space="preserve">), </w:t>
      </w:r>
      <w:r>
        <w:t>or equivalent measure</w:t>
      </w:r>
      <w:r w:rsidR="00F16C2A">
        <w:t>,</w:t>
      </w:r>
      <w:r>
        <w:t xml:space="preserve"> </w:t>
      </w:r>
      <w:r w:rsidR="00475053">
        <w:t>appears</w:t>
      </w:r>
      <w:r>
        <w:t xml:space="preserve"> necessary to drive the decarbonisation of international supply chains</w:t>
      </w:r>
      <w:r w:rsidR="00F16C2A">
        <w:t>.</w:t>
      </w:r>
    </w:p>
    <w:p w14:paraId="495AC646" w14:textId="2D2546EB" w:rsidR="00E47670" w:rsidRDefault="00E47670" w:rsidP="009D1CA9">
      <w:pPr>
        <w:pStyle w:val="ListParagraph"/>
        <w:numPr>
          <w:ilvl w:val="0"/>
          <w:numId w:val="10"/>
        </w:numPr>
        <w:jc w:val="both"/>
      </w:pPr>
      <w:r>
        <w:t xml:space="preserve">There is </w:t>
      </w:r>
      <w:r w:rsidR="00B127DA">
        <w:t>likely to be both</w:t>
      </w:r>
      <w:r w:rsidR="00F16C2A">
        <w:t xml:space="preserve"> </w:t>
      </w:r>
      <w:r w:rsidR="00B127DA">
        <w:t xml:space="preserve">local </w:t>
      </w:r>
      <w:r w:rsidR="00F16C2A">
        <w:t xml:space="preserve">and national </w:t>
      </w:r>
      <w:r w:rsidR="00B127DA">
        <w:t xml:space="preserve">resistance to applying a CBAM in Freeports, as </w:t>
      </w:r>
      <w:r w:rsidR="00F16C2A">
        <w:t xml:space="preserve">project </w:t>
      </w:r>
      <w:r w:rsidR="00B127DA">
        <w:t xml:space="preserve">success is based on </w:t>
      </w:r>
      <w:r w:rsidR="00241029">
        <w:t xml:space="preserve">their exemption from normal import </w:t>
      </w:r>
      <w:r w:rsidR="009106CC">
        <w:t>tariffs</w:t>
      </w:r>
      <w:r w:rsidR="00241029">
        <w:t xml:space="preserve"> and customs procedures</w:t>
      </w:r>
    </w:p>
    <w:p w14:paraId="3A75365C" w14:textId="304EDD1E" w:rsidR="00F65831" w:rsidRDefault="00DC7E17" w:rsidP="009D1CA9">
      <w:pPr>
        <w:pStyle w:val="ListParagraph"/>
        <w:numPr>
          <w:ilvl w:val="0"/>
          <w:numId w:val="10"/>
        </w:numPr>
        <w:jc w:val="both"/>
      </w:pPr>
      <w:r>
        <w:t>If a CBAM is introduced to the UK, but Freeports are exempt</w:t>
      </w:r>
      <w:r w:rsidR="00F04061">
        <w:t xml:space="preserve">, </w:t>
      </w:r>
      <w:r w:rsidR="00F16C2A">
        <w:t>this generates a</w:t>
      </w:r>
      <w:r w:rsidR="00F04061">
        <w:t xml:space="preserve"> </w:t>
      </w:r>
      <w:r w:rsidR="00F16C2A">
        <w:t xml:space="preserve">high </w:t>
      </w:r>
      <w:r w:rsidR="00F04061">
        <w:t>risk of additional carbon leakage</w:t>
      </w:r>
      <w:r w:rsidR="00B45BBB">
        <w:t>, with Freeports acti</w:t>
      </w:r>
      <w:r w:rsidR="00F16C2A">
        <w:t xml:space="preserve">vely </w:t>
      </w:r>
      <w:r w:rsidR="00B45BBB">
        <w:t>undermin</w:t>
      </w:r>
      <w:r w:rsidR="00F16C2A">
        <w:t>ing</w:t>
      </w:r>
      <w:r w:rsidR="00B45BBB">
        <w:t xml:space="preserve"> </w:t>
      </w:r>
      <w:r w:rsidR="00F16C2A">
        <w:t>progress towards net zero policy commitments.</w:t>
      </w:r>
    </w:p>
    <w:p w14:paraId="3DB33379" w14:textId="19DE90F5" w:rsidR="00F04061" w:rsidRDefault="00F16C2A" w:rsidP="009D1CA9">
      <w:pPr>
        <w:pStyle w:val="ListParagraph"/>
        <w:numPr>
          <w:ilvl w:val="0"/>
          <w:numId w:val="10"/>
        </w:numPr>
        <w:jc w:val="both"/>
      </w:pPr>
      <w:r>
        <w:t xml:space="preserve">Simplified </w:t>
      </w:r>
      <w:r w:rsidR="00502AB4">
        <w:t>regulatory</w:t>
      </w:r>
      <w:r w:rsidR="00F04061">
        <w:t xml:space="preserve"> requirements within Freeport</w:t>
      </w:r>
      <w:r>
        <w:t xml:space="preserve"> zones</w:t>
      </w:r>
      <w:r w:rsidR="00F04061">
        <w:t xml:space="preserve"> may</w:t>
      </w:r>
      <w:r w:rsidR="00502AB4">
        <w:t xml:space="preserve"> make the application of a CBAM more difficult even if </w:t>
      </w:r>
      <w:r w:rsidR="00C44132">
        <w:t xml:space="preserve">they are not </w:t>
      </w:r>
      <w:r>
        <w:t>directly e</w:t>
      </w:r>
      <w:r w:rsidR="00C44132">
        <w:t>xempt</w:t>
      </w:r>
      <w:r>
        <w:t>.</w:t>
      </w:r>
    </w:p>
    <w:p w14:paraId="1ECA90CF" w14:textId="62F4A5CF" w:rsidR="004F6BDE" w:rsidRDefault="004F6BDE" w:rsidP="009D1CA9">
      <w:pPr>
        <w:pStyle w:val="ListParagraph"/>
        <w:numPr>
          <w:ilvl w:val="0"/>
          <w:numId w:val="10"/>
        </w:numPr>
        <w:jc w:val="both"/>
      </w:pPr>
      <w:r>
        <w:t>We recommend</w:t>
      </w:r>
      <w:r w:rsidR="00771A15">
        <w:t xml:space="preserve"> that </w:t>
      </w:r>
      <w:r>
        <w:t xml:space="preserve">a CBAM is introduced to the UK, that it applies equally in designated Freeports, and that measures are put in place to ensure </w:t>
      </w:r>
      <w:r w:rsidR="00F16C2A">
        <w:t>effective</w:t>
      </w:r>
      <w:r>
        <w:t xml:space="preserve"> enforce</w:t>
      </w:r>
      <w:r w:rsidR="00F16C2A">
        <w:t>ment</w:t>
      </w:r>
      <w:r>
        <w:t xml:space="preserve"> on Freeport sites</w:t>
      </w:r>
    </w:p>
    <w:p w14:paraId="5C222599" w14:textId="57D634AE" w:rsidR="00092789" w:rsidRDefault="00092789" w:rsidP="009D1CA9">
      <w:pPr>
        <w:pStyle w:val="ListParagraph"/>
        <w:numPr>
          <w:ilvl w:val="0"/>
          <w:numId w:val="10"/>
        </w:numPr>
        <w:jc w:val="both"/>
      </w:pPr>
      <w:r>
        <w:t>This may require a rebranding and redirection of the Freeport initiative to become “</w:t>
      </w:r>
      <w:proofErr w:type="spellStart"/>
      <w:r w:rsidR="0069671A">
        <w:t>C</w:t>
      </w:r>
      <w:r>
        <w:t>arbon</w:t>
      </w:r>
      <w:r w:rsidR="0069671A">
        <w:t>F</w:t>
      </w:r>
      <w:r>
        <w:t>ree</w:t>
      </w:r>
      <w:r w:rsidR="0069671A">
        <w:t>P</w:t>
      </w:r>
      <w:r>
        <w:t>orts</w:t>
      </w:r>
      <w:proofErr w:type="spellEnd"/>
      <w:r>
        <w:t xml:space="preserve">”, where distinct advantages for trade and industry remain in place but with the emphasis shifted from </w:t>
      </w:r>
      <w:r w:rsidRPr="009D1CA9">
        <w:rPr>
          <w:i/>
        </w:rPr>
        <w:t>low</w:t>
      </w:r>
      <w:r>
        <w:t xml:space="preserve"> tax and regulation to </w:t>
      </w:r>
      <w:r w:rsidRPr="009D1CA9">
        <w:rPr>
          <w:i/>
        </w:rPr>
        <w:t>different</w:t>
      </w:r>
      <w:r>
        <w:t xml:space="preserve"> tax and regulation, incorporating specific incentives on low-carbon industry, </w:t>
      </w:r>
      <w:proofErr w:type="gramStart"/>
      <w:r>
        <w:t>innovation</w:t>
      </w:r>
      <w:proofErr w:type="gramEnd"/>
      <w:r>
        <w:t xml:space="preserve"> and mobility.</w:t>
      </w:r>
    </w:p>
    <w:p w14:paraId="2509349A" w14:textId="77777777" w:rsidR="00E17506" w:rsidRDefault="00E17506" w:rsidP="00777564">
      <w:pPr>
        <w:pStyle w:val="Heading2"/>
        <w:spacing w:after="120"/>
      </w:pPr>
      <w:r>
        <w:t>Intro</w:t>
      </w:r>
      <w:r w:rsidR="00295924">
        <w:t>duction</w:t>
      </w:r>
    </w:p>
    <w:p w14:paraId="6D33BF80" w14:textId="096346CE" w:rsidR="002A2C70" w:rsidRPr="002A2C70" w:rsidRDefault="00D91BDE" w:rsidP="009D1CA9">
      <w:pPr>
        <w:pStyle w:val="ListParagraph"/>
        <w:numPr>
          <w:ilvl w:val="0"/>
          <w:numId w:val="11"/>
        </w:numPr>
        <w:spacing w:after="120"/>
        <w:jc w:val="both"/>
      </w:pPr>
      <w:r>
        <w:t>We are</w:t>
      </w:r>
      <w:r w:rsidR="00667915">
        <w:t xml:space="preserve"> Professor David Tyfield </w:t>
      </w:r>
      <w:r w:rsidR="00C65036">
        <w:t xml:space="preserve">and Dr Andy Yuille </w:t>
      </w:r>
      <w:r w:rsidR="00667915">
        <w:t>(Lancaster University)</w:t>
      </w:r>
      <w:r w:rsidR="00C65036">
        <w:t xml:space="preserve"> and Professor Matthew Cotton and Dr Nicholas Gray (Teesside University)</w:t>
      </w:r>
      <w:r w:rsidR="0044602D">
        <w:t>.</w:t>
      </w:r>
      <w:r w:rsidR="007C61B0">
        <w:t xml:space="preserve"> We are in the early stages of a short research project entitled “</w:t>
      </w:r>
      <w:proofErr w:type="spellStart"/>
      <w:r w:rsidR="005A6979" w:rsidRPr="003156D4">
        <w:rPr>
          <w:color w:val="000000" w:themeColor="text1"/>
        </w:rPr>
        <w:t>Carbon</w:t>
      </w:r>
      <w:r w:rsidR="00A208BC" w:rsidRPr="003156D4">
        <w:rPr>
          <w:color w:val="000000" w:themeColor="text1"/>
        </w:rPr>
        <w:t>Free</w:t>
      </w:r>
      <w:r w:rsidR="00322A2C" w:rsidRPr="003156D4">
        <w:rPr>
          <w:color w:val="000000" w:themeColor="text1"/>
        </w:rPr>
        <w:t>P</w:t>
      </w:r>
      <w:r w:rsidR="00A208BC" w:rsidRPr="003156D4">
        <w:rPr>
          <w:color w:val="000000" w:themeColor="text1"/>
        </w:rPr>
        <w:t>ort</w:t>
      </w:r>
      <w:r w:rsidR="005A6979" w:rsidRPr="003156D4">
        <w:rPr>
          <w:color w:val="000000" w:themeColor="text1"/>
        </w:rPr>
        <w:t>s</w:t>
      </w:r>
      <w:proofErr w:type="spellEnd"/>
      <w:r w:rsidR="005A6979" w:rsidRPr="003156D4">
        <w:rPr>
          <w:color w:val="000000" w:themeColor="text1"/>
        </w:rPr>
        <w:t xml:space="preserve">: </w:t>
      </w:r>
      <w:r w:rsidR="00A208BC" w:rsidRPr="003156D4">
        <w:rPr>
          <w:color w:val="000000" w:themeColor="text1"/>
        </w:rPr>
        <w:t>Freeport</w:t>
      </w:r>
      <w:r w:rsidR="005A6979" w:rsidRPr="003156D4">
        <w:rPr>
          <w:color w:val="000000" w:themeColor="text1"/>
        </w:rPr>
        <w:t>s as opportunities, not threats, for place-based decarbonisation of transport”</w:t>
      </w:r>
      <w:r w:rsidR="00092789">
        <w:rPr>
          <w:color w:val="000000" w:themeColor="text1"/>
        </w:rPr>
        <w:t xml:space="preserve">, funded by the EPSRC, via the DecarboN8 network grant </w:t>
      </w:r>
      <w:r w:rsidR="00F16C2A">
        <w:rPr>
          <w:color w:val="000000" w:themeColor="text1"/>
        </w:rPr>
        <w:t>coordinated by</w:t>
      </w:r>
      <w:r w:rsidR="00092789">
        <w:rPr>
          <w:color w:val="000000" w:themeColor="text1"/>
        </w:rPr>
        <w:t xml:space="preserve"> Leeds University</w:t>
      </w:r>
      <w:r w:rsidR="00324819" w:rsidRPr="003156D4">
        <w:rPr>
          <w:color w:val="000000" w:themeColor="text1"/>
        </w:rPr>
        <w:t xml:space="preserve">. </w:t>
      </w:r>
      <w:r w:rsidR="0086300D" w:rsidRPr="003156D4">
        <w:rPr>
          <w:color w:val="000000" w:themeColor="text1"/>
        </w:rPr>
        <w:t>We are investigating</w:t>
      </w:r>
      <w:r w:rsidR="00FC33EC" w:rsidRPr="003156D4">
        <w:rPr>
          <w:color w:val="000000" w:themeColor="text1"/>
        </w:rPr>
        <w:t xml:space="preserve"> the scope for aligning the </w:t>
      </w:r>
      <w:r w:rsidR="00A208BC" w:rsidRPr="003156D4">
        <w:rPr>
          <w:color w:val="000000" w:themeColor="text1"/>
        </w:rPr>
        <w:t>Freeport</w:t>
      </w:r>
      <w:r w:rsidR="00FC33EC" w:rsidRPr="003156D4">
        <w:rPr>
          <w:color w:val="000000" w:themeColor="text1"/>
        </w:rPr>
        <w:t xml:space="preserve">s </w:t>
      </w:r>
      <w:r w:rsidR="00F16C2A">
        <w:rPr>
          <w:color w:val="000000" w:themeColor="text1"/>
        </w:rPr>
        <w:t xml:space="preserve">policy </w:t>
      </w:r>
      <w:r w:rsidR="00FC33EC" w:rsidRPr="003156D4">
        <w:rPr>
          <w:color w:val="000000" w:themeColor="text1"/>
        </w:rPr>
        <w:t>initiative</w:t>
      </w:r>
      <w:r w:rsidR="00997A63" w:rsidRPr="003156D4">
        <w:rPr>
          <w:color w:val="000000" w:themeColor="text1"/>
        </w:rPr>
        <w:t xml:space="preserve"> with</w:t>
      </w:r>
      <w:r w:rsidR="00F16C2A">
        <w:rPr>
          <w:color w:val="000000" w:themeColor="text1"/>
        </w:rPr>
        <w:t>in the broader</w:t>
      </w:r>
      <w:r w:rsidR="00997A63" w:rsidRPr="003156D4">
        <w:rPr>
          <w:color w:val="000000" w:themeColor="text1"/>
        </w:rPr>
        <w:t xml:space="preserve"> net zero agenda, and the risks of non-alignment.</w:t>
      </w:r>
      <w:r w:rsidR="00335CD4" w:rsidRPr="003156D4">
        <w:rPr>
          <w:color w:val="000000" w:themeColor="text1"/>
        </w:rPr>
        <w:t xml:space="preserve"> We </w:t>
      </w:r>
      <w:r w:rsidR="00324819" w:rsidRPr="003156D4">
        <w:rPr>
          <w:color w:val="000000" w:themeColor="text1"/>
        </w:rPr>
        <w:t xml:space="preserve">wish to draw the Committee’s attention to </w:t>
      </w:r>
      <w:r w:rsidR="0044602D" w:rsidRPr="003156D4">
        <w:rPr>
          <w:color w:val="000000" w:themeColor="text1"/>
        </w:rPr>
        <w:t xml:space="preserve">the risks of </w:t>
      </w:r>
      <w:r w:rsidR="00E00AD3" w:rsidRPr="003156D4">
        <w:rPr>
          <w:color w:val="000000" w:themeColor="text1"/>
        </w:rPr>
        <w:t xml:space="preserve">additional </w:t>
      </w:r>
      <w:r w:rsidR="0044602D" w:rsidRPr="003156D4">
        <w:rPr>
          <w:color w:val="000000" w:themeColor="text1"/>
        </w:rPr>
        <w:t>carbon leakage</w:t>
      </w:r>
      <w:r w:rsidR="00E00AD3">
        <w:rPr>
          <w:color w:val="000000" w:themeColor="text1"/>
        </w:rPr>
        <w:t xml:space="preserve"> and increased transport emissions</w:t>
      </w:r>
      <w:r w:rsidR="00FD5FB8" w:rsidRPr="003156D4">
        <w:rPr>
          <w:color w:val="000000" w:themeColor="text1"/>
        </w:rPr>
        <w:t xml:space="preserve"> </w:t>
      </w:r>
      <w:proofErr w:type="gramStart"/>
      <w:r w:rsidR="001943ED" w:rsidRPr="003156D4">
        <w:rPr>
          <w:color w:val="000000" w:themeColor="text1"/>
        </w:rPr>
        <w:t>as a result of</w:t>
      </w:r>
      <w:proofErr w:type="gramEnd"/>
      <w:r w:rsidR="001943ED" w:rsidRPr="003156D4">
        <w:rPr>
          <w:color w:val="000000" w:themeColor="text1"/>
        </w:rPr>
        <w:t xml:space="preserve"> the </w:t>
      </w:r>
      <w:r w:rsidR="00A208BC" w:rsidRPr="003156D4">
        <w:rPr>
          <w:color w:val="000000" w:themeColor="text1"/>
        </w:rPr>
        <w:t>Freeport</w:t>
      </w:r>
      <w:r w:rsidR="001943ED" w:rsidRPr="003156D4">
        <w:rPr>
          <w:color w:val="000000" w:themeColor="text1"/>
        </w:rPr>
        <w:t>s policy</w:t>
      </w:r>
      <w:r w:rsidR="00FC1BC2" w:rsidRPr="003156D4">
        <w:rPr>
          <w:color w:val="000000" w:themeColor="text1"/>
        </w:rPr>
        <w:t>, and potential solutions for mitigating those risks.</w:t>
      </w:r>
      <w:r w:rsidR="00335CD4" w:rsidRPr="003156D4">
        <w:rPr>
          <w:color w:val="000000" w:themeColor="text1"/>
        </w:rPr>
        <w:t xml:space="preserve"> We note the absence of explicit reference to </w:t>
      </w:r>
      <w:r w:rsidR="00A208BC" w:rsidRPr="003156D4">
        <w:rPr>
          <w:color w:val="000000" w:themeColor="text1"/>
        </w:rPr>
        <w:t>Freeport</w:t>
      </w:r>
      <w:r w:rsidR="00335CD4" w:rsidRPr="003156D4">
        <w:rPr>
          <w:color w:val="000000" w:themeColor="text1"/>
        </w:rPr>
        <w:t xml:space="preserve">s in the inquiry’s </w:t>
      </w:r>
      <w:r w:rsidR="00B52969" w:rsidRPr="003156D4">
        <w:rPr>
          <w:color w:val="000000" w:themeColor="text1"/>
        </w:rPr>
        <w:t>call for evidence</w:t>
      </w:r>
      <w:r w:rsidR="00335CD4" w:rsidRPr="003156D4">
        <w:rPr>
          <w:color w:val="000000" w:themeColor="text1"/>
        </w:rPr>
        <w:t xml:space="preserve"> and, given the prominence of the policy within the Government’s programme, recommend that the Committee</w:t>
      </w:r>
      <w:r w:rsidR="00577B2C" w:rsidRPr="003156D4">
        <w:rPr>
          <w:color w:val="000000" w:themeColor="text1"/>
        </w:rPr>
        <w:t xml:space="preserve"> gives special consideration to how this policy might inter</w:t>
      </w:r>
      <w:r w:rsidR="00FD097D" w:rsidRPr="003156D4">
        <w:rPr>
          <w:color w:val="000000" w:themeColor="text1"/>
        </w:rPr>
        <w:t>a</w:t>
      </w:r>
      <w:r w:rsidR="00577B2C" w:rsidRPr="003156D4">
        <w:rPr>
          <w:color w:val="000000" w:themeColor="text1"/>
        </w:rPr>
        <w:t>ct with a</w:t>
      </w:r>
      <w:r w:rsidR="00FD097D" w:rsidRPr="003156D4">
        <w:rPr>
          <w:color w:val="000000" w:themeColor="text1"/>
        </w:rPr>
        <w:t xml:space="preserve"> carbon border adjustment mechanism (CBAM</w:t>
      </w:r>
      <w:r w:rsidR="00B52969" w:rsidRPr="003156D4">
        <w:rPr>
          <w:color w:val="000000" w:themeColor="text1"/>
        </w:rPr>
        <w:t>)</w:t>
      </w:r>
      <w:r w:rsidR="00FD097D" w:rsidRPr="003156D4">
        <w:rPr>
          <w:color w:val="000000" w:themeColor="text1"/>
        </w:rPr>
        <w:t>.</w:t>
      </w:r>
    </w:p>
    <w:p w14:paraId="75467D3E" w14:textId="77777777" w:rsidR="00527568" w:rsidRDefault="00A208BC" w:rsidP="00777564">
      <w:pPr>
        <w:pStyle w:val="Heading2"/>
        <w:spacing w:after="120"/>
        <w:rPr>
          <w:color w:val="000000" w:themeColor="text1"/>
        </w:rPr>
      </w:pPr>
      <w:r>
        <w:t>Freeport</w:t>
      </w:r>
      <w:r w:rsidR="00A22E07">
        <w:t>s</w:t>
      </w:r>
      <w:r w:rsidR="00295924">
        <w:t xml:space="preserve"> – background and context</w:t>
      </w:r>
    </w:p>
    <w:p w14:paraId="2C3FBB85" w14:textId="77777777" w:rsidR="0039066B" w:rsidRPr="003156D4" w:rsidRDefault="00AA11D7" w:rsidP="00777564">
      <w:pPr>
        <w:pStyle w:val="ListParagraph"/>
        <w:numPr>
          <w:ilvl w:val="0"/>
          <w:numId w:val="11"/>
        </w:numPr>
        <w:spacing w:after="120"/>
        <w:jc w:val="both"/>
        <w:rPr>
          <w:color w:val="000000" w:themeColor="text1"/>
        </w:rPr>
      </w:pPr>
      <w:r w:rsidRPr="003156D4">
        <w:rPr>
          <w:color w:val="000000" w:themeColor="text1"/>
        </w:rPr>
        <w:t>In</w:t>
      </w:r>
      <w:r w:rsidR="009A4490" w:rsidRPr="003156D4">
        <w:rPr>
          <w:color w:val="000000" w:themeColor="text1"/>
        </w:rPr>
        <w:t xml:space="preserve"> March 2021 the Government announced that it would d</w:t>
      </w:r>
      <w:r w:rsidR="0039066B" w:rsidRPr="003156D4">
        <w:rPr>
          <w:color w:val="000000" w:themeColor="text1"/>
        </w:rPr>
        <w:t xml:space="preserve">esignate eight new </w:t>
      </w:r>
      <w:r w:rsidR="00A208BC" w:rsidRPr="003156D4">
        <w:rPr>
          <w:color w:val="000000" w:themeColor="text1"/>
        </w:rPr>
        <w:t>Freeport</w:t>
      </w:r>
      <w:r w:rsidR="0039066B" w:rsidRPr="003156D4">
        <w:rPr>
          <w:color w:val="000000" w:themeColor="text1"/>
        </w:rPr>
        <w:t xml:space="preserve">s </w:t>
      </w:r>
      <w:proofErr w:type="gramStart"/>
      <w:r w:rsidR="0039066B" w:rsidRPr="003156D4">
        <w:rPr>
          <w:color w:val="000000" w:themeColor="text1"/>
        </w:rPr>
        <w:t>in order to</w:t>
      </w:r>
      <w:proofErr w:type="gramEnd"/>
      <w:r w:rsidR="0039066B" w:rsidRPr="003156D4">
        <w:rPr>
          <w:color w:val="000000" w:themeColor="text1"/>
        </w:rPr>
        <w:t>:</w:t>
      </w:r>
    </w:p>
    <w:p w14:paraId="2409AADF" w14:textId="77777777" w:rsidR="0039066B" w:rsidRPr="00624A33" w:rsidRDefault="0039066B" w:rsidP="00777564">
      <w:pPr>
        <w:pStyle w:val="ListParagraph"/>
        <w:numPr>
          <w:ilvl w:val="0"/>
          <w:numId w:val="12"/>
        </w:numPr>
        <w:spacing w:after="120"/>
        <w:jc w:val="both"/>
        <w:rPr>
          <w:color w:val="000000" w:themeColor="text1"/>
        </w:rPr>
      </w:pPr>
      <w:r w:rsidRPr="00624A33">
        <w:rPr>
          <w:color w:val="000000" w:themeColor="text1"/>
        </w:rPr>
        <w:lastRenderedPageBreak/>
        <w:t>Establish national hubs for global trade and investment</w:t>
      </w:r>
    </w:p>
    <w:p w14:paraId="21ECE06A" w14:textId="77777777" w:rsidR="0039066B" w:rsidRPr="00624A33" w:rsidRDefault="0039066B" w:rsidP="00777564">
      <w:pPr>
        <w:pStyle w:val="ListParagraph"/>
        <w:numPr>
          <w:ilvl w:val="0"/>
          <w:numId w:val="12"/>
        </w:numPr>
        <w:spacing w:after="120"/>
        <w:jc w:val="both"/>
        <w:rPr>
          <w:color w:val="000000" w:themeColor="text1"/>
        </w:rPr>
      </w:pPr>
      <w:r w:rsidRPr="00624A33">
        <w:rPr>
          <w:color w:val="000000" w:themeColor="text1"/>
        </w:rPr>
        <w:t>Regenerate / ‘level-up’ coastal regions</w:t>
      </w:r>
    </w:p>
    <w:p w14:paraId="176A0D37" w14:textId="77777777" w:rsidR="0039066B" w:rsidRDefault="0039066B" w:rsidP="00777564">
      <w:pPr>
        <w:pStyle w:val="ListParagraph"/>
        <w:numPr>
          <w:ilvl w:val="0"/>
          <w:numId w:val="12"/>
        </w:numPr>
        <w:spacing w:after="120"/>
        <w:jc w:val="both"/>
        <w:rPr>
          <w:color w:val="000000" w:themeColor="text1"/>
        </w:rPr>
      </w:pPr>
      <w:r w:rsidRPr="00624A33">
        <w:rPr>
          <w:color w:val="000000" w:themeColor="text1"/>
        </w:rPr>
        <w:t>Create hotbeds of innovation</w:t>
      </w:r>
    </w:p>
    <w:p w14:paraId="5A89AE20" w14:textId="77777777" w:rsidR="00AA50A2" w:rsidRPr="00624A33" w:rsidRDefault="00AA50A2" w:rsidP="00AA50A2">
      <w:pPr>
        <w:pStyle w:val="ListParagraph"/>
        <w:spacing w:after="120"/>
        <w:jc w:val="both"/>
        <w:rPr>
          <w:color w:val="000000" w:themeColor="text1"/>
        </w:rPr>
      </w:pPr>
    </w:p>
    <w:p w14:paraId="6EE9F5D6" w14:textId="47778639" w:rsidR="008F53A0" w:rsidRDefault="00A208BC" w:rsidP="00777564">
      <w:pPr>
        <w:pStyle w:val="ListParagraph"/>
        <w:numPr>
          <w:ilvl w:val="0"/>
          <w:numId w:val="11"/>
        </w:numPr>
        <w:spacing w:after="120"/>
        <w:jc w:val="both"/>
        <w:rPr>
          <w:color w:val="000000" w:themeColor="text1"/>
        </w:rPr>
      </w:pPr>
      <w:r w:rsidRPr="003156D4">
        <w:rPr>
          <w:color w:val="000000" w:themeColor="text1"/>
        </w:rPr>
        <w:t>Freeport</w:t>
      </w:r>
      <w:r w:rsidR="00E65B00" w:rsidRPr="003156D4">
        <w:rPr>
          <w:color w:val="000000" w:themeColor="text1"/>
        </w:rPr>
        <w:t>s are a central plank of the Government’s foreign and domestic agendas,</w:t>
      </w:r>
      <w:r w:rsidR="00CB5F0D" w:rsidRPr="003156D4">
        <w:rPr>
          <w:color w:val="000000" w:themeColor="text1"/>
        </w:rPr>
        <w:t xml:space="preserve"> intended to both </w:t>
      </w:r>
      <w:r w:rsidR="00152E9D" w:rsidRPr="003156D4">
        <w:rPr>
          <w:color w:val="000000" w:themeColor="text1"/>
        </w:rPr>
        <w:t xml:space="preserve">drive and </w:t>
      </w:r>
      <w:r w:rsidR="00CB5F0D" w:rsidRPr="003156D4">
        <w:rPr>
          <w:color w:val="000000" w:themeColor="text1"/>
        </w:rPr>
        <w:t xml:space="preserve">‘level up’ regional growth </w:t>
      </w:r>
      <w:r w:rsidR="00D92959" w:rsidRPr="003156D4">
        <w:rPr>
          <w:color w:val="000000" w:themeColor="text1"/>
        </w:rPr>
        <w:t>as part of the post-Covid recovery</w:t>
      </w:r>
      <w:r w:rsidR="00305893" w:rsidRPr="003156D4">
        <w:rPr>
          <w:color w:val="000000" w:themeColor="text1"/>
        </w:rPr>
        <w:t xml:space="preserve">, </w:t>
      </w:r>
      <w:r w:rsidR="00CB5F0D" w:rsidRPr="003156D4">
        <w:rPr>
          <w:color w:val="000000" w:themeColor="text1"/>
        </w:rPr>
        <w:t xml:space="preserve">and to </w:t>
      </w:r>
      <w:r w:rsidR="00624A33" w:rsidRPr="003156D4">
        <w:rPr>
          <w:color w:val="000000" w:themeColor="text1"/>
        </w:rPr>
        <w:t>strengthen</w:t>
      </w:r>
      <w:r w:rsidR="001F6A44" w:rsidRPr="003156D4">
        <w:rPr>
          <w:color w:val="000000" w:themeColor="text1"/>
        </w:rPr>
        <w:t xml:space="preserve"> </w:t>
      </w:r>
      <w:r w:rsidR="00305893" w:rsidRPr="003156D4">
        <w:rPr>
          <w:color w:val="000000" w:themeColor="text1"/>
        </w:rPr>
        <w:t>post-</w:t>
      </w:r>
      <w:r w:rsidR="00F646C1">
        <w:rPr>
          <w:color w:val="000000" w:themeColor="text1"/>
        </w:rPr>
        <w:t xml:space="preserve">EU </w:t>
      </w:r>
      <w:r w:rsidR="00305893" w:rsidRPr="003156D4">
        <w:rPr>
          <w:color w:val="000000" w:themeColor="text1"/>
        </w:rPr>
        <w:t xml:space="preserve">exit </w:t>
      </w:r>
      <w:r w:rsidR="00337F7D" w:rsidRPr="003156D4">
        <w:rPr>
          <w:color w:val="000000" w:themeColor="text1"/>
        </w:rPr>
        <w:t>‘Global Britain’</w:t>
      </w:r>
      <w:r w:rsidR="001F6A44" w:rsidRPr="003156D4">
        <w:rPr>
          <w:color w:val="000000" w:themeColor="text1"/>
        </w:rPr>
        <w:t>s</w:t>
      </w:r>
      <w:r w:rsidR="002D21F4">
        <w:rPr>
          <w:color w:val="000000" w:themeColor="text1"/>
        </w:rPr>
        <w:t>’</w:t>
      </w:r>
      <w:r w:rsidR="001F6A44" w:rsidRPr="003156D4">
        <w:rPr>
          <w:color w:val="000000" w:themeColor="text1"/>
        </w:rPr>
        <w:t xml:space="preserve"> position </w:t>
      </w:r>
      <w:r w:rsidR="00337F7D" w:rsidRPr="003156D4">
        <w:rPr>
          <w:color w:val="000000" w:themeColor="text1"/>
        </w:rPr>
        <w:t>a</w:t>
      </w:r>
      <w:r w:rsidR="00D035CF" w:rsidRPr="003156D4">
        <w:rPr>
          <w:color w:val="000000" w:themeColor="text1"/>
        </w:rPr>
        <w:t>t the heart of a network of international trade</w:t>
      </w:r>
      <w:r w:rsidR="0075224E" w:rsidRPr="003156D4">
        <w:rPr>
          <w:color w:val="000000" w:themeColor="text1"/>
        </w:rPr>
        <w:t xml:space="preserve"> </w:t>
      </w:r>
      <w:r w:rsidR="00B1470A">
        <w:rPr>
          <w:noProof/>
          <w:color w:val="000000" w:themeColor="text1"/>
        </w:rPr>
        <w:t>(1)</w:t>
      </w:r>
      <w:r w:rsidR="00D035CF" w:rsidRPr="003156D4">
        <w:rPr>
          <w:color w:val="000000" w:themeColor="text1"/>
        </w:rPr>
        <w:t>.</w:t>
      </w:r>
      <w:r w:rsidR="00337F7D" w:rsidRPr="003156D4">
        <w:rPr>
          <w:color w:val="000000" w:themeColor="text1"/>
        </w:rPr>
        <w:t xml:space="preserve"> </w:t>
      </w:r>
      <w:r w:rsidRPr="003156D4">
        <w:rPr>
          <w:color w:val="000000" w:themeColor="text1"/>
        </w:rPr>
        <w:t>Freeport</w:t>
      </w:r>
      <w:r w:rsidR="00527568" w:rsidRPr="003156D4">
        <w:rPr>
          <w:color w:val="000000" w:themeColor="text1"/>
        </w:rPr>
        <w:t xml:space="preserve">s are </w:t>
      </w:r>
      <w:proofErr w:type="spellStart"/>
      <w:r w:rsidR="00527568" w:rsidRPr="003156D4">
        <w:rPr>
          <w:color w:val="000000" w:themeColor="text1"/>
        </w:rPr>
        <w:t>martime</w:t>
      </w:r>
      <w:proofErr w:type="spellEnd"/>
      <w:r w:rsidR="00CC60CD" w:rsidRPr="003156D4">
        <w:rPr>
          <w:color w:val="000000" w:themeColor="text1"/>
        </w:rPr>
        <w:t xml:space="preserve"> and</w:t>
      </w:r>
      <w:r w:rsidR="000B20F1" w:rsidRPr="003156D4">
        <w:rPr>
          <w:color w:val="000000" w:themeColor="text1"/>
        </w:rPr>
        <w:t>/</w:t>
      </w:r>
      <w:r w:rsidR="00CC60CD" w:rsidRPr="003156D4">
        <w:rPr>
          <w:color w:val="000000" w:themeColor="text1"/>
        </w:rPr>
        <w:t xml:space="preserve">or </w:t>
      </w:r>
      <w:r w:rsidR="00527568" w:rsidRPr="003156D4">
        <w:rPr>
          <w:color w:val="000000" w:themeColor="text1"/>
        </w:rPr>
        <w:t>airport</w:t>
      </w:r>
      <w:r w:rsidR="00F646C1">
        <w:rPr>
          <w:color w:val="000000" w:themeColor="text1"/>
        </w:rPr>
        <w:t>-based</w:t>
      </w:r>
      <w:r w:rsidR="00A205BB" w:rsidRPr="003156D4">
        <w:rPr>
          <w:color w:val="000000" w:themeColor="text1"/>
        </w:rPr>
        <w:t xml:space="preserve"> special economic zones, </w:t>
      </w:r>
      <w:r w:rsidR="00527568" w:rsidRPr="003156D4">
        <w:rPr>
          <w:color w:val="000000" w:themeColor="text1"/>
        </w:rPr>
        <w:t xml:space="preserve">designated as operating areas </w:t>
      </w:r>
      <w:r w:rsidR="000B20F1" w:rsidRPr="003156D4">
        <w:rPr>
          <w:color w:val="000000" w:themeColor="text1"/>
        </w:rPr>
        <w:t xml:space="preserve">for businesses </w:t>
      </w:r>
      <w:r w:rsidR="00527568" w:rsidRPr="003156D4">
        <w:rPr>
          <w:color w:val="000000" w:themeColor="text1"/>
        </w:rPr>
        <w:t>to</w:t>
      </w:r>
      <w:r w:rsidR="000B20F1" w:rsidRPr="003156D4">
        <w:rPr>
          <w:color w:val="000000" w:themeColor="text1"/>
        </w:rPr>
        <w:t xml:space="preserve"> import,</w:t>
      </w:r>
      <w:r w:rsidR="00527568" w:rsidRPr="003156D4">
        <w:rPr>
          <w:color w:val="000000" w:themeColor="text1"/>
        </w:rPr>
        <w:t xml:space="preserve"> process </w:t>
      </w:r>
      <w:r w:rsidR="000B20F1" w:rsidRPr="003156D4">
        <w:rPr>
          <w:color w:val="000000" w:themeColor="text1"/>
        </w:rPr>
        <w:t>and</w:t>
      </w:r>
      <w:r w:rsidR="00527568" w:rsidRPr="003156D4">
        <w:rPr>
          <w:color w:val="000000" w:themeColor="text1"/>
        </w:rPr>
        <w:t xml:space="preserve"> re-export</w:t>
      </w:r>
      <w:r w:rsidR="000B20F1" w:rsidRPr="003156D4">
        <w:rPr>
          <w:color w:val="000000" w:themeColor="text1"/>
        </w:rPr>
        <w:t xml:space="preserve"> goods</w:t>
      </w:r>
      <w:r w:rsidR="0002301D" w:rsidRPr="003156D4">
        <w:rPr>
          <w:color w:val="000000" w:themeColor="text1"/>
        </w:rPr>
        <w:t>, and where normal national tax and customs rules do not apply</w:t>
      </w:r>
      <w:r w:rsidR="00527568" w:rsidRPr="003156D4">
        <w:rPr>
          <w:color w:val="000000" w:themeColor="text1"/>
        </w:rPr>
        <w:t xml:space="preserve">. </w:t>
      </w:r>
      <w:r w:rsidR="008F53A0">
        <w:t xml:space="preserve">At a </w:t>
      </w:r>
      <w:r>
        <w:t>Freeport</w:t>
      </w:r>
      <w:r w:rsidR="008F53A0">
        <w:t>, imports can enter with simplified customs documentation and without paying tariffs. Businesses operating inside designated areas in and around the port can</w:t>
      </w:r>
      <w:r w:rsidR="00F407B5">
        <w:t xml:space="preserve"> store and</w:t>
      </w:r>
      <w:r w:rsidR="008F53A0">
        <w:t xml:space="preserve"> manufacture goods using the</w:t>
      </w:r>
      <w:r w:rsidR="00937674">
        <w:t>se</w:t>
      </w:r>
      <w:r w:rsidR="008F53A0">
        <w:t xml:space="preserve"> imports, before exporting again</w:t>
      </w:r>
      <w:r w:rsidR="00F646C1">
        <w:t xml:space="preserve"> without </w:t>
      </w:r>
      <w:r w:rsidR="008F53A0">
        <w:t>paying</w:t>
      </w:r>
      <w:r w:rsidR="00F646C1">
        <w:t xml:space="preserve"> the normal</w:t>
      </w:r>
      <w:r w:rsidR="008F53A0">
        <w:t xml:space="preserve"> tariff</w:t>
      </w:r>
      <w:r w:rsidR="001773BA">
        <w:t>s</w:t>
      </w:r>
      <w:r w:rsidR="008F53A0">
        <w:t xml:space="preserve"> on imported</w:t>
      </w:r>
      <w:r w:rsidR="00DF3401">
        <w:t xml:space="preserve"> </w:t>
      </w:r>
      <w:r w:rsidR="00F646C1">
        <w:t xml:space="preserve">goods and completing simplified </w:t>
      </w:r>
      <w:r w:rsidR="00B31411">
        <w:t>customs checks and paperwork</w:t>
      </w:r>
      <w:r w:rsidR="00F13F24">
        <w:t>. However,</w:t>
      </w:r>
      <w:r w:rsidR="008F53A0">
        <w:t xml:space="preserve"> tariff</w:t>
      </w:r>
      <w:r w:rsidR="00F13F24">
        <w:t>s</w:t>
      </w:r>
      <w:r w:rsidR="008F53A0">
        <w:t xml:space="preserve"> </w:t>
      </w:r>
      <w:r w:rsidR="00F646C1">
        <w:t xml:space="preserve">are </w:t>
      </w:r>
      <w:r w:rsidR="008F53A0">
        <w:t xml:space="preserve">payable on the finished product when it reaches its destination, including if that destination is in the </w:t>
      </w:r>
      <w:r w:rsidR="00F13F24">
        <w:t xml:space="preserve">UK but </w:t>
      </w:r>
      <w:r w:rsidR="008F53A0">
        <w:t xml:space="preserve">outside the </w:t>
      </w:r>
      <w:r>
        <w:t>Freeport</w:t>
      </w:r>
      <w:r w:rsidR="008F53A0">
        <w:t>.</w:t>
      </w:r>
      <w:r w:rsidR="0095275B">
        <w:t xml:space="preserve"> The 8 UK </w:t>
      </w:r>
      <w:r>
        <w:t>Freeport</w:t>
      </w:r>
      <w:r w:rsidR="0095275B">
        <w:t>s also benefit from other reduced taxation and regulatory burdens (</w:t>
      </w:r>
      <w:r w:rsidR="0095275B" w:rsidRPr="003156D4">
        <w:rPr>
          <w:color w:val="000000" w:themeColor="text1"/>
        </w:rPr>
        <w:t>business rate relief, buildings allowance, capital allowance, stamp duty relief, lower national insurance contributions</w:t>
      </w:r>
      <w:r w:rsidR="00FF1D7F" w:rsidRPr="003156D4">
        <w:rPr>
          <w:color w:val="000000" w:themeColor="text1"/>
        </w:rPr>
        <w:t>, relaxed and simplified development planning regime)</w:t>
      </w:r>
      <w:r w:rsidR="0073099A" w:rsidRPr="003156D4">
        <w:rPr>
          <w:color w:val="000000" w:themeColor="text1"/>
        </w:rPr>
        <w:t xml:space="preserve"> and access to a limited pot of seed capital funding</w:t>
      </w:r>
      <w:r w:rsidR="00FF1D7F" w:rsidRPr="003156D4">
        <w:rPr>
          <w:color w:val="000000" w:themeColor="text1"/>
        </w:rPr>
        <w:t>.</w:t>
      </w:r>
      <w:r w:rsidR="003C574B" w:rsidRPr="003156D4">
        <w:rPr>
          <w:color w:val="000000" w:themeColor="text1"/>
        </w:rPr>
        <w:t xml:space="preserve"> The essence of the </w:t>
      </w:r>
      <w:r w:rsidRPr="003156D4">
        <w:rPr>
          <w:color w:val="000000" w:themeColor="text1"/>
        </w:rPr>
        <w:t>Freeport</w:t>
      </w:r>
      <w:r w:rsidR="003C574B" w:rsidRPr="003156D4">
        <w:rPr>
          <w:color w:val="000000" w:themeColor="text1"/>
        </w:rPr>
        <w:t xml:space="preserve"> </w:t>
      </w:r>
      <w:r w:rsidR="00F02A4D" w:rsidRPr="003156D4">
        <w:rPr>
          <w:color w:val="000000" w:themeColor="text1"/>
        </w:rPr>
        <w:t>policy</w:t>
      </w:r>
      <w:r w:rsidR="003C574B" w:rsidRPr="003156D4">
        <w:rPr>
          <w:color w:val="000000" w:themeColor="text1"/>
        </w:rPr>
        <w:t xml:space="preserve"> is</w:t>
      </w:r>
      <w:r w:rsidR="00F02A4D" w:rsidRPr="003156D4">
        <w:rPr>
          <w:color w:val="000000" w:themeColor="text1"/>
        </w:rPr>
        <w:t xml:space="preserve"> that these are low tax, </w:t>
      </w:r>
      <w:r w:rsidR="00624A33" w:rsidRPr="003156D4">
        <w:rPr>
          <w:color w:val="000000" w:themeColor="text1"/>
        </w:rPr>
        <w:t xml:space="preserve">low paperwork, </w:t>
      </w:r>
      <w:proofErr w:type="gramStart"/>
      <w:r w:rsidR="00F02A4D" w:rsidRPr="003156D4">
        <w:rPr>
          <w:color w:val="000000" w:themeColor="text1"/>
        </w:rPr>
        <w:t>lightly</w:t>
      </w:r>
      <w:r w:rsidR="00F646C1">
        <w:rPr>
          <w:color w:val="000000" w:themeColor="text1"/>
        </w:rPr>
        <w:t>-</w:t>
      </w:r>
      <w:r w:rsidR="00F02A4D" w:rsidRPr="003156D4">
        <w:rPr>
          <w:color w:val="000000" w:themeColor="text1"/>
        </w:rPr>
        <w:t>regulated</w:t>
      </w:r>
      <w:proofErr w:type="gramEnd"/>
      <w:r w:rsidR="00F02A4D" w:rsidRPr="003156D4">
        <w:rPr>
          <w:color w:val="000000" w:themeColor="text1"/>
        </w:rPr>
        <w:t xml:space="preserve"> zones.</w:t>
      </w:r>
    </w:p>
    <w:p w14:paraId="20890862" w14:textId="77777777" w:rsidR="00AA50A2" w:rsidRPr="003156D4" w:rsidRDefault="00AA50A2" w:rsidP="00AA50A2">
      <w:pPr>
        <w:pStyle w:val="ListParagraph"/>
        <w:spacing w:after="120"/>
        <w:ind w:left="360"/>
        <w:jc w:val="both"/>
        <w:rPr>
          <w:color w:val="000000" w:themeColor="text1"/>
        </w:rPr>
      </w:pPr>
    </w:p>
    <w:p w14:paraId="441351F9" w14:textId="6661532C" w:rsidR="00D312EF" w:rsidRPr="003156D4" w:rsidRDefault="00496E3F" w:rsidP="009D1CA9">
      <w:pPr>
        <w:pStyle w:val="ListParagraph"/>
        <w:numPr>
          <w:ilvl w:val="0"/>
          <w:numId w:val="11"/>
        </w:numPr>
        <w:spacing w:after="120"/>
        <w:jc w:val="both"/>
        <w:rPr>
          <w:color w:val="000000" w:themeColor="text1"/>
        </w:rPr>
      </w:pPr>
      <w:r>
        <w:t xml:space="preserve">The Government, and political leaders in the areas where the </w:t>
      </w:r>
      <w:r w:rsidR="00A208BC">
        <w:t>Freeport</w:t>
      </w:r>
      <w:r>
        <w:t>s are located, have significant ambitions for the</w:t>
      </w:r>
      <w:r w:rsidR="006D3565">
        <w:t xml:space="preserve"> </w:t>
      </w:r>
      <w:r w:rsidR="00A208BC">
        <w:t>Freeport</w:t>
      </w:r>
      <w:r w:rsidR="006D3565">
        <w:t xml:space="preserve">s’ capacity to drive economic renewal. </w:t>
      </w:r>
      <w:r w:rsidR="002253AB">
        <w:t>For example, t</w:t>
      </w:r>
      <w:r w:rsidR="002D24AB" w:rsidRPr="003156D4">
        <w:rPr>
          <w:color w:val="000000" w:themeColor="text1"/>
        </w:rPr>
        <w:t xml:space="preserve">he Mayor of the Tees Valley Combined Authority described a ‘tsunami of jobs and investment’ to ‘turbocharge’ the regional economy </w:t>
      </w:r>
      <w:r w:rsidR="00A97A76" w:rsidRPr="003156D4">
        <w:rPr>
          <w:color w:val="000000" w:themeColor="text1"/>
        </w:rPr>
        <w:t xml:space="preserve">with an </w:t>
      </w:r>
      <w:r w:rsidR="002D24AB" w:rsidRPr="003156D4">
        <w:rPr>
          <w:color w:val="000000" w:themeColor="text1"/>
        </w:rPr>
        <w:t>estimated £3.4 billion economic boost and 18,000 jobs</w:t>
      </w:r>
      <w:r w:rsidR="00A97A76" w:rsidRPr="003156D4">
        <w:rPr>
          <w:color w:val="000000" w:themeColor="text1"/>
        </w:rPr>
        <w:t xml:space="preserve"> </w:t>
      </w:r>
      <w:r w:rsidR="00B1470A">
        <w:rPr>
          <w:noProof/>
          <w:color w:val="000000" w:themeColor="text1"/>
        </w:rPr>
        <w:t>(2)</w:t>
      </w:r>
      <w:r w:rsidR="002D24AB" w:rsidRPr="003156D4">
        <w:rPr>
          <w:color w:val="000000" w:themeColor="text1"/>
        </w:rPr>
        <w:t xml:space="preserve">. </w:t>
      </w:r>
      <w:r w:rsidR="009B3B55" w:rsidRPr="003156D4">
        <w:rPr>
          <w:color w:val="000000" w:themeColor="text1"/>
        </w:rPr>
        <w:t xml:space="preserve">The </w:t>
      </w:r>
      <w:r w:rsidR="002D24AB" w:rsidRPr="003156D4">
        <w:rPr>
          <w:color w:val="000000" w:themeColor="text1"/>
        </w:rPr>
        <w:t>Liverpool</w:t>
      </w:r>
      <w:r w:rsidR="009B3B55" w:rsidRPr="003156D4">
        <w:rPr>
          <w:color w:val="000000" w:themeColor="text1"/>
        </w:rPr>
        <w:t xml:space="preserve"> City Region Local Enterprise Partnership</w:t>
      </w:r>
      <w:r w:rsidR="002D24AB" w:rsidRPr="003156D4">
        <w:rPr>
          <w:color w:val="000000" w:themeColor="text1"/>
        </w:rPr>
        <w:t xml:space="preserve"> foresees an initial increase of £850m and 14,000 new regional jobs through new investment</w:t>
      </w:r>
      <w:r w:rsidR="00C04A3F" w:rsidRPr="003156D4">
        <w:rPr>
          <w:color w:val="000000" w:themeColor="text1"/>
        </w:rPr>
        <w:t xml:space="preserve"> </w:t>
      </w:r>
      <w:r w:rsidR="00B1470A">
        <w:rPr>
          <w:noProof/>
          <w:color w:val="000000" w:themeColor="text1"/>
        </w:rPr>
        <w:t>(3)</w:t>
      </w:r>
      <w:r w:rsidR="002D24AB" w:rsidRPr="003156D4">
        <w:rPr>
          <w:color w:val="000000" w:themeColor="text1"/>
        </w:rPr>
        <w:t xml:space="preserve">. Job </w:t>
      </w:r>
      <w:r w:rsidR="00967D41">
        <w:rPr>
          <w:color w:val="000000" w:themeColor="text1"/>
        </w:rPr>
        <w:t xml:space="preserve">and capital </w:t>
      </w:r>
      <w:r w:rsidR="002D24AB" w:rsidRPr="003156D4">
        <w:rPr>
          <w:color w:val="000000" w:themeColor="text1"/>
        </w:rPr>
        <w:t xml:space="preserve">growth </w:t>
      </w:r>
      <w:proofErr w:type="gramStart"/>
      <w:r w:rsidR="002D24AB" w:rsidRPr="003156D4">
        <w:rPr>
          <w:color w:val="000000" w:themeColor="text1"/>
        </w:rPr>
        <w:t>drives</w:t>
      </w:r>
      <w:proofErr w:type="gramEnd"/>
      <w:r w:rsidR="002D24AB" w:rsidRPr="003156D4">
        <w:rPr>
          <w:color w:val="000000" w:themeColor="text1"/>
        </w:rPr>
        <w:t xml:space="preserve"> local</w:t>
      </w:r>
      <w:r w:rsidR="00EE6DD2" w:rsidRPr="003156D4">
        <w:rPr>
          <w:color w:val="000000" w:themeColor="text1"/>
        </w:rPr>
        <w:t xml:space="preserve"> and national</w:t>
      </w:r>
      <w:r w:rsidR="002D24AB" w:rsidRPr="003156D4">
        <w:rPr>
          <w:color w:val="000000" w:themeColor="text1"/>
        </w:rPr>
        <w:t xml:space="preserve"> political support for </w:t>
      </w:r>
      <w:r w:rsidR="00A208BC" w:rsidRPr="003156D4">
        <w:rPr>
          <w:color w:val="000000" w:themeColor="text1"/>
        </w:rPr>
        <w:t>Freeport</w:t>
      </w:r>
      <w:r w:rsidR="002D24AB" w:rsidRPr="003156D4">
        <w:rPr>
          <w:color w:val="000000" w:themeColor="text1"/>
        </w:rPr>
        <w:t>s</w:t>
      </w:r>
      <w:r w:rsidR="00C277FE" w:rsidRPr="003156D4">
        <w:rPr>
          <w:color w:val="000000" w:themeColor="text1"/>
        </w:rPr>
        <w:t xml:space="preserve">. </w:t>
      </w:r>
      <w:r w:rsidR="00967D41">
        <w:rPr>
          <w:color w:val="000000" w:themeColor="text1"/>
        </w:rPr>
        <w:t xml:space="preserve">Such economic </w:t>
      </w:r>
      <w:r w:rsidR="00C277FE" w:rsidRPr="003156D4">
        <w:rPr>
          <w:color w:val="000000" w:themeColor="text1"/>
        </w:rPr>
        <w:t>benefits are</w:t>
      </w:r>
      <w:r w:rsidR="00AA6A2C" w:rsidRPr="003156D4">
        <w:rPr>
          <w:color w:val="000000" w:themeColor="text1"/>
        </w:rPr>
        <w:t xml:space="preserve"> assumed to </w:t>
      </w:r>
      <w:r w:rsidR="007057D4" w:rsidRPr="003156D4">
        <w:rPr>
          <w:color w:val="000000" w:themeColor="text1"/>
        </w:rPr>
        <w:t>derive from the</w:t>
      </w:r>
      <w:r w:rsidR="00CA057F" w:rsidRPr="003156D4">
        <w:rPr>
          <w:color w:val="000000" w:themeColor="text1"/>
        </w:rPr>
        <w:t xml:space="preserve"> </w:t>
      </w:r>
      <w:r w:rsidR="00A208BC" w:rsidRPr="003156D4">
        <w:rPr>
          <w:color w:val="000000" w:themeColor="text1"/>
        </w:rPr>
        <w:t>Freeport</w:t>
      </w:r>
      <w:r w:rsidR="00CA057F" w:rsidRPr="003156D4">
        <w:rPr>
          <w:color w:val="000000" w:themeColor="text1"/>
        </w:rPr>
        <w:t>s</w:t>
      </w:r>
      <w:r w:rsidR="00FC6D73" w:rsidRPr="003156D4">
        <w:rPr>
          <w:color w:val="000000" w:themeColor="text1"/>
        </w:rPr>
        <w:t>’</w:t>
      </w:r>
      <w:r w:rsidR="00CA057F" w:rsidRPr="003156D4">
        <w:rPr>
          <w:color w:val="000000" w:themeColor="text1"/>
        </w:rPr>
        <w:t xml:space="preserve"> status as low tax, lightly regulated zones that are exempt from </w:t>
      </w:r>
      <w:r w:rsidR="00FC6D73" w:rsidRPr="003156D4">
        <w:rPr>
          <w:color w:val="000000" w:themeColor="text1"/>
        </w:rPr>
        <w:t>normal import tariffs and customs checks.</w:t>
      </w:r>
      <w:r w:rsidR="00C277FE" w:rsidRPr="003156D4">
        <w:rPr>
          <w:color w:val="000000" w:themeColor="text1"/>
        </w:rPr>
        <w:t xml:space="preserve"> </w:t>
      </w:r>
      <w:r w:rsidR="00EE6DD2" w:rsidRPr="003156D4">
        <w:rPr>
          <w:color w:val="000000" w:themeColor="text1"/>
        </w:rPr>
        <w:t xml:space="preserve">There is therefore </w:t>
      </w:r>
      <w:r w:rsidR="00710197" w:rsidRPr="003156D4">
        <w:rPr>
          <w:color w:val="000000" w:themeColor="text1"/>
        </w:rPr>
        <w:t>a</w:t>
      </w:r>
      <w:r w:rsidR="00EE6DD2" w:rsidRPr="003156D4">
        <w:rPr>
          <w:color w:val="000000" w:themeColor="text1"/>
        </w:rPr>
        <w:t xml:space="preserve"> risk focus </w:t>
      </w:r>
      <w:r w:rsidR="00967D41">
        <w:rPr>
          <w:color w:val="000000" w:themeColor="text1"/>
        </w:rPr>
        <w:t>up</w:t>
      </w:r>
      <w:r w:rsidR="00EE6DD2" w:rsidRPr="003156D4">
        <w:rPr>
          <w:color w:val="000000" w:themeColor="text1"/>
        </w:rPr>
        <w:t xml:space="preserve">on job growth </w:t>
      </w:r>
      <w:r w:rsidR="00967D41">
        <w:rPr>
          <w:color w:val="000000" w:themeColor="text1"/>
        </w:rPr>
        <w:t>will</w:t>
      </w:r>
      <w:r w:rsidR="00967D41" w:rsidRPr="003156D4">
        <w:rPr>
          <w:color w:val="000000" w:themeColor="text1"/>
        </w:rPr>
        <w:t xml:space="preserve"> </w:t>
      </w:r>
      <w:r w:rsidR="00C277FE" w:rsidRPr="003156D4">
        <w:rPr>
          <w:color w:val="000000" w:themeColor="text1"/>
        </w:rPr>
        <w:t xml:space="preserve">overshadow other </w:t>
      </w:r>
      <w:r w:rsidR="003D3C8D" w:rsidRPr="003156D4">
        <w:rPr>
          <w:color w:val="000000" w:themeColor="text1"/>
        </w:rPr>
        <w:t xml:space="preserve">concerns </w:t>
      </w:r>
      <w:r w:rsidR="00C277FE" w:rsidRPr="003156D4">
        <w:rPr>
          <w:color w:val="000000" w:themeColor="text1"/>
        </w:rPr>
        <w:t>associated</w:t>
      </w:r>
      <w:r w:rsidR="003D3C8D" w:rsidRPr="003156D4">
        <w:rPr>
          <w:color w:val="000000" w:themeColor="text1"/>
        </w:rPr>
        <w:t xml:space="preserve"> with </w:t>
      </w:r>
      <w:r w:rsidR="00A208BC" w:rsidRPr="003156D4">
        <w:rPr>
          <w:color w:val="000000" w:themeColor="text1"/>
        </w:rPr>
        <w:t>Freeport</w:t>
      </w:r>
      <w:r w:rsidR="003D3C8D" w:rsidRPr="003156D4">
        <w:rPr>
          <w:color w:val="000000" w:themeColor="text1"/>
        </w:rPr>
        <w:t>s</w:t>
      </w:r>
      <w:r w:rsidR="00C277FE" w:rsidRPr="003156D4">
        <w:rPr>
          <w:color w:val="000000" w:themeColor="text1"/>
        </w:rPr>
        <w:t>, including the need for decarbonisation</w:t>
      </w:r>
      <w:r w:rsidR="00710197" w:rsidRPr="003156D4">
        <w:rPr>
          <w:color w:val="000000" w:themeColor="text1"/>
        </w:rPr>
        <w:t>, especially where</w:t>
      </w:r>
      <w:r w:rsidR="00CB57A8" w:rsidRPr="003156D4">
        <w:rPr>
          <w:color w:val="000000" w:themeColor="text1"/>
        </w:rPr>
        <w:t xml:space="preserve"> it involves new forms of taxation or regulation</w:t>
      </w:r>
      <w:r w:rsidR="00C277FE" w:rsidRPr="003156D4">
        <w:rPr>
          <w:color w:val="000000" w:themeColor="text1"/>
        </w:rPr>
        <w:t>.</w:t>
      </w:r>
    </w:p>
    <w:p w14:paraId="343C840A" w14:textId="77777777" w:rsidR="00B93CD2" w:rsidRDefault="00A208BC" w:rsidP="00777564">
      <w:pPr>
        <w:pStyle w:val="Heading2"/>
        <w:spacing w:after="120"/>
      </w:pPr>
      <w:r>
        <w:t>Freeport</w:t>
      </w:r>
      <w:r w:rsidR="00B93CD2">
        <w:t>s and decarbonisation</w:t>
      </w:r>
    </w:p>
    <w:p w14:paraId="10A25185" w14:textId="01B5DA29" w:rsidR="00EF525A" w:rsidRDefault="00E95290" w:rsidP="009D1CA9">
      <w:pPr>
        <w:pStyle w:val="ListParagraph"/>
        <w:numPr>
          <w:ilvl w:val="0"/>
          <w:numId w:val="11"/>
        </w:numPr>
        <w:spacing w:after="120"/>
        <w:jc w:val="both"/>
      </w:pPr>
      <w:r>
        <w:t>The</w:t>
      </w:r>
      <w:r w:rsidR="006A7978">
        <w:t xml:space="preserve"> </w:t>
      </w:r>
      <w:r w:rsidR="00A208BC">
        <w:t>Freeport</w:t>
      </w:r>
      <w:r w:rsidR="006A7978">
        <w:t>s Bidding Prospectus</w:t>
      </w:r>
      <w:r w:rsidR="00BA7983">
        <w:t xml:space="preserve"> </w:t>
      </w:r>
      <w:r w:rsidR="00B1470A">
        <w:rPr>
          <w:noProof/>
        </w:rPr>
        <w:t>(4)</w:t>
      </w:r>
      <w:r w:rsidR="00E15448">
        <w:t xml:space="preserve">, published in </w:t>
      </w:r>
      <w:r w:rsidR="006A7978">
        <w:t>November 2020</w:t>
      </w:r>
      <w:r w:rsidR="008B0D28">
        <w:t xml:space="preserve"> as a</w:t>
      </w:r>
      <w:r w:rsidR="000561C7">
        <w:t xml:space="preserve"> guide for</w:t>
      </w:r>
      <w:r w:rsidR="000278CA">
        <w:t xml:space="preserve"> potential bidders to </w:t>
      </w:r>
      <w:r w:rsidR="00441579">
        <w:t xml:space="preserve">put forward proposals for sites to be designated as </w:t>
      </w:r>
      <w:r w:rsidR="00A208BC">
        <w:t>Freeport</w:t>
      </w:r>
      <w:r w:rsidR="00441579">
        <w:t>s</w:t>
      </w:r>
      <w:r w:rsidR="0019662F">
        <w:t xml:space="preserve">, </w:t>
      </w:r>
      <w:r>
        <w:t>note</w:t>
      </w:r>
      <w:r w:rsidR="006760D9">
        <w:t>d</w:t>
      </w:r>
      <w:r>
        <w:t xml:space="preserve"> that the Government would </w:t>
      </w:r>
      <w:r w:rsidR="00E12253">
        <w:t>‘</w:t>
      </w:r>
      <w:r>
        <w:t>welcome</w:t>
      </w:r>
      <w:r w:rsidR="00E12253">
        <w:t>’</w:t>
      </w:r>
      <w:r w:rsidR="0019662F">
        <w:t xml:space="preserve"> </w:t>
      </w:r>
      <w:r w:rsidR="00E12253">
        <w:t xml:space="preserve">and was ‘interested in’ </w:t>
      </w:r>
      <w:r w:rsidR="00A208BC">
        <w:t>Freeport</w:t>
      </w:r>
      <w:r w:rsidR="00E12253">
        <w:t>s bids that contributed to the net zero agenda</w:t>
      </w:r>
      <w:r w:rsidR="006760D9">
        <w:t>. It s</w:t>
      </w:r>
      <w:r w:rsidR="00F849B7">
        <w:t>tates that “</w:t>
      </w:r>
      <w:r w:rsidR="00A208BC">
        <w:t>Freeport</w:t>
      </w:r>
      <w:r w:rsidR="00F849B7" w:rsidRPr="00F849B7">
        <w:t>s have great potential to contribute towards the government’s decarbonisation agenda and Net Zero ambition” (para 4.1.1</w:t>
      </w:r>
      <w:proofErr w:type="gramStart"/>
      <w:r w:rsidR="00F849B7" w:rsidRPr="00F849B7">
        <w:t>)</w:t>
      </w:r>
      <w:r w:rsidR="009D5892">
        <w:t>, and</w:t>
      </w:r>
      <w:proofErr w:type="gramEnd"/>
      <w:r w:rsidR="009D5892">
        <w:t xml:space="preserve"> provides examples</w:t>
      </w:r>
      <w:r w:rsidR="00142DFD">
        <w:t xml:space="preserve"> of ways in which this could be taken forwards</w:t>
      </w:r>
      <w:r w:rsidR="008B5B61">
        <w:t>. Bidders were asked to “</w:t>
      </w:r>
      <w:r w:rsidR="008B5B61" w:rsidRPr="008B5B61">
        <w:t xml:space="preserve">outline how their </w:t>
      </w:r>
      <w:r w:rsidR="00A208BC">
        <w:t>Freeport</w:t>
      </w:r>
      <w:r w:rsidR="008B5B61" w:rsidRPr="008B5B61">
        <w:t xml:space="preserve"> ambitions support decarbonisation and how they aim to reach Net Zero carbon emissions by 2050 or earlier</w:t>
      </w:r>
      <w:r w:rsidR="008B5B61">
        <w:t>”</w:t>
      </w:r>
      <w:r w:rsidR="00680748">
        <w:t xml:space="preserve"> </w:t>
      </w:r>
      <w:r w:rsidR="006D2828">
        <w:t>in the way</w:t>
      </w:r>
      <w:r w:rsidR="00992531">
        <w:t xml:space="preserve"> that their proposals would be delivered</w:t>
      </w:r>
      <w:r w:rsidR="008C5DBE">
        <w:t xml:space="preserve"> (para 4.1.1)</w:t>
      </w:r>
      <w:r w:rsidR="008B5B61" w:rsidRPr="008B5B61">
        <w:t>.</w:t>
      </w:r>
      <w:r w:rsidR="00BF4CBF">
        <w:t xml:space="preserve"> </w:t>
      </w:r>
      <w:r w:rsidR="00EF525A">
        <w:t xml:space="preserve">However, </w:t>
      </w:r>
      <w:r w:rsidR="00EF525A" w:rsidRPr="00680748">
        <w:t xml:space="preserve">the different types of tax relief and </w:t>
      </w:r>
      <w:r w:rsidR="000F0A87">
        <w:t>other measures</w:t>
      </w:r>
      <w:r w:rsidR="00EF525A" w:rsidRPr="00680748">
        <w:t xml:space="preserve"> </w:t>
      </w:r>
      <w:r w:rsidR="004549B3">
        <w:t>offered did not take the opportunity</w:t>
      </w:r>
      <w:r w:rsidR="00EF525A" w:rsidRPr="00680748">
        <w:t xml:space="preserve"> </w:t>
      </w:r>
      <w:r w:rsidR="004549B3">
        <w:t>to embed</w:t>
      </w:r>
      <w:r w:rsidR="00EF525A" w:rsidRPr="00680748">
        <w:t xml:space="preserve"> incentives towards the net-zero transition, for example via enhanced reliefs for investments in zero-carbon assets</w:t>
      </w:r>
      <w:r w:rsidR="00967D41">
        <w:t xml:space="preserve">, </w:t>
      </w:r>
      <w:r w:rsidR="00EF525A" w:rsidRPr="00680748">
        <w:t xml:space="preserve">innovation or enhanced environmental standards </w:t>
      </w:r>
      <w:r w:rsidR="00472E80">
        <w:t>for</w:t>
      </w:r>
      <w:r w:rsidR="00EF525A" w:rsidRPr="00680748">
        <w:t xml:space="preserve"> new developments in </w:t>
      </w:r>
      <w:r w:rsidR="00A208BC">
        <w:t>Freeport</w:t>
      </w:r>
      <w:r w:rsidR="00EF525A" w:rsidRPr="00680748">
        <w:t>s.</w:t>
      </w:r>
      <w:r w:rsidR="000F0A87">
        <w:t xml:space="preserve"> Whi</w:t>
      </w:r>
      <w:r w:rsidR="00EB711F">
        <w:t>l</w:t>
      </w:r>
      <w:r w:rsidR="000F0A87">
        <w:t xml:space="preserve">e we therefore </w:t>
      </w:r>
      <w:r w:rsidR="00EB711F">
        <w:t xml:space="preserve">recognise the potential for </w:t>
      </w:r>
      <w:r w:rsidR="00A208BC">
        <w:t>Freeport</w:t>
      </w:r>
      <w:r w:rsidR="00EB711F">
        <w:t xml:space="preserve">s to contribute to </w:t>
      </w:r>
      <w:r w:rsidR="0032250A">
        <w:t>decarbonisation, we must also acknowledge that decarbonisation is not strongly embedded as a component</w:t>
      </w:r>
      <w:r w:rsidR="00E76995">
        <w:t xml:space="preserve"> of the national </w:t>
      </w:r>
      <w:r w:rsidR="00A208BC">
        <w:t>Freeport</w:t>
      </w:r>
      <w:r w:rsidR="00E76995">
        <w:t>s programme</w:t>
      </w:r>
      <w:r w:rsidR="009E68ED">
        <w:t xml:space="preserve"> – it </w:t>
      </w:r>
      <w:r w:rsidR="002E0AD2">
        <w:t>is framed as a</w:t>
      </w:r>
      <w:r w:rsidR="00967D41">
        <w:t xml:space="preserve"> stated </w:t>
      </w:r>
      <w:r w:rsidR="002E0AD2">
        <w:t xml:space="preserve">ambition </w:t>
      </w:r>
      <w:r w:rsidR="00967D41">
        <w:t xml:space="preserve">rather </w:t>
      </w:r>
      <w:r w:rsidR="002E0AD2">
        <w:t xml:space="preserve">than a </w:t>
      </w:r>
      <w:r w:rsidR="00E35EF6">
        <w:t xml:space="preserve">clear </w:t>
      </w:r>
      <w:r w:rsidR="002E0AD2">
        <w:t>objectiv</w:t>
      </w:r>
      <w:r w:rsidR="00967D41">
        <w:t>e. We highlight that Freeport designation signals the prioritisation of</w:t>
      </w:r>
      <w:r w:rsidR="00C7314A">
        <w:t xml:space="preserve"> </w:t>
      </w:r>
      <w:r w:rsidR="00967D41">
        <w:t>regional</w:t>
      </w:r>
      <w:r w:rsidR="0096229C">
        <w:t xml:space="preserve"> economic growth</w:t>
      </w:r>
      <w:r w:rsidR="00674C8B">
        <w:t xml:space="preserve"> over</w:t>
      </w:r>
      <w:r w:rsidR="00A874A8">
        <w:t xml:space="preserve"> </w:t>
      </w:r>
      <w:r w:rsidR="00A874A8">
        <w:lastRenderedPageBreak/>
        <w:t>environmental consideration</w:t>
      </w:r>
      <w:r w:rsidR="00A874A8" w:rsidRPr="00A874A8">
        <w:t>s</w:t>
      </w:r>
      <w:r w:rsidR="00A874A8">
        <w:t>, although we acknowledge that</w:t>
      </w:r>
      <w:r w:rsidR="00130C55">
        <w:t xml:space="preserve"> environmental considerations are not excluded</w:t>
      </w:r>
      <w:r w:rsidR="00E76995" w:rsidRPr="00A874A8">
        <w:t>.</w:t>
      </w:r>
    </w:p>
    <w:p w14:paraId="3E1E25A5" w14:textId="77777777" w:rsidR="00777564" w:rsidRDefault="00777564" w:rsidP="00777564">
      <w:pPr>
        <w:pStyle w:val="ListParagraph"/>
        <w:spacing w:after="120"/>
        <w:ind w:left="360"/>
      </w:pPr>
    </w:p>
    <w:p w14:paraId="25970BFA" w14:textId="7AA9E81C" w:rsidR="004C57F6" w:rsidRDefault="00CB3CEB" w:rsidP="004C57F6">
      <w:pPr>
        <w:pStyle w:val="ListParagraph"/>
        <w:numPr>
          <w:ilvl w:val="0"/>
          <w:numId w:val="11"/>
        </w:numPr>
        <w:spacing w:after="120"/>
        <w:jc w:val="both"/>
      </w:pPr>
      <w:r>
        <w:t>Furthermore, t</w:t>
      </w:r>
      <w:r w:rsidR="00FC6D73">
        <w:t xml:space="preserve">here is </w:t>
      </w:r>
      <w:r w:rsidR="00967D41">
        <w:t xml:space="preserve">evidence of </w:t>
      </w:r>
      <w:r w:rsidR="00967D41" w:rsidRPr="009D1CA9">
        <w:rPr>
          <w:i/>
          <w:iCs/>
        </w:rPr>
        <w:t>policy</w:t>
      </w:r>
      <w:r w:rsidR="00967D41">
        <w:t xml:space="preserve"> </w:t>
      </w:r>
      <w:r w:rsidR="00967D41" w:rsidRPr="009D1CA9">
        <w:t>divergence</w:t>
      </w:r>
      <w:r w:rsidR="00FC6D73">
        <w:t xml:space="preserve"> between</w:t>
      </w:r>
      <w:r w:rsidR="00586D41">
        <w:t xml:space="preserve"> the </w:t>
      </w:r>
      <w:r w:rsidR="00A208BC">
        <w:t>Freeport</w:t>
      </w:r>
      <w:r w:rsidR="00967D41">
        <w:t xml:space="preserve"> agenda </w:t>
      </w:r>
      <w:r w:rsidR="00586D41">
        <w:t>and the net zero agenda</w:t>
      </w:r>
      <w:r w:rsidR="00967D41">
        <w:t>. M</w:t>
      </w:r>
      <w:r w:rsidR="00586D41">
        <w:t xml:space="preserve">ost analysts agree </w:t>
      </w:r>
      <w:r w:rsidR="00967D41">
        <w:t xml:space="preserve">net zero </w:t>
      </w:r>
      <w:r w:rsidR="00AF2ECC">
        <w:t>ambitions</w:t>
      </w:r>
      <w:r w:rsidR="00967D41">
        <w:t xml:space="preserve"> </w:t>
      </w:r>
      <w:r w:rsidR="00586D41">
        <w:t>require</w:t>
      </w:r>
      <w:r w:rsidR="0071428A">
        <w:t xml:space="preserve"> </w:t>
      </w:r>
      <w:proofErr w:type="gramStart"/>
      <w:r w:rsidR="0071428A">
        <w:t>differently-focused</w:t>
      </w:r>
      <w:proofErr w:type="gramEnd"/>
      <w:r w:rsidR="0071428A">
        <w:t xml:space="preserve"> regulatory and tax regimes</w:t>
      </w:r>
      <w:r w:rsidR="00AF2ECC">
        <w:t xml:space="preserve">. We raise concern that a </w:t>
      </w:r>
      <w:r w:rsidR="00057FF4">
        <w:t>lighter regulat</w:t>
      </w:r>
      <w:r w:rsidR="00AF2ECC">
        <w:t>or</w:t>
      </w:r>
      <w:r w:rsidR="00EA7CC6">
        <w:t>y</w:t>
      </w:r>
      <w:r w:rsidR="00AF2ECC">
        <w:t xml:space="preserve"> and</w:t>
      </w:r>
      <w:r w:rsidR="00057FF4">
        <w:t xml:space="preserve"> </w:t>
      </w:r>
      <w:r w:rsidR="00AF2ECC">
        <w:t>tariff regime is incompatible with net zero policy goals</w:t>
      </w:r>
      <w:r w:rsidR="00057FF4">
        <w:t>.</w:t>
      </w:r>
      <w:r>
        <w:t xml:space="preserve"> T</w:t>
      </w:r>
      <w:r w:rsidR="00691ABB">
        <w:t xml:space="preserve">he </w:t>
      </w:r>
      <w:r w:rsidR="00691ABB" w:rsidRPr="003156D4">
        <w:rPr>
          <w:i/>
          <w:iCs/>
        </w:rPr>
        <w:t xml:space="preserve">raison </w:t>
      </w:r>
      <w:proofErr w:type="spellStart"/>
      <w:r w:rsidR="00691ABB" w:rsidRPr="003156D4">
        <w:rPr>
          <w:i/>
          <w:iCs/>
        </w:rPr>
        <w:t>d’etre</w:t>
      </w:r>
      <w:proofErr w:type="spellEnd"/>
      <w:r w:rsidR="00691ABB">
        <w:t xml:space="preserve"> of </w:t>
      </w:r>
      <w:r w:rsidR="00A208BC">
        <w:t>Freeport</w:t>
      </w:r>
      <w:r w:rsidR="00691ABB">
        <w:t xml:space="preserve">s – to increase international trade </w:t>
      </w:r>
      <w:r w:rsidR="001E5A6E">
        <w:t>–</w:t>
      </w:r>
      <w:r w:rsidR="00691ABB">
        <w:t xml:space="preserve"> </w:t>
      </w:r>
      <w:r w:rsidR="001E5A6E">
        <w:t xml:space="preserve">will </w:t>
      </w:r>
      <w:r w:rsidR="00AF2ECC">
        <w:t xml:space="preserve">necessarily </w:t>
      </w:r>
      <w:r w:rsidR="001E5A6E">
        <w:t xml:space="preserve">increase demand for maritime, air and surface transport, with </w:t>
      </w:r>
      <w:r w:rsidR="0031471E">
        <w:t xml:space="preserve">likely </w:t>
      </w:r>
      <w:r w:rsidR="001E5A6E">
        <w:t xml:space="preserve">consequent </w:t>
      </w:r>
      <w:r w:rsidR="003443AB">
        <w:t xml:space="preserve">increases in </w:t>
      </w:r>
      <w:r w:rsidR="001E5A6E">
        <w:t>emissions</w:t>
      </w:r>
      <w:r w:rsidR="0096229C">
        <w:t xml:space="preserve"> (and associated air quality issues), both localised and aggregated national/global totals</w:t>
      </w:r>
      <w:r w:rsidR="003443AB">
        <w:t xml:space="preserve">. They are being encouraged to </w:t>
      </w:r>
      <w:r w:rsidR="000E1D8A">
        <w:t>host and develop in</w:t>
      </w:r>
      <w:r w:rsidR="00F504DB">
        <w:t>du</w:t>
      </w:r>
      <w:r w:rsidR="000E1D8A">
        <w:t>strial sectors</w:t>
      </w:r>
      <w:r w:rsidR="00F504DB">
        <w:t xml:space="preserve"> that have</w:t>
      </w:r>
      <w:r w:rsidR="00D13D7D">
        <w:t xml:space="preserve"> to date been responsible for high levels of carbon and other emissions (e.g. the Liverpool </w:t>
      </w:r>
      <w:r w:rsidR="009B3B55">
        <w:t xml:space="preserve">City Region </w:t>
      </w:r>
      <w:r w:rsidR="00A208BC">
        <w:t>Freeport</w:t>
      </w:r>
      <w:r w:rsidR="00D13D7D">
        <w:t xml:space="preserve"> intends to develop </w:t>
      </w:r>
      <w:r w:rsidR="00BD5310">
        <w:t>industrial clusters in automotive supply chains, chemical manufacturing, food manufacturing and logistics</w:t>
      </w:r>
      <w:r w:rsidR="00121F2E">
        <w:t xml:space="preserve"> </w:t>
      </w:r>
      <w:r w:rsidR="00B1470A">
        <w:rPr>
          <w:noProof/>
        </w:rPr>
        <w:t>(5)</w:t>
      </w:r>
      <w:r w:rsidR="00015BA9">
        <w:t>)</w:t>
      </w:r>
      <w:r w:rsidR="0096229C">
        <w:t xml:space="preserve"> This </w:t>
      </w:r>
      <w:r w:rsidR="00AF2ECC">
        <w:t>present</w:t>
      </w:r>
      <w:r w:rsidR="00B5650D">
        <w:t>s</w:t>
      </w:r>
      <w:r w:rsidR="00AF2ECC">
        <w:t xml:space="preserve"> a window of </w:t>
      </w:r>
      <w:r w:rsidR="0096229C">
        <w:t xml:space="preserve">opportunity to </w:t>
      </w:r>
      <w:r w:rsidR="00AF2ECC">
        <w:t>accelerate</w:t>
      </w:r>
      <w:r w:rsidR="0096229C">
        <w:t xml:space="preserve"> decarbonisation of precisely th</w:t>
      </w:r>
      <w:r w:rsidR="00C7314A">
        <w:t>e</w:t>
      </w:r>
      <w:r w:rsidR="0096229C">
        <w:t>s</w:t>
      </w:r>
      <w:r w:rsidR="00C7314A">
        <w:t>e</w:t>
      </w:r>
      <w:r w:rsidR="0096229C">
        <w:t xml:space="preserve"> high-carbon sectors, but this will only happen to the extent that incentives and regulations are explicitly </w:t>
      </w:r>
      <w:r w:rsidR="00B5650D">
        <w:t>oriented</w:t>
      </w:r>
      <w:r w:rsidR="0096229C">
        <w:t xml:space="preserve"> to this end</w:t>
      </w:r>
      <w:r w:rsidR="00015BA9">
        <w:t>.</w:t>
      </w:r>
      <w:r w:rsidR="003D3161">
        <w:t xml:space="preserve"> </w:t>
      </w:r>
      <w:r w:rsidR="004C57F6">
        <w:t xml:space="preserve"> </w:t>
      </w:r>
    </w:p>
    <w:p w14:paraId="2EB331EA" w14:textId="77777777" w:rsidR="004C57F6" w:rsidRDefault="004C57F6" w:rsidP="009D1CA9">
      <w:pPr>
        <w:pStyle w:val="ListParagraph"/>
        <w:spacing w:after="120"/>
        <w:ind w:left="360"/>
        <w:jc w:val="both"/>
      </w:pPr>
    </w:p>
    <w:p w14:paraId="2B8EAB69" w14:textId="330C9167" w:rsidR="004C57F6" w:rsidRDefault="00937594" w:rsidP="00B45BBB">
      <w:pPr>
        <w:pStyle w:val="ListParagraph"/>
        <w:numPr>
          <w:ilvl w:val="0"/>
          <w:numId w:val="11"/>
        </w:numPr>
        <w:spacing w:after="120"/>
        <w:jc w:val="both"/>
      </w:pPr>
      <w:r>
        <w:t>As an example,</w:t>
      </w:r>
      <w:r w:rsidR="004C57F6">
        <w:t xml:space="preserve"> the Liverpool City Region Freeport is promoted as providing “the ability to create zero carbon manufacturing and industrial hubs, connected by non-fossil freight to the rapidly decarbonising maritime industry” which “intend[s] to meet and exceed the ambitions for climate action demonstrated by international trading partners” </w:t>
      </w:r>
      <w:r w:rsidR="00B1470A">
        <w:rPr>
          <w:noProof/>
        </w:rPr>
        <w:t>(5)</w:t>
      </w:r>
      <w:r w:rsidR="004C57F6">
        <w:t xml:space="preserve">. The Teesside Freeport is emphasising its role as a hub for (‘green’, electrolytic) hydrogen and carbon capture, use and storage (CCUS) technologies </w:t>
      </w:r>
      <w:r w:rsidR="00B1470A">
        <w:rPr>
          <w:noProof/>
        </w:rPr>
        <w:t>(6, 7)</w:t>
      </w:r>
      <w:r w:rsidR="004C57F6">
        <w:t xml:space="preserve">. </w:t>
      </w:r>
      <w:r w:rsidR="00C7314A">
        <w:t>If, however,</w:t>
      </w:r>
      <w:r w:rsidR="004C57F6">
        <w:t xml:space="preserve"> a CBAM is introduced in the UK but Freeports are exempt from it, or their special status makes its application more difficult, this would damage these low-carbon potentials and ambitions and contribute to carbon leakag</w:t>
      </w:r>
      <w:r w:rsidR="00C7314A">
        <w:t xml:space="preserve">e, as we </w:t>
      </w:r>
      <w:r w:rsidR="001A3D9A">
        <w:t>explain below</w:t>
      </w:r>
      <w:r w:rsidR="004C57F6">
        <w:t>.</w:t>
      </w:r>
    </w:p>
    <w:p w14:paraId="1B52A6F9" w14:textId="77777777" w:rsidR="004335B4" w:rsidRDefault="004335B4" w:rsidP="009D1CA9">
      <w:pPr>
        <w:pStyle w:val="ListParagraph"/>
        <w:spacing w:after="120"/>
        <w:ind w:left="360"/>
        <w:jc w:val="both"/>
      </w:pPr>
    </w:p>
    <w:p w14:paraId="4CDC7167" w14:textId="77777777" w:rsidR="00965797" w:rsidRDefault="00A208BC" w:rsidP="00777564">
      <w:pPr>
        <w:pStyle w:val="Heading2"/>
        <w:spacing w:after="120"/>
      </w:pPr>
      <w:r>
        <w:t>Freeport</w:t>
      </w:r>
      <w:r w:rsidR="001A2251">
        <w:t>s and CBAM</w:t>
      </w:r>
      <w:r w:rsidR="008F0B3D">
        <w:t>s</w:t>
      </w:r>
    </w:p>
    <w:p w14:paraId="3FF7592E" w14:textId="22924927" w:rsidR="005D7FD5" w:rsidRDefault="00E954AD" w:rsidP="009D1CA9">
      <w:pPr>
        <w:pStyle w:val="ListParagraph"/>
        <w:numPr>
          <w:ilvl w:val="0"/>
          <w:numId w:val="11"/>
        </w:numPr>
        <w:spacing w:after="120"/>
        <w:jc w:val="both"/>
      </w:pPr>
      <w:r>
        <w:t xml:space="preserve">The question for the Committee, and for the Government, then, is how will designated </w:t>
      </w:r>
      <w:r w:rsidR="00A208BC">
        <w:t>Freeport</w:t>
      </w:r>
      <w:r>
        <w:t>s be engaged by any potential CBAM regime?</w:t>
      </w:r>
      <w:r w:rsidR="00F93AFE">
        <w:t xml:space="preserve"> If they are exempt from </w:t>
      </w:r>
      <w:r w:rsidR="005A7681">
        <w:t>a CBAM</w:t>
      </w:r>
      <w:r w:rsidR="005C63DA">
        <w:t xml:space="preserve"> (or a CBAM is applied differently within </w:t>
      </w:r>
      <w:r w:rsidR="00A208BC">
        <w:t>Freeport</w:t>
      </w:r>
      <w:r w:rsidR="005C63DA">
        <w:t xml:space="preserve"> sites)</w:t>
      </w:r>
      <w:r w:rsidR="005A7681">
        <w:t xml:space="preserve"> due to their exemption from normal tax and customs</w:t>
      </w:r>
      <w:r w:rsidR="00E44FD5">
        <w:t xml:space="preserve"> rules, there is a</w:t>
      </w:r>
      <w:r w:rsidR="00C840B6">
        <w:t xml:space="preserve">n evident </w:t>
      </w:r>
      <w:r w:rsidR="00E44FD5">
        <w:t>risk that they could contribute to significant</w:t>
      </w:r>
      <w:r w:rsidR="00E52A02">
        <w:t xml:space="preserve"> additional</w:t>
      </w:r>
      <w:r w:rsidR="00E44FD5">
        <w:t xml:space="preserve"> carbon leakage. </w:t>
      </w:r>
      <w:r w:rsidR="004C2E26">
        <w:t xml:space="preserve">Even if industrial clusters within </w:t>
      </w:r>
      <w:r w:rsidR="00D72020">
        <w:t xml:space="preserve">some or all </w:t>
      </w:r>
      <w:r w:rsidR="00A208BC">
        <w:t>Freeport</w:t>
      </w:r>
      <w:r w:rsidR="00D72020">
        <w:t xml:space="preserve"> site</w:t>
      </w:r>
      <w:r w:rsidR="004C2E26">
        <w:t xml:space="preserve">s </w:t>
      </w:r>
      <w:r w:rsidR="009F2F57">
        <w:t>advance</w:t>
      </w:r>
      <w:r w:rsidR="004C2E26">
        <w:t xml:space="preserve"> low-carbon operations</w:t>
      </w:r>
      <w:r w:rsidR="00522B14">
        <w:t xml:space="preserve"> as per the Government’s ambitions</w:t>
      </w:r>
      <w:r w:rsidR="0096229C">
        <w:t xml:space="preserve"> and those (now emerging) of the individual Freeport projects –</w:t>
      </w:r>
      <w:r w:rsidR="007442CC">
        <w:t xml:space="preserve"> </w:t>
      </w:r>
      <w:proofErr w:type="gramStart"/>
      <w:r w:rsidR="007442CC">
        <w:t>e.g.</w:t>
      </w:r>
      <w:proofErr w:type="gramEnd"/>
      <w:r w:rsidR="007442CC">
        <w:t xml:space="preserve"> through the use of on-site renewable energy or innovative techniques</w:t>
      </w:r>
      <w:r w:rsidR="00500C14">
        <w:t>,</w:t>
      </w:r>
      <w:r w:rsidR="007442CC">
        <w:t xml:space="preserve"> processes</w:t>
      </w:r>
      <w:r w:rsidR="00C4113E">
        <w:t xml:space="preserve">, </w:t>
      </w:r>
      <w:r w:rsidR="00500C14">
        <w:t>or materials</w:t>
      </w:r>
      <w:r w:rsidR="0096229C">
        <w:t xml:space="preserve"> – </w:t>
      </w:r>
      <w:r w:rsidR="00C4113E">
        <w:t xml:space="preserve">market forces could </w:t>
      </w:r>
      <w:r w:rsidR="0096229C">
        <w:t xml:space="preserve">still </w:t>
      </w:r>
      <w:r w:rsidR="00C4113E">
        <w:t xml:space="preserve">drive </w:t>
      </w:r>
      <w:r w:rsidR="00917861">
        <w:t xml:space="preserve">businesses within </w:t>
      </w:r>
      <w:r w:rsidR="00A208BC">
        <w:t>Freeport</w:t>
      </w:r>
      <w:r w:rsidR="00917861">
        <w:t xml:space="preserve"> sites</w:t>
      </w:r>
      <w:r w:rsidR="00C4113E">
        <w:t xml:space="preserve"> to utilise </w:t>
      </w:r>
      <w:r w:rsidR="0096229C">
        <w:t>readily available</w:t>
      </w:r>
      <w:r w:rsidR="00C7314A">
        <w:t>,</w:t>
      </w:r>
      <w:r w:rsidR="0096229C">
        <w:t xml:space="preserve"> existing </w:t>
      </w:r>
      <w:r w:rsidR="00C4113E">
        <w:t>high-carbon</w:t>
      </w:r>
      <w:r w:rsidR="00DD4A67">
        <w:t xml:space="preserve"> foreign</w:t>
      </w:r>
      <w:r w:rsidR="00C4113E">
        <w:t xml:space="preserve"> supply chains</w:t>
      </w:r>
      <w:r w:rsidR="00BD4482">
        <w:t xml:space="preserve"> to secure competitive advantage.</w:t>
      </w:r>
      <w:r w:rsidR="00603990">
        <w:t xml:space="preserve"> </w:t>
      </w:r>
      <w:r w:rsidR="009A2CAC">
        <w:t xml:space="preserve">This </w:t>
      </w:r>
      <w:r w:rsidR="000E7549">
        <w:t>risk may increase in the case of goods that are re-exported from Freeports without ever entering UK customs jurisdiction.</w:t>
      </w:r>
      <w:r w:rsidR="0096229C">
        <w:t xml:space="preserve">  In such a scenario</w:t>
      </w:r>
      <w:r w:rsidR="00937594">
        <w:t xml:space="preserve"> </w:t>
      </w:r>
      <w:r w:rsidR="0096229C">
        <w:t>Freeports</w:t>
      </w:r>
      <w:r w:rsidR="00937594">
        <w:t xml:space="preserve"> </w:t>
      </w:r>
      <w:r w:rsidR="0096229C">
        <w:t xml:space="preserve">designed specifically for exports from the UK, </w:t>
      </w:r>
      <w:r w:rsidR="00937594">
        <w:t>could</w:t>
      </w:r>
      <w:r w:rsidR="0096229C">
        <w:t xml:space="preserve"> undermine </w:t>
      </w:r>
      <w:r w:rsidR="00937594">
        <w:t xml:space="preserve">the </w:t>
      </w:r>
      <w:r w:rsidR="0096229C">
        <w:t xml:space="preserve">application of a CBAM </w:t>
      </w:r>
      <w:r w:rsidR="00937594">
        <w:t xml:space="preserve">regime </w:t>
      </w:r>
      <w:r w:rsidR="0096229C">
        <w:t xml:space="preserve">as a measure to combat carbon leakage by offering </w:t>
      </w:r>
      <w:r w:rsidR="006D2677">
        <w:t xml:space="preserve">a get-out for British-based industry simply by relocating to Freeport locations. </w:t>
      </w:r>
      <w:r w:rsidR="0096229C">
        <w:t xml:space="preserve"> </w:t>
      </w:r>
      <w:r w:rsidR="00DF0198">
        <w:t>This could also result in increased transport emissions if, for example, components are shipped in to Freeports rather than</w:t>
      </w:r>
      <w:r w:rsidR="007C36C4">
        <w:t xml:space="preserve"> using</w:t>
      </w:r>
      <w:r w:rsidR="003E7831">
        <w:t xml:space="preserve"> UK-produced</w:t>
      </w:r>
      <w:r w:rsidR="007C36C4">
        <w:t xml:space="preserve"> goods.</w:t>
      </w:r>
    </w:p>
    <w:p w14:paraId="0F250E9C" w14:textId="77777777" w:rsidR="00777564" w:rsidRDefault="00777564" w:rsidP="00777564">
      <w:pPr>
        <w:pStyle w:val="ListParagraph"/>
        <w:spacing w:after="120"/>
        <w:ind w:left="360"/>
      </w:pPr>
    </w:p>
    <w:p w14:paraId="1BAE226F" w14:textId="79FB5135" w:rsidR="00EC3D4A" w:rsidRDefault="006F1AF1" w:rsidP="009D1CA9">
      <w:pPr>
        <w:pStyle w:val="ListParagraph"/>
        <w:numPr>
          <w:ilvl w:val="0"/>
          <w:numId w:val="11"/>
        </w:numPr>
        <w:spacing w:after="120"/>
        <w:jc w:val="both"/>
      </w:pPr>
      <w:r>
        <w:t>We agree with the</w:t>
      </w:r>
      <w:r w:rsidR="00ED0B9C">
        <w:t xml:space="preserve"> Climate Change Committee</w:t>
      </w:r>
      <w:r w:rsidR="00AF1C92">
        <w:t xml:space="preserve"> </w:t>
      </w:r>
      <w:r w:rsidR="00B1470A">
        <w:rPr>
          <w:noProof/>
        </w:rPr>
        <w:t>(8)</w:t>
      </w:r>
      <w:r w:rsidR="00ED0B9C">
        <w:t xml:space="preserve"> </w:t>
      </w:r>
      <w:r w:rsidR="00F9137A">
        <w:t xml:space="preserve">and </w:t>
      </w:r>
      <w:r w:rsidR="00ED0B9C">
        <w:t xml:space="preserve">Grantham </w:t>
      </w:r>
      <w:r w:rsidR="00F9137A">
        <w:t>Re</w:t>
      </w:r>
      <w:r w:rsidR="00ED0B9C">
        <w:t>search Institute</w:t>
      </w:r>
      <w:r w:rsidR="00AF1C92">
        <w:t xml:space="preserve"> </w:t>
      </w:r>
      <w:r w:rsidR="00B1470A">
        <w:rPr>
          <w:noProof/>
        </w:rPr>
        <w:t>(9)</w:t>
      </w:r>
      <w:r w:rsidR="00ED0B9C">
        <w:t xml:space="preserve"> </w:t>
      </w:r>
      <w:r w:rsidR="00F9137A">
        <w:t>that d</w:t>
      </w:r>
      <w:r w:rsidR="00A53A13">
        <w:t>ecarbonising UK industry</w:t>
      </w:r>
      <w:r w:rsidR="009F64BD">
        <w:t xml:space="preserve"> can only be achieved through measures, such as</w:t>
      </w:r>
      <w:r w:rsidR="00F9137A">
        <w:t xml:space="preserve"> a</w:t>
      </w:r>
      <w:r w:rsidR="009F64BD">
        <w:t xml:space="preserve"> CBAM, which</w:t>
      </w:r>
      <w:r w:rsidR="00603990">
        <w:t xml:space="preserve"> </w:t>
      </w:r>
      <w:r w:rsidR="00D82F91">
        <w:t>incentivise or regulate the decarbonisation of its international supply chain</w:t>
      </w:r>
      <w:r w:rsidR="00DD4A67">
        <w:t>s</w:t>
      </w:r>
      <w:r w:rsidR="00D82F91">
        <w:t>. For such mechanisms to function effectively they</w:t>
      </w:r>
      <w:r w:rsidR="00BE37FF">
        <w:t xml:space="preserve"> must</w:t>
      </w:r>
      <w:r w:rsidR="00937594">
        <w:t xml:space="preserve"> be</w:t>
      </w:r>
      <w:r w:rsidR="00BE37FF">
        <w:t xml:space="preserve"> appl</w:t>
      </w:r>
      <w:r w:rsidR="00937594">
        <w:t>ied</w:t>
      </w:r>
      <w:r w:rsidR="00BE37FF">
        <w:t xml:space="preserve"> universally, </w:t>
      </w:r>
      <w:proofErr w:type="gramStart"/>
      <w:r w:rsidR="00BE37FF">
        <w:t>i.e.</w:t>
      </w:r>
      <w:proofErr w:type="gramEnd"/>
      <w:r w:rsidR="00BE37FF">
        <w:t xml:space="preserve"> there cannot be zones with the UK, such as </w:t>
      </w:r>
      <w:r w:rsidR="00A208BC">
        <w:t>Freeport</w:t>
      </w:r>
      <w:r w:rsidR="00BE37FF">
        <w:t xml:space="preserve">s, where </w:t>
      </w:r>
      <w:r w:rsidR="00433563">
        <w:t xml:space="preserve">the mechanisms do not apply. This would generate perverse incentives </w:t>
      </w:r>
      <w:r w:rsidR="00433563">
        <w:lastRenderedPageBreak/>
        <w:t>and pull in the opposite direction</w:t>
      </w:r>
      <w:r w:rsidR="00F74345">
        <w:t xml:space="preserve"> to the Government’s ambition for </w:t>
      </w:r>
      <w:r w:rsidR="00A208BC">
        <w:t>Freeport</w:t>
      </w:r>
      <w:r w:rsidR="00F74345">
        <w:t xml:space="preserve">s to contribute to decarbonisation. </w:t>
      </w:r>
    </w:p>
    <w:p w14:paraId="026BB2CD" w14:textId="77777777" w:rsidR="00777564" w:rsidRDefault="00777564" w:rsidP="00777564">
      <w:pPr>
        <w:pStyle w:val="ListParagraph"/>
        <w:spacing w:after="120"/>
        <w:ind w:left="360"/>
      </w:pPr>
    </w:p>
    <w:p w14:paraId="78B717F8" w14:textId="5E131E4E" w:rsidR="002060BD" w:rsidRDefault="00EA1A31" w:rsidP="009D1CA9">
      <w:pPr>
        <w:pStyle w:val="ListParagraph"/>
        <w:numPr>
          <w:ilvl w:val="0"/>
          <w:numId w:val="11"/>
        </w:numPr>
        <w:spacing w:after="120"/>
        <w:jc w:val="both"/>
      </w:pPr>
      <w:r>
        <w:t xml:space="preserve">The </w:t>
      </w:r>
      <w:r w:rsidR="00063140">
        <w:t>simplified</w:t>
      </w:r>
      <w:r>
        <w:t xml:space="preserve"> customs regime</w:t>
      </w:r>
      <w:r w:rsidR="0070786E">
        <w:t xml:space="preserve"> within </w:t>
      </w:r>
      <w:r w:rsidR="00A208BC">
        <w:t>Freeport</w:t>
      </w:r>
      <w:r w:rsidR="0070786E">
        <w:t xml:space="preserve"> sites also adds an extra dimension of complexity</w:t>
      </w:r>
      <w:r w:rsidR="00886F42">
        <w:t xml:space="preserve"> to the application of CBAMs within </w:t>
      </w:r>
      <w:r w:rsidR="00A208BC">
        <w:t>Freeport</w:t>
      </w:r>
      <w:r w:rsidR="00886F42">
        <w:t>s</w:t>
      </w:r>
      <w:r w:rsidR="00C04A3C">
        <w:t>,</w:t>
      </w:r>
      <w:r w:rsidR="00886F42">
        <w:t xml:space="preserve"> as it is likely to </w:t>
      </w:r>
      <w:r w:rsidR="00AB7035">
        <w:t>increase the difficulty of</w:t>
      </w:r>
      <w:r w:rsidR="0058319A">
        <w:t xml:space="preserve"> accurately and comprehensively tracing the provenance and history of </w:t>
      </w:r>
      <w:r w:rsidR="00C670F1">
        <w:t xml:space="preserve">imported </w:t>
      </w:r>
      <w:r w:rsidR="0058319A">
        <w:t>goods and componen</w:t>
      </w:r>
      <w:r w:rsidR="00C670F1">
        <w:t>ts.</w:t>
      </w:r>
      <w:r w:rsidR="009A53C2">
        <w:t xml:space="preserve"> </w:t>
      </w:r>
      <w:r w:rsidR="004F199E">
        <w:t xml:space="preserve">This is particularly the case if </w:t>
      </w:r>
      <w:r w:rsidR="000A2E41">
        <w:t xml:space="preserve">goods are re-exported from Freeports without ever effectively entering UK customs jurisdiction. </w:t>
      </w:r>
      <w:r w:rsidR="009A53C2">
        <w:t xml:space="preserve">There is international evidence of the relaxed customs procedures at </w:t>
      </w:r>
      <w:r w:rsidR="00A208BC">
        <w:t>Freeport</w:t>
      </w:r>
      <w:r w:rsidR="009A53C2">
        <w:t>s being associated with trade in counterfeit goods, drug trafficking, smuggling of untaxed goods, trade-based money laundering, and tax evasion</w:t>
      </w:r>
      <w:r w:rsidR="00FB4E22">
        <w:t xml:space="preserve"> </w:t>
      </w:r>
      <w:r w:rsidR="00B1470A">
        <w:rPr>
          <w:noProof/>
        </w:rPr>
        <w:t>(10)</w:t>
      </w:r>
      <w:r w:rsidR="006B3F8F">
        <w:t xml:space="preserve">. </w:t>
      </w:r>
      <w:r w:rsidR="009A53C2">
        <w:t>These concerns</w:t>
      </w:r>
      <w:r w:rsidR="00AA1A9E">
        <w:t xml:space="preserve"> underpinned the EU’s recent </w:t>
      </w:r>
      <w:r w:rsidR="00933C08">
        <w:t xml:space="preserve">‘clampdown’ on </w:t>
      </w:r>
      <w:r w:rsidR="00A208BC">
        <w:t>Freeport</w:t>
      </w:r>
      <w:r w:rsidR="00933C08">
        <w:t>s operating within its boundaries</w:t>
      </w:r>
      <w:r w:rsidR="00131350">
        <w:t xml:space="preserve"> </w:t>
      </w:r>
      <w:r w:rsidR="00B1470A">
        <w:rPr>
          <w:noProof/>
        </w:rPr>
        <w:t>(11)</w:t>
      </w:r>
      <w:r w:rsidR="002C1021">
        <w:t xml:space="preserve">. The same logic would apply to </w:t>
      </w:r>
      <w:r w:rsidR="000524DD">
        <w:t>a</w:t>
      </w:r>
      <w:r w:rsidR="002C1021">
        <w:t xml:space="preserve"> difficulty in </w:t>
      </w:r>
      <w:r w:rsidR="005610F2">
        <w:t>identifying and tracking high-carbon goods that could circumvent a CBAM, even if one were applied with</w:t>
      </w:r>
      <w:r w:rsidR="008C64E8">
        <w:t xml:space="preserve">in the </w:t>
      </w:r>
      <w:r w:rsidR="00A208BC">
        <w:t>Freeport</w:t>
      </w:r>
      <w:r w:rsidR="008C64E8">
        <w:t xml:space="preserve"> sites.</w:t>
      </w:r>
      <w:r w:rsidR="000C233D">
        <w:t xml:space="preserve"> </w:t>
      </w:r>
      <w:r w:rsidR="00BB690B">
        <w:t>There are additional difficulties in</w:t>
      </w:r>
      <w:r w:rsidR="000C233D">
        <w:t xml:space="preserve"> assess</w:t>
      </w:r>
      <w:r w:rsidR="00BB690B">
        <w:t>ing</w:t>
      </w:r>
      <w:r w:rsidR="000C233D">
        <w:t xml:space="preserve"> </w:t>
      </w:r>
      <w:r w:rsidR="00BB690B">
        <w:t>and</w:t>
      </w:r>
      <w:r w:rsidR="000C233D">
        <w:t xml:space="preserve"> measur</w:t>
      </w:r>
      <w:r w:rsidR="00BB690B">
        <w:t>ing</w:t>
      </w:r>
      <w:r w:rsidR="000C233D">
        <w:t xml:space="preserve"> compliance with either national or company policies</w:t>
      </w:r>
      <w:r w:rsidR="00B41002">
        <w:t xml:space="preserve"> in such </w:t>
      </w:r>
      <w:r w:rsidR="00A93375">
        <w:t>deregulated locations</w:t>
      </w:r>
      <w:r w:rsidR="002330DD">
        <w:t xml:space="preserve"> </w:t>
      </w:r>
      <w:r w:rsidR="00B1470A">
        <w:rPr>
          <w:noProof/>
        </w:rPr>
        <w:t>(12)</w:t>
      </w:r>
      <w:r w:rsidR="001E481B">
        <w:t xml:space="preserve">. </w:t>
      </w:r>
    </w:p>
    <w:p w14:paraId="231F7976" w14:textId="77777777" w:rsidR="00777564" w:rsidRDefault="00777564" w:rsidP="00777564">
      <w:pPr>
        <w:pStyle w:val="ListParagraph"/>
        <w:spacing w:after="120"/>
        <w:ind w:left="360"/>
      </w:pPr>
    </w:p>
    <w:p w14:paraId="098371B9" w14:textId="3C19F28D" w:rsidR="00A14A19" w:rsidRDefault="00A14A19" w:rsidP="009D1CA9">
      <w:pPr>
        <w:pStyle w:val="ListParagraph"/>
        <w:numPr>
          <w:ilvl w:val="0"/>
          <w:numId w:val="11"/>
        </w:numPr>
        <w:spacing w:after="120"/>
        <w:jc w:val="both"/>
      </w:pPr>
      <w:r>
        <w:t xml:space="preserve">These issues are complicated further by the fact that many </w:t>
      </w:r>
      <w:r w:rsidR="00A208BC">
        <w:t>Freeport</w:t>
      </w:r>
      <w:r>
        <w:t xml:space="preserve">s do not simply consist of one site at which all </w:t>
      </w:r>
      <w:r w:rsidR="00A208BC">
        <w:t>Freeport</w:t>
      </w:r>
      <w:r>
        <w:t xml:space="preserve"> measures will apply. The Liverpool City Region </w:t>
      </w:r>
      <w:r w:rsidR="00A208BC">
        <w:t>Freeport</w:t>
      </w:r>
      <w:r>
        <w:t xml:space="preserve">, for example, consists of a primary customs site, three tax and customs sites, 12 customs sites (which will benefit from the customs measures but not the tax measures associated with the </w:t>
      </w:r>
      <w:r w:rsidR="00A208BC">
        <w:t>Freeport</w:t>
      </w:r>
      <w:r>
        <w:t>) and plans for an as-yet unknown number of further ‘</w:t>
      </w:r>
      <w:r w:rsidR="00A208BC">
        <w:t>Freeport</w:t>
      </w:r>
      <w:r>
        <w:t xml:space="preserve"> opportunity zones’, spread across eight local authority areas </w:t>
      </w:r>
      <w:r w:rsidR="00B1470A">
        <w:rPr>
          <w:noProof/>
        </w:rPr>
        <w:t>(5)</w:t>
      </w:r>
      <w:r>
        <w:t>.</w:t>
      </w:r>
      <w:r w:rsidR="006D2677">
        <w:t xml:space="preserve"> Similarly, plans for the Teesside Freeport suggest it will be dispersed across at least 8 major sites, plus the airport, spread across all five local authorities of the Combined Authority region.  </w:t>
      </w:r>
    </w:p>
    <w:p w14:paraId="12AE6F1F" w14:textId="77777777" w:rsidR="00777564" w:rsidRDefault="00777564" w:rsidP="00777564">
      <w:pPr>
        <w:pStyle w:val="ListParagraph"/>
        <w:spacing w:after="120"/>
        <w:ind w:left="360"/>
      </w:pPr>
    </w:p>
    <w:p w14:paraId="48E9B27B" w14:textId="66061BC0" w:rsidR="001E481B" w:rsidRDefault="00FE2DD6" w:rsidP="009D1CA9">
      <w:pPr>
        <w:pStyle w:val="ListParagraph"/>
        <w:numPr>
          <w:ilvl w:val="0"/>
          <w:numId w:val="11"/>
        </w:numPr>
        <w:spacing w:after="120"/>
        <w:jc w:val="both"/>
      </w:pPr>
      <w:r>
        <w:t xml:space="preserve">Despite these </w:t>
      </w:r>
      <w:r w:rsidR="00064A1A">
        <w:t>potential</w:t>
      </w:r>
      <w:r w:rsidR="001B78D0">
        <w:t xml:space="preserve"> conflicts with the</w:t>
      </w:r>
      <w:r w:rsidR="00064A1A">
        <w:t xml:space="preserve"> decarbonisation imperative, which we recognise as </w:t>
      </w:r>
      <w:r w:rsidR="00F80E14">
        <w:t>an</w:t>
      </w:r>
      <w:r w:rsidR="00064A1A">
        <w:t xml:space="preserve"> urgent issue not just </w:t>
      </w:r>
      <w:r w:rsidR="00F80E14">
        <w:t xml:space="preserve">for </w:t>
      </w:r>
      <w:r w:rsidR="00064A1A">
        <w:t>the UK but</w:t>
      </w:r>
      <w:r w:rsidR="00F80E14">
        <w:t xml:space="preserve"> for</w:t>
      </w:r>
      <w:r w:rsidR="00064A1A">
        <w:t xml:space="preserve"> the world, </w:t>
      </w:r>
      <w:r w:rsidR="001E481B">
        <w:t>it is likely that the application of additional tariffs or tightenin</w:t>
      </w:r>
      <w:r w:rsidR="00F078AB">
        <w:t>g of</w:t>
      </w:r>
      <w:r w:rsidR="001E481B">
        <w:t xml:space="preserve"> customs controls in special economic zones whose success is predicated on a low tax, light regulation regime</w:t>
      </w:r>
      <w:r w:rsidR="003C05E4">
        <w:t xml:space="preserve"> that is </w:t>
      </w:r>
      <w:r w:rsidR="00605C0E">
        <w:t>“</w:t>
      </w:r>
      <w:r w:rsidR="003C05E4">
        <w:t xml:space="preserve">effectively outside </w:t>
      </w:r>
      <w:r w:rsidR="00605C0E">
        <w:t>a country’s</w:t>
      </w:r>
      <w:r w:rsidR="003C05E4">
        <w:t xml:space="preserve"> customs</w:t>
      </w:r>
      <w:r w:rsidR="00605C0E">
        <w:t xml:space="preserve"> borders”</w:t>
      </w:r>
      <w:r w:rsidR="001E481B">
        <w:t xml:space="preserve"> </w:t>
      </w:r>
      <w:r w:rsidR="00B1470A">
        <w:rPr>
          <w:noProof/>
        </w:rPr>
        <w:t>(1)</w:t>
      </w:r>
      <w:r w:rsidR="003E1FAC">
        <w:t xml:space="preserve"> (p 4)</w:t>
      </w:r>
      <w:r w:rsidR="00937D83">
        <w:t xml:space="preserve"> </w:t>
      </w:r>
      <w:r w:rsidR="001E481B">
        <w:t>would face substantial resistance both locally and nationally.</w:t>
      </w:r>
    </w:p>
    <w:p w14:paraId="4870F7B1" w14:textId="77777777" w:rsidR="008D1229" w:rsidRDefault="008D1229" w:rsidP="00777564">
      <w:pPr>
        <w:pStyle w:val="Heading2"/>
        <w:spacing w:after="120"/>
      </w:pPr>
      <w:r>
        <w:t>Lessons</w:t>
      </w:r>
      <w:r w:rsidR="0030223D">
        <w:t xml:space="preserve"> to be learned</w:t>
      </w:r>
      <w:r w:rsidR="00C75979">
        <w:t xml:space="preserve"> for decarbonisation ambitions</w:t>
      </w:r>
    </w:p>
    <w:p w14:paraId="30DB276E" w14:textId="77777777" w:rsidR="0030223D" w:rsidRDefault="0030223D" w:rsidP="009D1CA9">
      <w:pPr>
        <w:pStyle w:val="ListParagraph"/>
        <w:numPr>
          <w:ilvl w:val="0"/>
          <w:numId w:val="11"/>
        </w:numPr>
        <w:spacing w:after="120"/>
        <w:jc w:val="both"/>
      </w:pPr>
      <w:r>
        <w:t>Th</w:t>
      </w:r>
      <w:r w:rsidR="006D2677">
        <w:t>er</w:t>
      </w:r>
      <w:r>
        <w:t xml:space="preserve">e is very little research directly connecting </w:t>
      </w:r>
      <w:r w:rsidR="00A208BC">
        <w:t>Freeport</w:t>
      </w:r>
      <w:r>
        <w:t xml:space="preserve">s with CBAMs. However, some lessons may </w:t>
      </w:r>
      <w:r w:rsidR="00A92AC3">
        <w:t xml:space="preserve">usefully </w:t>
      </w:r>
      <w:r>
        <w:t>be learned from considering the wider environmental performance and potential of special economic zones</w:t>
      </w:r>
      <w:r w:rsidR="00D61F4D">
        <w:t xml:space="preserve"> more generally and from </w:t>
      </w:r>
      <w:r w:rsidR="00BC3461">
        <w:t>considering the stated ambitions of the new UK Freeports in this area</w:t>
      </w:r>
      <w:r>
        <w:t>.</w:t>
      </w:r>
    </w:p>
    <w:p w14:paraId="6284708A" w14:textId="77777777" w:rsidR="00777564" w:rsidRDefault="00777564" w:rsidP="00777564">
      <w:pPr>
        <w:pStyle w:val="ListParagraph"/>
        <w:spacing w:after="120"/>
        <w:ind w:left="360"/>
      </w:pPr>
    </w:p>
    <w:p w14:paraId="0DDE4636" w14:textId="6E4D86B3" w:rsidR="00C7314A" w:rsidRDefault="0030223D" w:rsidP="00092789">
      <w:pPr>
        <w:pStyle w:val="ListParagraph"/>
        <w:numPr>
          <w:ilvl w:val="0"/>
          <w:numId w:val="11"/>
        </w:numPr>
        <w:spacing w:after="120"/>
        <w:jc w:val="both"/>
      </w:pPr>
      <w:r>
        <w:t xml:space="preserve">On the one hand, special economic zones from around the world have been associated with serious environmental degradation, including air, land and water pollution, and the production of significant quantities of industrial waste </w:t>
      </w:r>
      <w:r w:rsidR="00B1470A">
        <w:rPr>
          <w:noProof/>
        </w:rPr>
        <w:t>(13, 14)</w:t>
      </w:r>
      <w:r>
        <w:t xml:space="preserve">. However, these were </w:t>
      </w:r>
      <w:r w:rsidR="00A92AC3">
        <w:t>sometimes</w:t>
      </w:r>
      <w:r>
        <w:t xml:space="preserve"> associated with zoning measures that included lowering or exemption from environmental standards, which has not been proposed for UK </w:t>
      </w:r>
      <w:r w:rsidR="00A208BC">
        <w:t>Freeport</w:t>
      </w:r>
      <w:r>
        <w:t>s</w:t>
      </w:r>
      <w:r w:rsidR="00893CA6">
        <w:t>. A</w:t>
      </w:r>
      <w:r>
        <w:t xml:space="preserve">lthough </w:t>
      </w:r>
      <w:r w:rsidR="00A208BC">
        <w:t>Freeport</w:t>
      </w:r>
      <w:r w:rsidR="000F0CA2">
        <w:t>s</w:t>
      </w:r>
      <w:r>
        <w:t xml:space="preserve"> will face a relaxed planning regime, the Government is encouraging </w:t>
      </w:r>
      <w:r w:rsidR="00BE67BF">
        <w:t>–</w:t>
      </w:r>
      <w:r>
        <w:t xml:space="preserve"> but not requiring </w:t>
      </w:r>
      <w:r w:rsidR="00BE67BF">
        <w:t>–</w:t>
      </w:r>
      <w:r>
        <w:t xml:space="preserve"> this to be implemented in ways that contribute to rather than undermine decarbonisation. But if </w:t>
      </w:r>
      <w:r w:rsidR="000F0CA2">
        <w:t>such exemptions were to be applied</w:t>
      </w:r>
      <w:r w:rsidR="00320E34">
        <w:t xml:space="preserve">, or if </w:t>
      </w:r>
      <w:r w:rsidR="00DC6669">
        <w:t>deregulation made the enforcing of standards more difficult</w:t>
      </w:r>
      <w:r>
        <w:t xml:space="preserve"> – for example if UK </w:t>
      </w:r>
      <w:r w:rsidR="00A208BC">
        <w:t>Freeport</w:t>
      </w:r>
      <w:r>
        <w:t xml:space="preserve">s were to be exempt from CBAMs, or if their relaxed customs regimes made applying CBAMs more difficult </w:t>
      </w:r>
      <w:r w:rsidR="00BE67BF">
        <w:t>–</w:t>
      </w:r>
      <w:r>
        <w:t xml:space="preserve"> it is reasonable to assume that a similar pattern would follow and that </w:t>
      </w:r>
      <w:r w:rsidR="00A208BC">
        <w:t>Freeport</w:t>
      </w:r>
      <w:r>
        <w:t xml:space="preserve">s would provide a ‘back door’ for untaxed high-carbon goods to be imported, handled, stored, and/or </w:t>
      </w:r>
      <w:r>
        <w:lastRenderedPageBreak/>
        <w:t>further processed</w:t>
      </w:r>
      <w:r w:rsidR="000521BC">
        <w:t xml:space="preserve"> before export or onward</w:t>
      </w:r>
      <w:r w:rsidR="00E03BF3">
        <w:t xml:space="preserve"> transport within the UK</w:t>
      </w:r>
      <w:r>
        <w:t>, thus</w:t>
      </w:r>
      <w:r w:rsidR="00BF7AA2">
        <w:t xml:space="preserve"> potentially</w:t>
      </w:r>
      <w:r>
        <w:t xml:space="preserve"> contributing to significant carbon leakage.</w:t>
      </w:r>
      <w:r w:rsidR="00BE67BF">
        <w:t xml:space="preserve"> </w:t>
      </w:r>
    </w:p>
    <w:p w14:paraId="2338448F" w14:textId="77777777" w:rsidR="00C7314A" w:rsidRDefault="00C7314A" w:rsidP="009D1CA9">
      <w:pPr>
        <w:pStyle w:val="ListParagraph"/>
        <w:spacing w:after="120"/>
        <w:ind w:left="360"/>
        <w:jc w:val="both"/>
      </w:pPr>
    </w:p>
    <w:p w14:paraId="40AAEB9B" w14:textId="776B1DFF" w:rsidR="0030223D" w:rsidRDefault="00BE67BF" w:rsidP="009D1CA9">
      <w:pPr>
        <w:pStyle w:val="ListParagraph"/>
        <w:numPr>
          <w:ilvl w:val="0"/>
          <w:numId w:val="11"/>
        </w:numPr>
        <w:spacing w:after="120"/>
        <w:jc w:val="both"/>
      </w:pPr>
      <w:r>
        <w:t xml:space="preserve">As such, an ill-considered combination of a CBAM and the Freeport policy may have precisely </w:t>
      </w:r>
      <w:r w:rsidR="00F14B51">
        <w:t xml:space="preserve">the </w:t>
      </w:r>
      <w:r>
        <w:t>contrary effect</w:t>
      </w:r>
      <w:r w:rsidR="00C7314A">
        <w:t xml:space="preserve"> to that intended</w:t>
      </w:r>
      <w:r>
        <w:t xml:space="preserve">, potentially even increasing the UK’s carbon leakage.  </w:t>
      </w:r>
      <w:r w:rsidR="00C7314A">
        <w:t>Moreover, t</w:t>
      </w:r>
      <w:r>
        <w:t>he only businesses paying for the CBAM, and hence shouldering an effective penalty, would be those exporting goods entirely produced in the UK and/or unable</w:t>
      </w:r>
      <w:r w:rsidR="00C7314A">
        <w:t xml:space="preserve"> (for whatever reason)</w:t>
      </w:r>
      <w:r>
        <w:t xml:space="preserve"> to get into a Freeport zone, which would likely be British SMEs not bigger and more powerful corporations.  We do not expect that penalizing specifically British business in this way is the intention of government policy. </w:t>
      </w:r>
    </w:p>
    <w:p w14:paraId="781D61FC" w14:textId="77777777" w:rsidR="00777564" w:rsidRDefault="00777564" w:rsidP="00777564">
      <w:pPr>
        <w:pStyle w:val="ListParagraph"/>
        <w:spacing w:after="120"/>
        <w:ind w:left="360"/>
      </w:pPr>
    </w:p>
    <w:p w14:paraId="1A450818" w14:textId="66255963" w:rsidR="004C57F6" w:rsidRDefault="00E03BF3" w:rsidP="004C57F6">
      <w:pPr>
        <w:pStyle w:val="ListParagraph"/>
        <w:numPr>
          <w:ilvl w:val="0"/>
          <w:numId w:val="11"/>
        </w:numPr>
        <w:spacing w:after="120"/>
        <w:jc w:val="both"/>
      </w:pPr>
      <w:r>
        <w:t xml:space="preserve">On the other hand, there is </w:t>
      </w:r>
      <w:r w:rsidR="00422E7D">
        <w:t xml:space="preserve">recent </w:t>
      </w:r>
      <w:r>
        <w:t xml:space="preserve">evidence from </w:t>
      </w:r>
      <w:r w:rsidR="00422E7D">
        <w:t>the UK</w:t>
      </w:r>
      <w:r w:rsidR="002F1EFF">
        <w:t xml:space="preserve"> and globally</w:t>
      </w:r>
      <w:r w:rsidR="00422E7D">
        <w:t xml:space="preserve"> that special economic zones, despite being predicated on low tax, light regulation regimes, can be</w:t>
      </w:r>
      <w:r w:rsidR="00F70857">
        <w:t xml:space="preserve"> directed along </w:t>
      </w:r>
      <w:r w:rsidR="00937594">
        <w:t xml:space="preserve">more sustainable </w:t>
      </w:r>
      <w:r w:rsidR="00F70857">
        <w:t>trajectories.</w:t>
      </w:r>
      <w:r w:rsidR="003B1F63">
        <w:t xml:space="preserve"> Although we have highlighted risks in this submission, we are keen to</w:t>
      </w:r>
      <w:r w:rsidR="006F4964">
        <w:t xml:space="preserve"> also emphasise the opportunities to embed Freeports in the UK’s decarbonisation plans.</w:t>
      </w:r>
      <w:r w:rsidR="00B61E97">
        <w:t xml:space="preserve"> Monaghan et al (2016)</w:t>
      </w:r>
      <w:r w:rsidR="003F58DD">
        <w:t xml:space="preserve"> surveyed the 24 Enterprise Zones established in England between</w:t>
      </w:r>
      <w:r w:rsidR="007D0E92">
        <w:t xml:space="preserve"> </w:t>
      </w:r>
      <w:proofErr w:type="gramStart"/>
      <w:r w:rsidR="007D0E92">
        <w:t>2012-2015, and</w:t>
      </w:r>
      <w:proofErr w:type="gramEnd"/>
      <w:r w:rsidR="007D0E92">
        <w:t xml:space="preserve"> concluded that 83% were in some way connected to ‘cleaner production’</w:t>
      </w:r>
      <w:r w:rsidR="009559CF">
        <w:t xml:space="preserve"> or the low-carbon economy</w:t>
      </w:r>
      <w:r w:rsidR="00A63D6A">
        <w:t>, and set out recommendatio</w:t>
      </w:r>
      <w:r w:rsidR="00EA0196">
        <w:t>ns</w:t>
      </w:r>
      <w:r w:rsidR="00A63D6A">
        <w:t xml:space="preserve"> for</w:t>
      </w:r>
      <w:r w:rsidR="00EA0196">
        <w:t xml:space="preserve"> creating </w:t>
      </w:r>
      <w:r w:rsidR="001F66B4">
        <w:t>gr</w:t>
      </w:r>
      <w:r w:rsidR="00EA0196">
        <w:t>eener</w:t>
      </w:r>
      <w:r w:rsidR="001F66B4">
        <w:t xml:space="preserve"> special economic zones in future</w:t>
      </w:r>
      <w:r w:rsidR="009559CF">
        <w:t xml:space="preserve"> </w:t>
      </w:r>
      <w:r w:rsidR="00B1470A">
        <w:rPr>
          <w:noProof/>
        </w:rPr>
        <w:t>(15)</w:t>
      </w:r>
      <w:r w:rsidR="006258AC">
        <w:t xml:space="preserve">. </w:t>
      </w:r>
      <w:r w:rsidR="002E4904" w:rsidRPr="00CD4F0C">
        <w:t xml:space="preserve">Investors in SEZs may be expected to conform to </w:t>
      </w:r>
      <w:r w:rsidR="00ED746F" w:rsidRPr="00CD4F0C">
        <w:t>enhanced</w:t>
      </w:r>
      <w:r w:rsidR="002E4904" w:rsidRPr="00CD4F0C">
        <w:t xml:space="preserve"> environmental standards</w:t>
      </w:r>
      <w:r w:rsidR="0029746F" w:rsidRPr="00CD4F0C">
        <w:t xml:space="preserve">, although this is more common in the Global South </w:t>
      </w:r>
      <w:r w:rsidR="00B1470A">
        <w:rPr>
          <w:noProof/>
        </w:rPr>
        <w:t>(16)</w:t>
      </w:r>
      <w:r w:rsidR="00CD4F0C" w:rsidRPr="00CD4F0C">
        <w:t xml:space="preserve"> (pp 187-189)</w:t>
      </w:r>
      <w:r w:rsidR="002E4904" w:rsidRPr="00CD4F0C">
        <w:t xml:space="preserve">. </w:t>
      </w:r>
      <w:r w:rsidR="00153C2E">
        <w:t>The World Bank and others are advocating that</w:t>
      </w:r>
      <w:r w:rsidR="005846A5">
        <w:t xml:space="preserve"> special economic zones be </w:t>
      </w:r>
      <w:r w:rsidR="00147FBA">
        <w:t>specifically oriented</w:t>
      </w:r>
      <w:r w:rsidR="005846A5">
        <w:t xml:space="preserve"> to develop “eco-industrial parks”</w:t>
      </w:r>
      <w:r w:rsidR="00147FBA">
        <w:t xml:space="preserve"> and other more sustainable place-based business models</w:t>
      </w:r>
      <w:r w:rsidR="00AA42BC">
        <w:t xml:space="preserve"> </w:t>
      </w:r>
      <w:r w:rsidR="00B1470A">
        <w:rPr>
          <w:noProof/>
        </w:rPr>
        <w:t>(17)</w:t>
      </w:r>
      <w:r w:rsidR="00974177">
        <w:t>. In this context, UK Freeports could be developed as exemplars</w:t>
      </w:r>
      <w:r w:rsidR="004C57F6">
        <w:t xml:space="preserve"> </w:t>
      </w:r>
      <w:r w:rsidR="00974177">
        <w:t>of low-carbon SEZs</w:t>
      </w:r>
      <w:r w:rsidR="002966A4">
        <w:t xml:space="preserve">. </w:t>
      </w:r>
      <w:r w:rsidR="004C57F6">
        <w:t>This would, however, demand a shift in emphasis for the Freeports policy, in which specifically environmental regulation or tax is just as stringent</w:t>
      </w:r>
      <w:r w:rsidR="00C7314A">
        <w:t>,</w:t>
      </w:r>
      <w:r w:rsidR="004C57F6">
        <w:t xml:space="preserve"> if not even tougher, but other incentives for business are in place.  This could include tax exemptions and even positive government subsidies targeted specifically to encourage low-carbon innovation and industry.</w:t>
      </w:r>
    </w:p>
    <w:p w14:paraId="65544AD2" w14:textId="77777777" w:rsidR="004C57F6" w:rsidRDefault="004C57F6" w:rsidP="009D1CA9">
      <w:pPr>
        <w:pStyle w:val="ListParagraph"/>
        <w:spacing w:after="120"/>
        <w:ind w:left="360"/>
        <w:jc w:val="both"/>
      </w:pPr>
    </w:p>
    <w:p w14:paraId="6DC74CC7" w14:textId="014EA450" w:rsidR="004C57F6" w:rsidRDefault="004C57F6" w:rsidP="009D1CA9">
      <w:pPr>
        <w:pStyle w:val="ListParagraph"/>
        <w:numPr>
          <w:ilvl w:val="0"/>
          <w:numId w:val="11"/>
        </w:numPr>
        <w:spacing w:after="120"/>
        <w:jc w:val="both"/>
      </w:pPr>
      <w:r>
        <w:t>While our new ‘</w:t>
      </w:r>
      <w:proofErr w:type="spellStart"/>
      <w:r>
        <w:t>CarbonFreePorts</w:t>
      </w:r>
      <w:proofErr w:type="spellEnd"/>
      <w:r>
        <w:t>’ project is</w:t>
      </w:r>
      <w:r w:rsidR="00937594">
        <w:t xml:space="preserve"> has only just begun</w:t>
      </w:r>
      <w:r>
        <w:t xml:space="preserve">, we </w:t>
      </w:r>
      <w:r w:rsidR="00C7314A">
        <w:t xml:space="preserve">note finally that we </w:t>
      </w:r>
      <w:r>
        <w:t>would be happy to offer further findings to the Committee from the project as it develops.</w:t>
      </w:r>
    </w:p>
    <w:p w14:paraId="11D95D1D" w14:textId="77777777" w:rsidR="00777564" w:rsidRDefault="00777564" w:rsidP="00777564">
      <w:pPr>
        <w:pStyle w:val="ListParagraph"/>
        <w:spacing w:after="120"/>
        <w:ind w:left="360"/>
      </w:pPr>
    </w:p>
    <w:p w14:paraId="5C13FAD3" w14:textId="77777777" w:rsidR="009A17C8" w:rsidRDefault="00F078AB" w:rsidP="00777564">
      <w:pPr>
        <w:pStyle w:val="Heading2"/>
        <w:spacing w:after="120"/>
      </w:pPr>
      <w:r>
        <w:t>Recommendations</w:t>
      </w:r>
    </w:p>
    <w:p w14:paraId="058A56EF" w14:textId="77777777" w:rsidR="00F078AB" w:rsidRDefault="00B53E3F" w:rsidP="00777564">
      <w:pPr>
        <w:pStyle w:val="ListParagraph"/>
        <w:numPr>
          <w:ilvl w:val="0"/>
          <w:numId w:val="11"/>
        </w:numPr>
        <w:spacing w:after="120"/>
      </w:pPr>
      <w:proofErr w:type="gramStart"/>
      <w:r>
        <w:t>In light of</w:t>
      </w:r>
      <w:proofErr w:type="gramEnd"/>
      <w:r>
        <w:t xml:space="preserve"> the above, we recommend </w:t>
      </w:r>
      <w:r w:rsidR="00CA4008">
        <w:t>that</w:t>
      </w:r>
      <w:r w:rsidR="00992CB8">
        <w:t>:</w:t>
      </w:r>
    </w:p>
    <w:p w14:paraId="2735BFFB" w14:textId="77777777" w:rsidR="00777564" w:rsidRDefault="00777564" w:rsidP="00777564">
      <w:pPr>
        <w:pStyle w:val="ListParagraph"/>
        <w:spacing w:after="120"/>
        <w:ind w:left="360"/>
      </w:pPr>
    </w:p>
    <w:p w14:paraId="5412B9A7" w14:textId="104F371A" w:rsidR="00CA4008" w:rsidRDefault="00CA4008" w:rsidP="009D1CA9">
      <w:pPr>
        <w:pStyle w:val="ListParagraph"/>
        <w:numPr>
          <w:ilvl w:val="0"/>
          <w:numId w:val="7"/>
        </w:numPr>
        <w:spacing w:after="120"/>
        <w:jc w:val="both"/>
      </w:pPr>
      <w:r>
        <w:t xml:space="preserve">The </w:t>
      </w:r>
      <w:r w:rsidR="004C57F6">
        <w:t>C</w:t>
      </w:r>
      <w:r>
        <w:t>ommittee highli</w:t>
      </w:r>
      <w:r w:rsidR="00BE7D26">
        <w:t>gh</w:t>
      </w:r>
      <w:r>
        <w:t>ts to government the potential</w:t>
      </w:r>
      <w:r w:rsidR="00BE7D26">
        <w:t xml:space="preserve"> risks of continued and increased carbon leakage if a</w:t>
      </w:r>
      <w:r w:rsidR="00992CB8">
        <w:t>) a CBAM or equivalent measures are not introduced, and b) a</w:t>
      </w:r>
      <w:r w:rsidR="00BE7D26">
        <w:t xml:space="preserve"> CBAM is introduced but is not applicable, or is difficult to apply, </w:t>
      </w:r>
      <w:r w:rsidR="00992CB8">
        <w:t>o</w:t>
      </w:r>
      <w:r w:rsidR="00BE7D26">
        <w:t>n Freeport sites</w:t>
      </w:r>
      <w:r w:rsidR="004C57F6">
        <w:t>.</w:t>
      </w:r>
    </w:p>
    <w:p w14:paraId="6D6921B8" w14:textId="4A01A561" w:rsidR="00BE7D26" w:rsidRDefault="00BE7D26" w:rsidP="009D1CA9">
      <w:pPr>
        <w:pStyle w:val="ListParagraph"/>
        <w:numPr>
          <w:ilvl w:val="0"/>
          <w:numId w:val="7"/>
        </w:numPr>
        <w:spacing w:after="120"/>
        <w:jc w:val="both"/>
      </w:pPr>
      <w:r>
        <w:t xml:space="preserve">The </w:t>
      </w:r>
      <w:r w:rsidR="004C57F6">
        <w:t>C</w:t>
      </w:r>
      <w:r>
        <w:t xml:space="preserve">ommittee recommends to </w:t>
      </w:r>
      <w:r w:rsidR="002A51C4">
        <w:t>government that a CBAM is introduced</w:t>
      </w:r>
      <w:r w:rsidR="00D714F8">
        <w:t xml:space="preserve"> to the UK, that it applies equally in designated Freeports</w:t>
      </w:r>
      <w:r w:rsidR="00992CB8">
        <w:t>,</w:t>
      </w:r>
      <w:r w:rsidR="00D714F8">
        <w:t xml:space="preserve"> and that measures are put in place to ensure that it can be effectively enforced </w:t>
      </w:r>
      <w:r w:rsidR="00DD7181">
        <w:t>on Freeport sites</w:t>
      </w:r>
      <w:r w:rsidR="004C57F6">
        <w:t>.</w:t>
      </w:r>
    </w:p>
    <w:p w14:paraId="753F78D1" w14:textId="565CFC48" w:rsidR="00DD7181" w:rsidRPr="00F078AB" w:rsidRDefault="00E141AD" w:rsidP="009D1CA9">
      <w:pPr>
        <w:pStyle w:val="ListParagraph"/>
        <w:numPr>
          <w:ilvl w:val="0"/>
          <w:numId w:val="7"/>
        </w:numPr>
        <w:spacing w:after="120"/>
        <w:jc w:val="both"/>
      </w:pPr>
      <w:r>
        <w:t xml:space="preserve">The </w:t>
      </w:r>
      <w:r w:rsidR="004C57F6">
        <w:t>C</w:t>
      </w:r>
      <w:r>
        <w:t>ommittee recommends to government</w:t>
      </w:r>
      <w:r w:rsidR="008E4B9B">
        <w:t xml:space="preserve"> that, in line with this, </w:t>
      </w:r>
      <w:r w:rsidR="00FE6FC8">
        <w:t xml:space="preserve">opportunities are taken to ensure that the </w:t>
      </w:r>
      <w:r w:rsidR="008E4B9B">
        <w:t xml:space="preserve">future development of </w:t>
      </w:r>
      <w:r w:rsidR="00476EEB">
        <w:t xml:space="preserve">the </w:t>
      </w:r>
      <w:r w:rsidR="008E4B9B">
        <w:t xml:space="preserve">Freeports policy </w:t>
      </w:r>
      <w:r w:rsidR="00476EEB">
        <w:t xml:space="preserve">initiative </w:t>
      </w:r>
      <w:r w:rsidR="00937594">
        <w:t xml:space="preserve">coheres with and is </w:t>
      </w:r>
      <w:r w:rsidR="00476EEB">
        <w:t xml:space="preserve">fully integrated </w:t>
      </w:r>
      <w:r w:rsidR="00937594">
        <w:t xml:space="preserve">into </w:t>
      </w:r>
      <w:r w:rsidR="00476EEB">
        <w:t>the net zero</w:t>
      </w:r>
      <w:r w:rsidR="008E4B9B">
        <w:t xml:space="preserve"> </w:t>
      </w:r>
      <w:r w:rsidR="00476EEB">
        <w:t>agenda</w:t>
      </w:r>
      <w:r w:rsidR="00450714">
        <w:t xml:space="preserve">, in particular </w:t>
      </w:r>
      <w:proofErr w:type="gramStart"/>
      <w:r w:rsidR="00450714">
        <w:t>with regard to</w:t>
      </w:r>
      <w:proofErr w:type="gramEnd"/>
      <w:r w:rsidR="00450714">
        <w:t xml:space="preserve"> reducing carbon leakage and</w:t>
      </w:r>
      <w:r w:rsidR="0030321D">
        <w:t xml:space="preserve"> helping to drive the decarbonisation of UK industry’s international supply chains.</w:t>
      </w:r>
    </w:p>
    <w:p w14:paraId="1F0AD633" w14:textId="77777777" w:rsidR="00FF7F97" w:rsidRDefault="009C11B1" w:rsidP="009C11B1">
      <w:pPr>
        <w:pStyle w:val="Heading2"/>
      </w:pPr>
      <w:r>
        <w:lastRenderedPageBreak/>
        <w:t>References</w:t>
      </w:r>
    </w:p>
    <w:p w14:paraId="4A69B83B" w14:textId="4A407016" w:rsidR="00B1470A" w:rsidRPr="00B1470A" w:rsidRDefault="00B1470A" w:rsidP="007C4D8A">
      <w:pPr>
        <w:pStyle w:val="EndNoteBibliography"/>
        <w:spacing w:after="0"/>
        <w:ind w:left="426" w:hanging="426"/>
      </w:pPr>
      <w:r w:rsidRPr="00B1470A">
        <w:t>1.</w:t>
      </w:r>
      <w:r w:rsidRPr="00B1470A">
        <w:tab/>
        <w:t>Webb D, Jozepa I. UK Government policy on freeports. House of Commons Library; 2021.</w:t>
      </w:r>
      <w:r w:rsidR="00E2540D">
        <w:t xml:space="preserve"> </w:t>
      </w:r>
      <w:hyperlink r:id="rId10" w:history="1">
        <w:r w:rsidR="00E2540D" w:rsidRPr="00515554">
          <w:rPr>
            <w:rStyle w:val="Hyperlink"/>
          </w:rPr>
          <w:t>https://commonslibrary.parliament.uk/research-briefings/cbp-8823/</w:t>
        </w:r>
      </w:hyperlink>
      <w:r w:rsidR="00E2540D">
        <w:t xml:space="preserve"> </w:t>
      </w:r>
    </w:p>
    <w:p w14:paraId="700A8E22" w14:textId="534275A2" w:rsidR="007C4D8A" w:rsidRDefault="00B1470A" w:rsidP="007C4D8A">
      <w:pPr>
        <w:pStyle w:val="EndNoteBibliography"/>
        <w:spacing w:after="0"/>
        <w:ind w:left="426" w:hanging="426"/>
      </w:pPr>
      <w:r w:rsidRPr="00B1470A">
        <w:t>2.</w:t>
      </w:r>
      <w:r w:rsidRPr="00B1470A">
        <w:tab/>
        <w:t>Nolan L. Teessde awarded 'biggest' Freeport with promise of tsunami of jobs</w:t>
      </w:r>
      <w:r w:rsidR="00F86D44">
        <w:t>.</w:t>
      </w:r>
      <w:r w:rsidR="007C4D8A">
        <w:t xml:space="preserve"> </w:t>
      </w:r>
      <w:r w:rsidRPr="00B1470A">
        <w:t>The Northern Echo</w:t>
      </w:r>
      <w:r w:rsidR="00243ADF">
        <w:t>; 2021.</w:t>
      </w:r>
      <w:r w:rsidRPr="00B1470A">
        <w:t xml:space="preserve"> </w:t>
      </w:r>
      <w:hyperlink r:id="rId11" w:history="1">
        <w:r w:rsidR="00F86D44" w:rsidRPr="00515554">
          <w:rPr>
            <w:rStyle w:val="Hyperlink"/>
          </w:rPr>
          <w:t>https://www.thenorthernecho</w:t>
        </w:r>
        <w:r w:rsidR="00F86D44" w:rsidRPr="00515554">
          <w:rPr>
            <w:rStyle w:val="Hyperlink"/>
          </w:rPr>
          <w:t>.</w:t>
        </w:r>
        <w:r w:rsidR="00F86D44" w:rsidRPr="00515554">
          <w:rPr>
            <w:rStyle w:val="Hyperlink"/>
          </w:rPr>
          <w:t>co.uk/news/19132397.teesside-awarded-biggest-freeport-promise-tsunami-jobs/</w:t>
        </w:r>
      </w:hyperlink>
    </w:p>
    <w:p w14:paraId="485E7593" w14:textId="4F86D75D" w:rsidR="00B1470A" w:rsidRPr="00B1470A" w:rsidRDefault="00B1470A" w:rsidP="007C4D8A">
      <w:pPr>
        <w:pStyle w:val="EndNoteBibliography"/>
        <w:spacing w:after="0"/>
        <w:ind w:left="426" w:hanging="426"/>
      </w:pPr>
      <w:r w:rsidRPr="00B1470A">
        <w:t>3.</w:t>
      </w:r>
      <w:r w:rsidRPr="00B1470A">
        <w:tab/>
      </w:r>
      <w:r w:rsidR="00E2540D">
        <w:t>Liverpool City Region L</w:t>
      </w:r>
      <w:r w:rsidR="00BA42ED">
        <w:t>ocal Enterprise Partnership (LCR LEP)</w:t>
      </w:r>
      <w:r w:rsidRPr="00B1470A">
        <w:t>. Freeport for Liverpool City Region will create 14,000 jobs</w:t>
      </w:r>
      <w:r w:rsidR="000A6745">
        <w:t xml:space="preserve">. </w:t>
      </w:r>
      <w:r w:rsidR="00E2540D">
        <w:t>LCR</w:t>
      </w:r>
      <w:r w:rsidRPr="00B1470A">
        <w:t xml:space="preserve"> LEP; 2021.</w:t>
      </w:r>
      <w:r w:rsidR="00243ADF" w:rsidRPr="00243ADF">
        <w:t xml:space="preserve"> </w:t>
      </w:r>
      <w:hyperlink r:id="rId12" w:history="1">
        <w:r w:rsidR="00243ADF" w:rsidRPr="00515554">
          <w:rPr>
            <w:rStyle w:val="Hyperlink"/>
          </w:rPr>
          <w:t>https://www.liverpoollep.org/news/freeport-for-liverpool-city-region-will-create-14000-jobs/</w:t>
        </w:r>
      </w:hyperlink>
    </w:p>
    <w:p w14:paraId="79576D7C" w14:textId="1DD0F1DE" w:rsidR="00B1470A" w:rsidRPr="00B1470A" w:rsidRDefault="00B1470A" w:rsidP="007C4D8A">
      <w:pPr>
        <w:pStyle w:val="EndNoteBibliography"/>
        <w:spacing w:after="0"/>
        <w:ind w:left="426" w:hanging="426"/>
      </w:pPr>
      <w:r w:rsidRPr="00B1470A">
        <w:t>4.</w:t>
      </w:r>
      <w:r w:rsidRPr="00B1470A">
        <w:tab/>
        <w:t>HM Treasury. Freeports Bidding Prospectus. HM Stationery Office; 2020.</w:t>
      </w:r>
      <w:r w:rsidR="005D1C71">
        <w:t xml:space="preserve"> </w:t>
      </w:r>
      <w:hyperlink r:id="rId13" w:history="1">
        <w:r w:rsidR="005D1C71" w:rsidRPr="00515554">
          <w:rPr>
            <w:rStyle w:val="Hyperlink"/>
          </w:rPr>
          <w:t>https://www.gov.uk/government/publications/freeports-bidding-prospectus</w:t>
        </w:r>
      </w:hyperlink>
      <w:r w:rsidR="005D1C71">
        <w:t xml:space="preserve"> </w:t>
      </w:r>
    </w:p>
    <w:p w14:paraId="482771E1" w14:textId="53E337CF" w:rsidR="00B1470A" w:rsidRPr="00BA42ED" w:rsidRDefault="00B1470A" w:rsidP="007C4D8A">
      <w:pPr>
        <w:pStyle w:val="EndNoteBibliography"/>
        <w:spacing w:after="0"/>
        <w:ind w:left="426" w:hanging="426"/>
        <w:rPr>
          <w:lang w:val="en-GB"/>
        </w:rPr>
      </w:pPr>
      <w:r w:rsidRPr="00B1470A">
        <w:t>5.</w:t>
      </w:r>
      <w:r w:rsidRPr="00B1470A">
        <w:tab/>
      </w:r>
      <w:r w:rsidR="00BA42ED">
        <w:t>LCR LEP</w:t>
      </w:r>
      <w:r w:rsidRPr="00B1470A">
        <w:t>. LCR Freeports bid: Key messages summary</w:t>
      </w:r>
      <w:r w:rsidR="000A6745">
        <w:t>.</w:t>
      </w:r>
      <w:r w:rsidR="00BA42ED" w:rsidRPr="00BA42ED">
        <w:rPr>
          <w:lang w:val="en-GB"/>
        </w:rPr>
        <w:t xml:space="preserve"> LCR LEP</w:t>
      </w:r>
      <w:r w:rsidRPr="00BA42ED">
        <w:rPr>
          <w:lang w:val="en-GB"/>
        </w:rPr>
        <w:t>; 2021.</w:t>
      </w:r>
      <w:r w:rsidR="000A6745">
        <w:rPr>
          <w:lang w:val="en-GB"/>
        </w:rPr>
        <w:t xml:space="preserve"> </w:t>
      </w:r>
      <w:hyperlink r:id="rId14" w:history="1">
        <w:r w:rsidR="000A6745" w:rsidRPr="00BA42ED">
          <w:rPr>
            <w:rStyle w:val="Hyperlink"/>
            <w:lang w:val="en-GB"/>
          </w:rPr>
          <w:t>https://drive.google.com/file/d/1fOYf8_PHkTwjg-FPMMKU4mNMPTzIiXE4/view</w:t>
        </w:r>
      </w:hyperlink>
    </w:p>
    <w:p w14:paraId="1C1C7570" w14:textId="71C83C4A" w:rsidR="00B1470A" w:rsidRPr="00B1470A" w:rsidRDefault="00B1470A" w:rsidP="007C4D8A">
      <w:pPr>
        <w:pStyle w:val="EndNoteBibliography"/>
        <w:spacing w:after="0"/>
        <w:ind w:left="426" w:hanging="426"/>
      </w:pPr>
      <w:r w:rsidRPr="00B1470A">
        <w:t>6.</w:t>
      </w:r>
      <w:r w:rsidRPr="00B1470A">
        <w:tab/>
        <w:t>Protium. Protium to build 40MW flagship green hydrogen project in Teesside</w:t>
      </w:r>
      <w:r w:rsidR="00E4746E">
        <w:t xml:space="preserve">. </w:t>
      </w:r>
      <w:r w:rsidRPr="00B1470A">
        <w:t>Protium; 2021.</w:t>
      </w:r>
      <w:r w:rsidR="00E4746E" w:rsidRPr="00E4746E">
        <w:t xml:space="preserve"> </w:t>
      </w:r>
      <w:hyperlink r:id="rId15" w:history="1">
        <w:r w:rsidR="00E4746E" w:rsidRPr="00E4746E">
          <w:rPr>
            <w:rStyle w:val="Hyperlink"/>
          </w:rPr>
          <w:t>https://protium.green/news/protium-</w:t>
        </w:r>
        <w:r w:rsidR="00E4746E" w:rsidRPr="00E4746E">
          <w:rPr>
            <w:rStyle w:val="Hyperlink"/>
          </w:rPr>
          <w:t>t</w:t>
        </w:r>
        <w:r w:rsidR="00E4746E" w:rsidRPr="00E4746E">
          <w:rPr>
            <w:rStyle w:val="Hyperlink"/>
          </w:rPr>
          <w:t>o-build-40mw-flagship-green-hydrogen-project-in-teesside</w:t>
        </w:r>
      </w:hyperlink>
      <w:r w:rsidR="00E4746E">
        <w:t xml:space="preserve"> </w:t>
      </w:r>
    </w:p>
    <w:p w14:paraId="343AADD2" w14:textId="7FFB0303" w:rsidR="00B1470A" w:rsidRPr="00B1470A" w:rsidRDefault="00B1470A" w:rsidP="007C4D8A">
      <w:pPr>
        <w:pStyle w:val="EndNoteBibliography"/>
        <w:spacing w:after="0"/>
        <w:ind w:left="426" w:hanging="426"/>
      </w:pPr>
      <w:r w:rsidRPr="00B1470A">
        <w:t>7.</w:t>
      </w:r>
      <w:r w:rsidRPr="00B1470A">
        <w:tab/>
        <w:t>Teesworks. Net zero Teesside</w:t>
      </w:r>
      <w:r w:rsidR="00E4746E">
        <w:t>.</w:t>
      </w:r>
      <w:r w:rsidR="00BA42ED">
        <w:t xml:space="preserve"> </w:t>
      </w:r>
      <w:r w:rsidRPr="00B1470A">
        <w:t>Teesworks; Undated.</w:t>
      </w:r>
      <w:r w:rsidR="00E4746E">
        <w:t xml:space="preserve"> </w:t>
      </w:r>
      <w:hyperlink r:id="rId16" w:history="1">
        <w:r w:rsidR="00E4746E" w:rsidRPr="00515554">
          <w:rPr>
            <w:rStyle w:val="Hyperlink"/>
          </w:rPr>
          <w:t>https://www.teesworks.co.uk/the-development/zones/net-zero-teesside</w:t>
        </w:r>
      </w:hyperlink>
    </w:p>
    <w:p w14:paraId="088C927B" w14:textId="2CE78C57" w:rsidR="00B1470A" w:rsidRPr="00B1470A" w:rsidRDefault="00B1470A" w:rsidP="007C4D8A">
      <w:pPr>
        <w:pStyle w:val="EndNoteBibliography"/>
        <w:spacing w:after="0"/>
        <w:ind w:left="426" w:hanging="426"/>
      </w:pPr>
      <w:r w:rsidRPr="00B1470A">
        <w:t>8.</w:t>
      </w:r>
      <w:r w:rsidRPr="00B1470A">
        <w:tab/>
        <w:t>Climate Change Committee. Policies for the Sixth Carbon Budget and Net Zero. Committee on Climate Change; 2020.</w:t>
      </w:r>
      <w:r w:rsidR="00E4746E">
        <w:t xml:space="preserve"> </w:t>
      </w:r>
      <w:hyperlink r:id="rId17" w:history="1">
        <w:r w:rsidR="00E4746E" w:rsidRPr="00515554">
          <w:rPr>
            <w:rStyle w:val="Hyperlink"/>
          </w:rPr>
          <w:t>https://www.theccc.org.uk/wp-content/uploads/2020/12/Policies-for-the-Sixth-Carbon-Budget-and-Net-Zero.pdf</w:t>
        </w:r>
      </w:hyperlink>
    </w:p>
    <w:p w14:paraId="531A8753" w14:textId="79865FFB" w:rsidR="00B1470A" w:rsidRPr="00B1470A" w:rsidRDefault="00B1470A" w:rsidP="007C4D8A">
      <w:pPr>
        <w:pStyle w:val="EndNoteBibliography"/>
        <w:spacing w:after="0"/>
        <w:ind w:left="426" w:hanging="426"/>
      </w:pPr>
      <w:r w:rsidRPr="00B1470A">
        <w:t>9.</w:t>
      </w:r>
      <w:r w:rsidRPr="00B1470A">
        <w:tab/>
        <w:t>Burke J, Sato M, Taylor C, Li F. What does an EU carbon border mechanism mean for the UK? London: Grantham Research Institute; 2021.</w:t>
      </w:r>
      <w:r w:rsidR="0041293B">
        <w:t xml:space="preserve"> </w:t>
      </w:r>
      <w:hyperlink r:id="rId18" w:history="1">
        <w:r w:rsidR="0041293B" w:rsidRPr="00515554">
          <w:rPr>
            <w:rStyle w:val="Hyperlink"/>
          </w:rPr>
          <w:t>https://www.lse.ac.uk/granthaminstitute/publication/what-does-an-eu-carbon-border-adjustment-mechanism-mean-for-the-uk/</w:t>
        </w:r>
      </w:hyperlink>
      <w:r w:rsidR="0041293B">
        <w:t xml:space="preserve"> </w:t>
      </w:r>
    </w:p>
    <w:p w14:paraId="3405C7CD" w14:textId="22614AA3" w:rsidR="00B1470A" w:rsidRPr="00B1470A" w:rsidRDefault="00B1470A" w:rsidP="007C4D8A">
      <w:pPr>
        <w:pStyle w:val="EndNoteBibliography"/>
        <w:spacing w:after="0"/>
        <w:ind w:left="426" w:hanging="426"/>
      </w:pPr>
      <w:r w:rsidRPr="00B1470A">
        <w:t>10.</w:t>
      </w:r>
      <w:r w:rsidRPr="00B1470A">
        <w:tab/>
        <w:t>Moiseienko, Anton, Reid, Alexandria, Chase I. Free Ports, Not Safe Havens: Preventing Crime in the UK’s Future Freeports</w:t>
      </w:r>
      <w:r w:rsidR="007A12FB">
        <w:t>.</w:t>
      </w:r>
      <w:r w:rsidR="0041293B">
        <w:t xml:space="preserve"> </w:t>
      </w:r>
      <w:r w:rsidRPr="00B1470A">
        <w:t>Royal United Services Institute; 2020.</w:t>
      </w:r>
      <w:r w:rsidR="007A12FB">
        <w:t xml:space="preserve"> </w:t>
      </w:r>
      <w:r w:rsidR="007A12FB" w:rsidRPr="00B1470A">
        <w:t xml:space="preserve">. </w:t>
      </w:r>
      <w:hyperlink r:id="rId19" w:history="1">
        <w:r w:rsidR="007A12FB" w:rsidRPr="00515554">
          <w:rPr>
            <w:rStyle w:val="Hyperlink"/>
          </w:rPr>
          <w:t>https://static.rusi.org/27042020_freeports_final.pdf</w:t>
        </w:r>
      </w:hyperlink>
    </w:p>
    <w:p w14:paraId="40631E71" w14:textId="4118756C" w:rsidR="00B1470A" w:rsidRPr="00B1470A" w:rsidRDefault="00B1470A" w:rsidP="007C4D8A">
      <w:pPr>
        <w:pStyle w:val="EndNoteBibliography"/>
        <w:spacing w:after="0"/>
        <w:ind w:left="426" w:hanging="426"/>
      </w:pPr>
      <w:r w:rsidRPr="00B1470A">
        <w:t>11.</w:t>
      </w:r>
      <w:r w:rsidRPr="00B1470A">
        <w:tab/>
        <w:t>Korver R. Money laundering and tax evasion risks in freeports.</w:t>
      </w:r>
      <w:r w:rsidR="0041293B">
        <w:t xml:space="preserve"> </w:t>
      </w:r>
      <w:r w:rsidRPr="00B1470A">
        <w:t>European Parliamentary Research Service; 2018.</w:t>
      </w:r>
      <w:r w:rsidR="007A12FB">
        <w:t xml:space="preserve"> </w:t>
      </w:r>
      <w:hyperlink r:id="rId20" w:history="1">
        <w:r w:rsidR="007A12FB" w:rsidRPr="00515554">
          <w:rPr>
            <w:rStyle w:val="Hyperlink"/>
          </w:rPr>
          <w:t>https://www.europarl.europa.eu/cmsdata/155721/EPRS_STUD_627114_Money%20laundering-FINAL.pdf</w:t>
        </w:r>
      </w:hyperlink>
    </w:p>
    <w:p w14:paraId="1B9BB3D5" w14:textId="625D8B1F" w:rsidR="00602ADF" w:rsidRDefault="00B1470A" w:rsidP="007C4D8A">
      <w:pPr>
        <w:pStyle w:val="EndNoteBibliography"/>
        <w:spacing w:after="0"/>
        <w:ind w:left="426" w:hanging="426"/>
      </w:pPr>
      <w:r w:rsidRPr="00B1470A">
        <w:t>12.</w:t>
      </w:r>
      <w:r w:rsidRPr="00B1470A">
        <w:tab/>
        <w:t>Wood W. The cost of progress: Ensuring the tax deductibility of international corporate social responsibility initiatives. Global Business Law Review. 2013;</w:t>
      </w:r>
      <w:r w:rsidR="007A12FB">
        <w:t xml:space="preserve"> </w:t>
      </w:r>
      <w:r w:rsidRPr="00B1470A">
        <w:t>4(1):1-22.</w:t>
      </w:r>
      <w:r w:rsidR="000917DA">
        <w:t xml:space="preserve"> </w:t>
      </w:r>
      <w:hyperlink r:id="rId21" w:history="1">
        <w:r w:rsidR="00602ADF" w:rsidRPr="00515554">
          <w:rPr>
            <w:rStyle w:val="Hyperlink"/>
          </w:rPr>
          <w:t>https://engagedscholarship.csuohio.edu/gblr/vol4/iss1/4/</w:t>
        </w:r>
      </w:hyperlink>
    </w:p>
    <w:p w14:paraId="6431030F" w14:textId="39AF0AC4" w:rsidR="00B1470A" w:rsidRPr="00B1470A" w:rsidRDefault="00B1470A" w:rsidP="007C4D8A">
      <w:pPr>
        <w:pStyle w:val="EndNoteBibliography"/>
        <w:spacing w:after="0"/>
        <w:ind w:left="426" w:hanging="426"/>
      </w:pPr>
      <w:r w:rsidRPr="00B1470A">
        <w:t>13.</w:t>
      </w:r>
      <w:r w:rsidRPr="00B1470A">
        <w:tab/>
        <w:t>FIAS. Special Economic Zones: Performance, Lessons Learned, and Implications for Zone Development. World Bank Group; 2008.</w:t>
      </w:r>
      <w:r w:rsidR="00602ADF">
        <w:t xml:space="preserve"> </w:t>
      </w:r>
      <w:hyperlink r:id="rId22" w:history="1">
        <w:r w:rsidR="00602ADF" w:rsidRPr="00515554">
          <w:rPr>
            <w:rStyle w:val="Hyperlink"/>
          </w:rPr>
          <w:t>https://documents1.worldbank.org/curated/en/343901468330977533/pdf/458690WP0Box331s0April200801PUBLIC1.pdf</w:t>
        </w:r>
      </w:hyperlink>
      <w:r w:rsidR="00602ADF">
        <w:t xml:space="preserve"> </w:t>
      </w:r>
    </w:p>
    <w:p w14:paraId="58657736" w14:textId="62267644" w:rsidR="00B1470A" w:rsidRPr="00B1470A" w:rsidRDefault="00B1470A" w:rsidP="007C4D8A">
      <w:pPr>
        <w:pStyle w:val="EndNoteBibliography"/>
        <w:spacing w:after="0"/>
        <w:ind w:left="426" w:hanging="426"/>
      </w:pPr>
      <w:r w:rsidRPr="00B1470A">
        <w:t>14.</w:t>
      </w:r>
      <w:r w:rsidRPr="00B1470A">
        <w:tab/>
        <w:t>Zeng DZ. Global experiences with special economic zones: Focus on China and Africa. World Bank Group; 2015.</w:t>
      </w:r>
      <w:r w:rsidR="007A12FB">
        <w:t xml:space="preserve"> </w:t>
      </w:r>
      <w:hyperlink r:id="rId23" w:history="1">
        <w:r w:rsidR="007A12FB" w:rsidRPr="00515554">
          <w:rPr>
            <w:rStyle w:val="Hyperlink"/>
          </w:rPr>
          <w:t>https://openknowledge.worldbank.org/handle/10986/21854</w:t>
        </w:r>
      </w:hyperlink>
      <w:r w:rsidR="007A12FB" w:rsidRPr="00B1470A">
        <w:t>:</w:t>
      </w:r>
    </w:p>
    <w:p w14:paraId="39CA8FDF" w14:textId="0DBB0602" w:rsidR="00B1470A" w:rsidRPr="00B1470A" w:rsidRDefault="00B1470A" w:rsidP="007C4D8A">
      <w:pPr>
        <w:pStyle w:val="EndNoteBibliography"/>
        <w:spacing w:after="0"/>
        <w:ind w:left="426" w:hanging="426"/>
      </w:pPr>
      <w:r w:rsidRPr="00B1470A">
        <w:t>15.</w:t>
      </w:r>
      <w:r w:rsidRPr="00B1470A">
        <w:tab/>
        <w:t xml:space="preserve">Monaghan P, North P, Southern A. Ecological empowerment and Enterprise Zones: </w:t>
      </w:r>
      <w:r w:rsidR="007A12FB">
        <w:t>P</w:t>
      </w:r>
      <w:r w:rsidRPr="00B1470A">
        <w:t xml:space="preserve">ain free transitions to sustainable production in cities or fool's gold? Journal of </w:t>
      </w:r>
      <w:r w:rsidR="007A12FB">
        <w:t>C</w:t>
      </w:r>
      <w:r w:rsidRPr="00B1470A">
        <w:t xml:space="preserve">leaner </w:t>
      </w:r>
      <w:r w:rsidR="007A12FB">
        <w:t>P</w:t>
      </w:r>
      <w:r w:rsidRPr="00B1470A">
        <w:t>roduction. 2016;</w:t>
      </w:r>
      <w:r w:rsidR="00221AA4">
        <w:t xml:space="preserve"> </w:t>
      </w:r>
      <w:r w:rsidRPr="00B1470A">
        <w:t>134:395-405.</w:t>
      </w:r>
      <w:r w:rsidR="007B6B39">
        <w:t xml:space="preserve"> </w:t>
      </w:r>
      <w:hyperlink r:id="rId24" w:history="1">
        <w:r w:rsidR="007B6B39" w:rsidRPr="00515554">
          <w:rPr>
            <w:rStyle w:val="Hyperlink"/>
          </w:rPr>
          <w:t>https://livrepository.liverpool.ac.uk/2054361/1/Monaghan%20North%20Southern%202016.pdf</w:t>
        </w:r>
      </w:hyperlink>
      <w:r w:rsidR="007B6B39">
        <w:t xml:space="preserve"> </w:t>
      </w:r>
    </w:p>
    <w:p w14:paraId="73AEEF03" w14:textId="42CF4827" w:rsidR="00B1470A" w:rsidRPr="00B1470A" w:rsidRDefault="00B1470A" w:rsidP="007C4D8A">
      <w:pPr>
        <w:pStyle w:val="EndNoteBibliography"/>
        <w:spacing w:after="0"/>
        <w:ind w:left="426" w:hanging="426"/>
      </w:pPr>
      <w:r w:rsidRPr="00B1470A">
        <w:t>16.</w:t>
      </w:r>
      <w:r w:rsidRPr="00B1470A">
        <w:tab/>
        <w:t>UNCTAD. World Investment Report 2019.</w:t>
      </w:r>
      <w:r w:rsidR="007B6B39">
        <w:t xml:space="preserve"> </w:t>
      </w:r>
      <w:r w:rsidRPr="00B1470A">
        <w:t>UNCTAD; 2019.</w:t>
      </w:r>
      <w:r w:rsidR="007A12FB">
        <w:t xml:space="preserve"> </w:t>
      </w:r>
      <w:hyperlink r:id="rId25" w:history="1">
        <w:r w:rsidR="007A12FB" w:rsidRPr="00515554">
          <w:rPr>
            <w:rStyle w:val="Hyperlink"/>
          </w:rPr>
          <w:t>https://unctad.org/system/files/official-document/WIR2019_CH4.pdf</w:t>
        </w:r>
      </w:hyperlink>
    </w:p>
    <w:p w14:paraId="3B188EB7" w14:textId="0EC96CEE" w:rsidR="00B1470A" w:rsidRPr="00B1470A" w:rsidRDefault="00B1470A" w:rsidP="007C4D8A">
      <w:pPr>
        <w:pStyle w:val="EndNoteBibliography"/>
        <w:ind w:left="426" w:hanging="426"/>
      </w:pPr>
      <w:r w:rsidRPr="00B1470A">
        <w:t>17.</w:t>
      </w:r>
      <w:r w:rsidRPr="00B1470A">
        <w:tab/>
        <w:t>Kechichian E, Jeong MH. Mainstreaming Eco-Industrial Parks. Washington, DC: World Bank Group; 2016.</w:t>
      </w:r>
      <w:r w:rsidR="007B6B39">
        <w:t xml:space="preserve"> </w:t>
      </w:r>
      <w:hyperlink r:id="rId26" w:history="1">
        <w:r w:rsidR="007B6B39" w:rsidRPr="00515554">
          <w:rPr>
            <w:rStyle w:val="Hyperlink"/>
          </w:rPr>
          <w:t>https://openknowledge.worldbank.org/handle/10986/24921</w:t>
        </w:r>
      </w:hyperlink>
      <w:r w:rsidR="007B6B39">
        <w:t xml:space="preserve"> </w:t>
      </w:r>
    </w:p>
    <w:p w14:paraId="412AFD30" w14:textId="7CEB3663" w:rsidR="00EA7EEE" w:rsidRPr="00EA7EEE" w:rsidRDefault="00EA7EEE" w:rsidP="00EA7EEE"/>
    <w:sectPr w:rsidR="00EA7EEE" w:rsidRPr="00EA7EEE">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AED7D" w14:textId="77777777" w:rsidR="003C5F1E" w:rsidRDefault="003C5F1E" w:rsidP="005D179E">
      <w:pPr>
        <w:spacing w:after="0" w:line="240" w:lineRule="auto"/>
      </w:pPr>
      <w:r>
        <w:separator/>
      </w:r>
    </w:p>
  </w:endnote>
  <w:endnote w:type="continuationSeparator" w:id="0">
    <w:p w14:paraId="020EA310" w14:textId="77777777" w:rsidR="003C5F1E" w:rsidRDefault="003C5F1E" w:rsidP="005D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DCC6D" w14:textId="77777777" w:rsidR="003C5F1E" w:rsidRDefault="003C5F1E" w:rsidP="005D179E">
      <w:pPr>
        <w:spacing w:after="0" w:line="240" w:lineRule="auto"/>
      </w:pPr>
      <w:r>
        <w:separator/>
      </w:r>
    </w:p>
  </w:footnote>
  <w:footnote w:type="continuationSeparator" w:id="0">
    <w:p w14:paraId="50BB5E04" w14:textId="77777777" w:rsidR="003C5F1E" w:rsidRDefault="003C5F1E" w:rsidP="005D1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F22FA" w14:textId="77777777" w:rsidR="005D179E" w:rsidRDefault="00540BCC" w:rsidP="00540BCC">
    <w:pPr>
      <w:pStyle w:val="Header"/>
      <w:jc w:val="right"/>
    </w:pPr>
    <w:r>
      <w:t>19 October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46E04"/>
    <w:multiLevelType w:val="hybridMultilevel"/>
    <w:tmpl w:val="AEC07C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570F8D"/>
    <w:multiLevelType w:val="multilevel"/>
    <w:tmpl w:val="7FC4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14DEE"/>
    <w:multiLevelType w:val="hybridMultilevel"/>
    <w:tmpl w:val="42005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FC057C">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26764"/>
    <w:multiLevelType w:val="hybridMultilevel"/>
    <w:tmpl w:val="5CEC27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6427D5"/>
    <w:multiLevelType w:val="hybridMultilevel"/>
    <w:tmpl w:val="7DAA7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B162A4"/>
    <w:multiLevelType w:val="hybridMultilevel"/>
    <w:tmpl w:val="764EEF40"/>
    <w:lvl w:ilvl="0" w:tplc="6A360EA6">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6" w15:restartNumberingAfterBreak="0">
    <w:nsid w:val="552B1E69"/>
    <w:multiLevelType w:val="hybridMultilevel"/>
    <w:tmpl w:val="979A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950220"/>
    <w:multiLevelType w:val="hybridMultilevel"/>
    <w:tmpl w:val="607A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E9531B"/>
    <w:multiLevelType w:val="hybridMultilevel"/>
    <w:tmpl w:val="F4784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DD284F"/>
    <w:multiLevelType w:val="multilevel"/>
    <w:tmpl w:val="2270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B48A9"/>
    <w:multiLevelType w:val="hybridMultilevel"/>
    <w:tmpl w:val="9CCA9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F877DA"/>
    <w:multiLevelType w:val="hybridMultilevel"/>
    <w:tmpl w:val="92205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1"/>
  </w:num>
  <w:num w:numId="4">
    <w:abstractNumId w:val="2"/>
  </w:num>
  <w:num w:numId="5">
    <w:abstractNumId w:val="10"/>
  </w:num>
  <w:num w:numId="6">
    <w:abstractNumId w:val="6"/>
  </w:num>
  <w:num w:numId="7">
    <w:abstractNumId w:val="4"/>
  </w:num>
  <w:num w:numId="8">
    <w:abstractNumId w:val="9"/>
  </w:num>
  <w:num w:numId="9">
    <w:abstractNumId w:val="1"/>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5122AC"/>
    <w:rsid w:val="00001245"/>
    <w:rsid w:val="0000327C"/>
    <w:rsid w:val="00004CD3"/>
    <w:rsid w:val="00011443"/>
    <w:rsid w:val="00015BA9"/>
    <w:rsid w:val="000161B3"/>
    <w:rsid w:val="0002301D"/>
    <w:rsid w:val="000278CA"/>
    <w:rsid w:val="000521BC"/>
    <w:rsid w:val="000524DD"/>
    <w:rsid w:val="000561C7"/>
    <w:rsid w:val="00057FF4"/>
    <w:rsid w:val="00063140"/>
    <w:rsid w:val="00064A1A"/>
    <w:rsid w:val="000701E2"/>
    <w:rsid w:val="00074CB0"/>
    <w:rsid w:val="0008395B"/>
    <w:rsid w:val="000843C1"/>
    <w:rsid w:val="000917DA"/>
    <w:rsid w:val="00092789"/>
    <w:rsid w:val="00094638"/>
    <w:rsid w:val="000A2E41"/>
    <w:rsid w:val="000A5242"/>
    <w:rsid w:val="000A6745"/>
    <w:rsid w:val="000B1E83"/>
    <w:rsid w:val="000B20F1"/>
    <w:rsid w:val="000B7AF6"/>
    <w:rsid w:val="000C233D"/>
    <w:rsid w:val="000C32F4"/>
    <w:rsid w:val="000C3570"/>
    <w:rsid w:val="000E0B07"/>
    <w:rsid w:val="000E1D8A"/>
    <w:rsid w:val="000E7549"/>
    <w:rsid w:val="000F0A87"/>
    <w:rsid w:val="000F0CA2"/>
    <w:rsid w:val="000F63AC"/>
    <w:rsid w:val="00101635"/>
    <w:rsid w:val="00105A2F"/>
    <w:rsid w:val="00111A6F"/>
    <w:rsid w:val="00112235"/>
    <w:rsid w:val="00115549"/>
    <w:rsid w:val="00121F2E"/>
    <w:rsid w:val="001247D0"/>
    <w:rsid w:val="00130C55"/>
    <w:rsid w:val="00131350"/>
    <w:rsid w:val="001316BF"/>
    <w:rsid w:val="00142DFD"/>
    <w:rsid w:val="00143E9B"/>
    <w:rsid w:val="0014409C"/>
    <w:rsid w:val="00145645"/>
    <w:rsid w:val="00147FBA"/>
    <w:rsid w:val="00152E9D"/>
    <w:rsid w:val="00153C2E"/>
    <w:rsid w:val="001674B8"/>
    <w:rsid w:val="00167629"/>
    <w:rsid w:val="001773BA"/>
    <w:rsid w:val="001943ED"/>
    <w:rsid w:val="0019662F"/>
    <w:rsid w:val="001A2251"/>
    <w:rsid w:val="001A3D9A"/>
    <w:rsid w:val="001B78D0"/>
    <w:rsid w:val="001C174B"/>
    <w:rsid w:val="001C42BA"/>
    <w:rsid w:val="001D797A"/>
    <w:rsid w:val="001E0B4C"/>
    <w:rsid w:val="001E40AB"/>
    <w:rsid w:val="001E481B"/>
    <w:rsid w:val="001E5966"/>
    <w:rsid w:val="001E5A6E"/>
    <w:rsid w:val="001F66B4"/>
    <w:rsid w:val="001F6A44"/>
    <w:rsid w:val="002060BD"/>
    <w:rsid w:val="00212356"/>
    <w:rsid w:val="00213061"/>
    <w:rsid w:val="002212BD"/>
    <w:rsid w:val="00221AA4"/>
    <w:rsid w:val="002253AB"/>
    <w:rsid w:val="002330DD"/>
    <w:rsid w:val="00241029"/>
    <w:rsid w:val="00243ADF"/>
    <w:rsid w:val="00277912"/>
    <w:rsid w:val="00292058"/>
    <w:rsid w:val="00295924"/>
    <w:rsid w:val="002966A4"/>
    <w:rsid w:val="0029746F"/>
    <w:rsid w:val="002A2C70"/>
    <w:rsid w:val="002A51C4"/>
    <w:rsid w:val="002A7677"/>
    <w:rsid w:val="002C1021"/>
    <w:rsid w:val="002C26B5"/>
    <w:rsid w:val="002D10D1"/>
    <w:rsid w:val="002D21F4"/>
    <w:rsid w:val="002D24AB"/>
    <w:rsid w:val="002E0AD2"/>
    <w:rsid w:val="002E4904"/>
    <w:rsid w:val="002F1EFF"/>
    <w:rsid w:val="0030223D"/>
    <w:rsid w:val="0030321D"/>
    <w:rsid w:val="00305893"/>
    <w:rsid w:val="0031191B"/>
    <w:rsid w:val="0031471E"/>
    <w:rsid w:val="003156D4"/>
    <w:rsid w:val="00320E34"/>
    <w:rsid w:val="0032250A"/>
    <w:rsid w:val="00322A2C"/>
    <w:rsid w:val="00324819"/>
    <w:rsid w:val="00330E38"/>
    <w:rsid w:val="00335CD4"/>
    <w:rsid w:val="00337F7D"/>
    <w:rsid w:val="00343DB3"/>
    <w:rsid w:val="003443AB"/>
    <w:rsid w:val="0035289A"/>
    <w:rsid w:val="003535FB"/>
    <w:rsid w:val="00370FAD"/>
    <w:rsid w:val="003879C8"/>
    <w:rsid w:val="0039066B"/>
    <w:rsid w:val="00395AB1"/>
    <w:rsid w:val="003B1F63"/>
    <w:rsid w:val="003C05E4"/>
    <w:rsid w:val="003C574B"/>
    <w:rsid w:val="003C5F1E"/>
    <w:rsid w:val="003D3161"/>
    <w:rsid w:val="003D3C8D"/>
    <w:rsid w:val="003E1FAC"/>
    <w:rsid w:val="003E6580"/>
    <w:rsid w:val="003E7831"/>
    <w:rsid w:val="003F58DD"/>
    <w:rsid w:val="0041293B"/>
    <w:rsid w:val="0041671B"/>
    <w:rsid w:val="00422E7D"/>
    <w:rsid w:val="00433563"/>
    <w:rsid w:val="004335B4"/>
    <w:rsid w:val="00436CA2"/>
    <w:rsid w:val="00441579"/>
    <w:rsid w:val="0044602D"/>
    <w:rsid w:val="00450714"/>
    <w:rsid w:val="004549B3"/>
    <w:rsid w:val="00455D2E"/>
    <w:rsid w:val="00464514"/>
    <w:rsid w:val="0046565B"/>
    <w:rsid w:val="00472E80"/>
    <w:rsid w:val="00475053"/>
    <w:rsid w:val="00476EEB"/>
    <w:rsid w:val="00483D82"/>
    <w:rsid w:val="0049047E"/>
    <w:rsid w:val="00496E3F"/>
    <w:rsid w:val="004A1FD5"/>
    <w:rsid w:val="004A2037"/>
    <w:rsid w:val="004A641C"/>
    <w:rsid w:val="004A6CF2"/>
    <w:rsid w:val="004B0440"/>
    <w:rsid w:val="004C287B"/>
    <w:rsid w:val="004C2E26"/>
    <w:rsid w:val="004C57F6"/>
    <w:rsid w:val="004D5709"/>
    <w:rsid w:val="004F1621"/>
    <w:rsid w:val="004F199E"/>
    <w:rsid w:val="004F610F"/>
    <w:rsid w:val="004F6BDE"/>
    <w:rsid w:val="00500C14"/>
    <w:rsid w:val="0050141D"/>
    <w:rsid w:val="00502AB4"/>
    <w:rsid w:val="0050745A"/>
    <w:rsid w:val="005122AC"/>
    <w:rsid w:val="00522B14"/>
    <w:rsid w:val="0052519F"/>
    <w:rsid w:val="00527568"/>
    <w:rsid w:val="00533636"/>
    <w:rsid w:val="00540BCC"/>
    <w:rsid w:val="005416F0"/>
    <w:rsid w:val="00543B5F"/>
    <w:rsid w:val="00547052"/>
    <w:rsid w:val="00556C2A"/>
    <w:rsid w:val="005610F2"/>
    <w:rsid w:val="00574EB1"/>
    <w:rsid w:val="00575F56"/>
    <w:rsid w:val="00577B2C"/>
    <w:rsid w:val="00582C88"/>
    <w:rsid w:val="0058319A"/>
    <w:rsid w:val="005846A5"/>
    <w:rsid w:val="00586D41"/>
    <w:rsid w:val="005A6979"/>
    <w:rsid w:val="005A7681"/>
    <w:rsid w:val="005C2724"/>
    <w:rsid w:val="005C63DA"/>
    <w:rsid w:val="005C6A5F"/>
    <w:rsid w:val="005C79D4"/>
    <w:rsid w:val="005D03BE"/>
    <w:rsid w:val="005D04F6"/>
    <w:rsid w:val="005D179E"/>
    <w:rsid w:val="005D1C71"/>
    <w:rsid w:val="005D79E0"/>
    <w:rsid w:val="005D7FD5"/>
    <w:rsid w:val="005F4DF8"/>
    <w:rsid w:val="00600F9D"/>
    <w:rsid w:val="00602ADF"/>
    <w:rsid w:val="00603990"/>
    <w:rsid w:val="00605C0E"/>
    <w:rsid w:val="0061474B"/>
    <w:rsid w:val="00623ABC"/>
    <w:rsid w:val="00624A33"/>
    <w:rsid w:val="006258AC"/>
    <w:rsid w:val="00625CDD"/>
    <w:rsid w:val="00632062"/>
    <w:rsid w:val="006518D3"/>
    <w:rsid w:val="00667915"/>
    <w:rsid w:val="00673C81"/>
    <w:rsid w:val="00674C8B"/>
    <w:rsid w:val="006760D9"/>
    <w:rsid w:val="00680748"/>
    <w:rsid w:val="00691ABB"/>
    <w:rsid w:val="00693E25"/>
    <w:rsid w:val="0069671A"/>
    <w:rsid w:val="006A7978"/>
    <w:rsid w:val="006A7FBF"/>
    <w:rsid w:val="006B3F8F"/>
    <w:rsid w:val="006C3586"/>
    <w:rsid w:val="006C3CB5"/>
    <w:rsid w:val="006D0333"/>
    <w:rsid w:val="006D2381"/>
    <w:rsid w:val="006D2677"/>
    <w:rsid w:val="006D2828"/>
    <w:rsid w:val="006D31AB"/>
    <w:rsid w:val="006D3565"/>
    <w:rsid w:val="006D5F11"/>
    <w:rsid w:val="006E645B"/>
    <w:rsid w:val="006E667E"/>
    <w:rsid w:val="006F1AF1"/>
    <w:rsid w:val="006F4964"/>
    <w:rsid w:val="007057D4"/>
    <w:rsid w:val="00705AE5"/>
    <w:rsid w:val="0070786E"/>
    <w:rsid w:val="00710197"/>
    <w:rsid w:val="0071428A"/>
    <w:rsid w:val="00721853"/>
    <w:rsid w:val="0073099A"/>
    <w:rsid w:val="007442CC"/>
    <w:rsid w:val="0075224E"/>
    <w:rsid w:val="00770643"/>
    <w:rsid w:val="00771A15"/>
    <w:rsid w:val="00777564"/>
    <w:rsid w:val="0078113A"/>
    <w:rsid w:val="00785097"/>
    <w:rsid w:val="007946FF"/>
    <w:rsid w:val="007A08E0"/>
    <w:rsid w:val="007A12FB"/>
    <w:rsid w:val="007B0C7B"/>
    <w:rsid w:val="007B6B39"/>
    <w:rsid w:val="007C36C4"/>
    <w:rsid w:val="007C4D8A"/>
    <w:rsid w:val="007C61B0"/>
    <w:rsid w:val="007C69DB"/>
    <w:rsid w:val="007C717B"/>
    <w:rsid w:val="007D0E92"/>
    <w:rsid w:val="007D5372"/>
    <w:rsid w:val="007D61CA"/>
    <w:rsid w:val="007D6A09"/>
    <w:rsid w:val="007F7B8C"/>
    <w:rsid w:val="00802145"/>
    <w:rsid w:val="00820BEB"/>
    <w:rsid w:val="00833955"/>
    <w:rsid w:val="0084025C"/>
    <w:rsid w:val="0086300D"/>
    <w:rsid w:val="0087091B"/>
    <w:rsid w:val="00886F42"/>
    <w:rsid w:val="00891792"/>
    <w:rsid w:val="00893CA6"/>
    <w:rsid w:val="008A2F85"/>
    <w:rsid w:val="008A3B31"/>
    <w:rsid w:val="008A7DDA"/>
    <w:rsid w:val="008B0D28"/>
    <w:rsid w:val="008B5B61"/>
    <w:rsid w:val="008C3FCD"/>
    <w:rsid w:val="008C5DBE"/>
    <w:rsid w:val="008C64E8"/>
    <w:rsid w:val="008D1229"/>
    <w:rsid w:val="008D5E2D"/>
    <w:rsid w:val="008E4B9B"/>
    <w:rsid w:val="008F0B3D"/>
    <w:rsid w:val="008F53A0"/>
    <w:rsid w:val="009004D9"/>
    <w:rsid w:val="009106CC"/>
    <w:rsid w:val="009114A5"/>
    <w:rsid w:val="00917861"/>
    <w:rsid w:val="0092488C"/>
    <w:rsid w:val="00933C08"/>
    <w:rsid w:val="00937594"/>
    <w:rsid w:val="00937674"/>
    <w:rsid w:val="00937D83"/>
    <w:rsid w:val="00940BA8"/>
    <w:rsid w:val="0095275B"/>
    <w:rsid w:val="009559CF"/>
    <w:rsid w:val="0096229C"/>
    <w:rsid w:val="0096414E"/>
    <w:rsid w:val="00965797"/>
    <w:rsid w:val="00967D41"/>
    <w:rsid w:val="00974177"/>
    <w:rsid w:val="00974C7D"/>
    <w:rsid w:val="00992022"/>
    <w:rsid w:val="00992531"/>
    <w:rsid w:val="00992CB8"/>
    <w:rsid w:val="009964E1"/>
    <w:rsid w:val="00997A2E"/>
    <w:rsid w:val="00997A63"/>
    <w:rsid w:val="009A17C8"/>
    <w:rsid w:val="009A2CAC"/>
    <w:rsid w:val="009A43C4"/>
    <w:rsid w:val="009A4490"/>
    <w:rsid w:val="009A53C2"/>
    <w:rsid w:val="009B3B55"/>
    <w:rsid w:val="009C11B1"/>
    <w:rsid w:val="009C3A71"/>
    <w:rsid w:val="009C432D"/>
    <w:rsid w:val="009D13BE"/>
    <w:rsid w:val="009D1CA9"/>
    <w:rsid w:val="009D5892"/>
    <w:rsid w:val="009E11B5"/>
    <w:rsid w:val="009E3327"/>
    <w:rsid w:val="009E68ED"/>
    <w:rsid w:val="009F0181"/>
    <w:rsid w:val="009F0DB3"/>
    <w:rsid w:val="009F2F57"/>
    <w:rsid w:val="009F64BD"/>
    <w:rsid w:val="00A06067"/>
    <w:rsid w:val="00A1111B"/>
    <w:rsid w:val="00A14A19"/>
    <w:rsid w:val="00A151D9"/>
    <w:rsid w:val="00A167A4"/>
    <w:rsid w:val="00A17556"/>
    <w:rsid w:val="00A205BB"/>
    <w:rsid w:val="00A208BC"/>
    <w:rsid w:val="00A2150F"/>
    <w:rsid w:val="00A22E07"/>
    <w:rsid w:val="00A2433E"/>
    <w:rsid w:val="00A24870"/>
    <w:rsid w:val="00A31745"/>
    <w:rsid w:val="00A46576"/>
    <w:rsid w:val="00A53A13"/>
    <w:rsid w:val="00A63D6A"/>
    <w:rsid w:val="00A659C8"/>
    <w:rsid w:val="00A706C1"/>
    <w:rsid w:val="00A77459"/>
    <w:rsid w:val="00A859B2"/>
    <w:rsid w:val="00A86882"/>
    <w:rsid w:val="00A874A8"/>
    <w:rsid w:val="00A92AC3"/>
    <w:rsid w:val="00A93375"/>
    <w:rsid w:val="00A97A76"/>
    <w:rsid w:val="00AA0CA7"/>
    <w:rsid w:val="00AA11D7"/>
    <w:rsid w:val="00AA1A9E"/>
    <w:rsid w:val="00AA42BC"/>
    <w:rsid w:val="00AA5048"/>
    <w:rsid w:val="00AA50A2"/>
    <w:rsid w:val="00AA6A2C"/>
    <w:rsid w:val="00AB4B0F"/>
    <w:rsid w:val="00AB7035"/>
    <w:rsid w:val="00AC6953"/>
    <w:rsid w:val="00AD0CBB"/>
    <w:rsid w:val="00AE5C45"/>
    <w:rsid w:val="00AF1C92"/>
    <w:rsid w:val="00AF2ECC"/>
    <w:rsid w:val="00AF5E8A"/>
    <w:rsid w:val="00B001F3"/>
    <w:rsid w:val="00B01DEE"/>
    <w:rsid w:val="00B127DA"/>
    <w:rsid w:val="00B1470A"/>
    <w:rsid w:val="00B14B9A"/>
    <w:rsid w:val="00B30395"/>
    <w:rsid w:val="00B31411"/>
    <w:rsid w:val="00B40CA9"/>
    <w:rsid w:val="00B41002"/>
    <w:rsid w:val="00B45BBB"/>
    <w:rsid w:val="00B52969"/>
    <w:rsid w:val="00B53E3F"/>
    <w:rsid w:val="00B5650D"/>
    <w:rsid w:val="00B61E97"/>
    <w:rsid w:val="00B82167"/>
    <w:rsid w:val="00B84490"/>
    <w:rsid w:val="00B93CD2"/>
    <w:rsid w:val="00B95129"/>
    <w:rsid w:val="00BA42ED"/>
    <w:rsid w:val="00BA7983"/>
    <w:rsid w:val="00BB690B"/>
    <w:rsid w:val="00BC3461"/>
    <w:rsid w:val="00BC4F48"/>
    <w:rsid w:val="00BD4482"/>
    <w:rsid w:val="00BD5310"/>
    <w:rsid w:val="00BE37FF"/>
    <w:rsid w:val="00BE67BF"/>
    <w:rsid w:val="00BE726A"/>
    <w:rsid w:val="00BE7D26"/>
    <w:rsid w:val="00BF4CBF"/>
    <w:rsid w:val="00BF7AA2"/>
    <w:rsid w:val="00C04A3C"/>
    <w:rsid w:val="00C04A3F"/>
    <w:rsid w:val="00C139B2"/>
    <w:rsid w:val="00C277FE"/>
    <w:rsid w:val="00C36553"/>
    <w:rsid w:val="00C4113E"/>
    <w:rsid w:val="00C44132"/>
    <w:rsid w:val="00C5104E"/>
    <w:rsid w:val="00C51A93"/>
    <w:rsid w:val="00C56F38"/>
    <w:rsid w:val="00C577AE"/>
    <w:rsid w:val="00C614BD"/>
    <w:rsid w:val="00C65036"/>
    <w:rsid w:val="00C670F1"/>
    <w:rsid w:val="00C722FA"/>
    <w:rsid w:val="00C7314A"/>
    <w:rsid w:val="00C75979"/>
    <w:rsid w:val="00C81D2F"/>
    <w:rsid w:val="00C840B6"/>
    <w:rsid w:val="00C84303"/>
    <w:rsid w:val="00C93077"/>
    <w:rsid w:val="00CA057F"/>
    <w:rsid w:val="00CA2AD8"/>
    <w:rsid w:val="00CA4008"/>
    <w:rsid w:val="00CB3CEB"/>
    <w:rsid w:val="00CB57A8"/>
    <w:rsid w:val="00CB5F0D"/>
    <w:rsid w:val="00CC496B"/>
    <w:rsid w:val="00CC60CD"/>
    <w:rsid w:val="00CD4F0C"/>
    <w:rsid w:val="00CD7FE4"/>
    <w:rsid w:val="00CE452A"/>
    <w:rsid w:val="00CE470A"/>
    <w:rsid w:val="00D035CF"/>
    <w:rsid w:val="00D11523"/>
    <w:rsid w:val="00D13D7D"/>
    <w:rsid w:val="00D30CB9"/>
    <w:rsid w:val="00D312EF"/>
    <w:rsid w:val="00D34096"/>
    <w:rsid w:val="00D36C87"/>
    <w:rsid w:val="00D37306"/>
    <w:rsid w:val="00D37891"/>
    <w:rsid w:val="00D45DCC"/>
    <w:rsid w:val="00D46FDB"/>
    <w:rsid w:val="00D61F4D"/>
    <w:rsid w:val="00D637BC"/>
    <w:rsid w:val="00D6455F"/>
    <w:rsid w:val="00D6735B"/>
    <w:rsid w:val="00D70507"/>
    <w:rsid w:val="00D714F8"/>
    <w:rsid w:val="00D71F93"/>
    <w:rsid w:val="00D72020"/>
    <w:rsid w:val="00D738AB"/>
    <w:rsid w:val="00D82F91"/>
    <w:rsid w:val="00D91BDE"/>
    <w:rsid w:val="00D92959"/>
    <w:rsid w:val="00D92CBE"/>
    <w:rsid w:val="00D97C13"/>
    <w:rsid w:val="00DA0409"/>
    <w:rsid w:val="00DA7D4D"/>
    <w:rsid w:val="00DB2E0B"/>
    <w:rsid w:val="00DC6669"/>
    <w:rsid w:val="00DC7E17"/>
    <w:rsid w:val="00DD4A67"/>
    <w:rsid w:val="00DD7181"/>
    <w:rsid w:val="00DD75AF"/>
    <w:rsid w:val="00DE6C93"/>
    <w:rsid w:val="00DF0198"/>
    <w:rsid w:val="00DF3401"/>
    <w:rsid w:val="00E00AD3"/>
    <w:rsid w:val="00E01535"/>
    <w:rsid w:val="00E02A09"/>
    <w:rsid w:val="00E03BF3"/>
    <w:rsid w:val="00E12253"/>
    <w:rsid w:val="00E141AD"/>
    <w:rsid w:val="00E15448"/>
    <w:rsid w:val="00E17506"/>
    <w:rsid w:val="00E2540D"/>
    <w:rsid w:val="00E26BDE"/>
    <w:rsid w:val="00E35EF6"/>
    <w:rsid w:val="00E44FD5"/>
    <w:rsid w:val="00E4746E"/>
    <w:rsid w:val="00E47670"/>
    <w:rsid w:val="00E52A02"/>
    <w:rsid w:val="00E53484"/>
    <w:rsid w:val="00E57DF2"/>
    <w:rsid w:val="00E6516A"/>
    <w:rsid w:val="00E65B00"/>
    <w:rsid w:val="00E72D44"/>
    <w:rsid w:val="00E76995"/>
    <w:rsid w:val="00E95290"/>
    <w:rsid w:val="00E954AD"/>
    <w:rsid w:val="00E9629B"/>
    <w:rsid w:val="00EA0196"/>
    <w:rsid w:val="00EA1A31"/>
    <w:rsid w:val="00EA7CC6"/>
    <w:rsid w:val="00EA7EEE"/>
    <w:rsid w:val="00EB48C1"/>
    <w:rsid w:val="00EB711F"/>
    <w:rsid w:val="00EC2014"/>
    <w:rsid w:val="00EC3451"/>
    <w:rsid w:val="00EC3D4A"/>
    <w:rsid w:val="00ED0B9C"/>
    <w:rsid w:val="00ED746F"/>
    <w:rsid w:val="00EE2AA7"/>
    <w:rsid w:val="00EE5A92"/>
    <w:rsid w:val="00EE6CC9"/>
    <w:rsid w:val="00EE6DD2"/>
    <w:rsid w:val="00EF082F"/>
    <w:rsid w:val="00EF525A"/>
    <w:rsid w:val="00F02A4D"/>
    <w:rsid w:val="00F03112"/>
    <w:rsid w:val="00F04061"/>
    <w:rsid w:val="00F078AB"/>
    <w:rsid w:val="00F13F24"/>
    <w:rsid w:val="00F142A4"/>
    <w:rsid w:val="00F14B51"/>
    <w:rsid w:val="00F16C2A"/>
    <w:rsid w:val="00F20505"/>
    <w:rsid w:val="00F24B4C"/>
    <w:rsid w:val="00F31637"/>
    <w:rsid w:val="00F36E0B"/>
    <w:rsid w:val="00F407B5"/>
    <w:rsid w:val="00F504DB"/>
    <w:rsid w:val="00F53CE0"/>
    <w:rsid w:val="00F646C1"/>
    <w:rsid w:val="00F65831"/>
    <w:rsid w:val="00F70857"/>
    <w:rsid w:val="00F73715"/>
    <w:rsid w:val="00F74345"/>
    <w:rsid w:val="00F80E14"/>
    <w:rsid w:val="00F849B7"/>
    <w:rsid w:val="00F85E7E"/>
    <w:rsid w:val="00F86D44"/>
    <w:rsid w:val="00F9137A"/>
    <w:rsid w:val="00F93AFE"/>
    <w:rsid w:val="00F93FA8"/>
    <w:rsid w:val="00F96403"/>
    <w:rsid w:val="00FA2B8F"/>
    <w:rsid w:val="00FB4E22"/>
    <w:rsid w:val="00FC1BC2"/>
    <w:rsid w:val="00FC33EC"/>
    <w:rsid w:val="00FC6D73"/>
    <w:rsid w:val="00FD097D"/>
    <w:rsid w:val="00FD12AF"/>
    <w:rsid w:val="00FD5FB8"/>
    <w:rsid w:val="00FD7D07"/>
    <w:rsid w:val="00FD7FCC"/>
    <w:rsid w:val="00FE2DD6"/>
    <w:rsid w:val="00FE6FC8"/>
    <w:rsid w:val="00FF0C4B"/>
    <w:rsid w:val="00FF1D7F"/>
    <w:rsid w:val="00FF7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02AF1"/>
  <w15:chartTrackingRefBased/>
  <w15:docId w15:val="{ED07DBE8-F385-44A3-95C8-08451669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2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22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5A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22AC"/>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semiHidden/>
    <w:unhideWhenUsed/>
    <w:rsid w:val="00512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122AC"/>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5122AC"/>
    <w:rPr>
      <w:color w:val="0563C1"/>
      <w:u w:val="single"/>
    </w:rPr>
  </w:style>
  <w:style w:type="paragraph" w:styleId="ListParagraph">
    <w:name w:val="List Paragraph"/>
    <w:basedOn w:val="Normal"/>
    <w:uiPriority w:val="34"/>
    <w:qFormat/>
    <w:rsid w:val="002212BD"/>
    <w:pPr>
      <w:ind w:left="720"/>
      <w:contextualSpacing/>
    </w:pPr>
  </w:style>
  <w:style w:type="character" w:styleId="UnresolvedMention">
    <w:name w:val="Unresolved Mention"/>
    <w:basedOn w:val="DefaultParagraphFont"/>
    <w:uiPriority w:val="99"/>
    <w:semiHidden/>
    <w:unhideWhenUsed/>
    <w:rsid w:val="00705AE5"/>
    <w:rPr>
      <w:color w:val="605E5C"/>
      <w:shd w:val="clear" w:color="auto" w:fill="E1DFDD"/>
    </w:rPr>
  </w:style>
  <w:style w:type="character" w:customStyle="1" w:styleId="Heading3Char">
    <w:name w:val="Heading 3 Char"/>
    <w:basedOn w:val="DefaultParagraphFont"/>
    <w:link w:val="Heading3"/>
    <w:uiPriority w:val="9"/>
    <w:rsid w:val="00705AE5"/>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AA5048"/>
    <w:rPr>
      <w:color w:val="954F72" w:themeColor="followedHyperlink"/>
      <w:u w:val="single"/>
    </w:rPr>
  </w:style>
  <w:style w:type="character" w:customStyle="1" w:styleId="markedcontent">
    <w:name w:val="markedcontent"/>
    <w:basedOn w:val="DefaultParagraphFont"/>
    <w:rsid w:val="00CD7FE4"/>
  </w:style>
  <w:style w:type="character" w:customStyle="1" w:styleId="highlight">
    <w:name w:val="highlight"/>
    <w:basedOn w:val="DefaultParagraphFont"/>
    <w:rsid w:val="00AC6953"/>
  </w:style>
  <w:style w:type="character" w:styleId="CommentReference">
    <w:name w:val="annotation reference"/>
    <w:basedOn w:val="DefaultParagraphFont"/>
    <w:uiPriority w:val="99"/>
    <w:semiHidden/>
    <w:unhideWhenUsed/>
    <w:rsid w:val="00D97C13"/>
    <w:rPr>
      <w:sz w:val="16"/>
      <w:szCs w:val="16"/>
    </w:rPr>
  </w:style>
  <w:style w:type="paragraph" w:styleId="CommentText">
    <w:name w:val="annotation text"/>
    <w:basedOn w:val="Normal"/>
    <w:link w:val="CommentTextChar"/>
    <w:uiPriority w:val="99"/>
    <w:semiHidden/>
    <w:unhideWhenUsed/>
    <w:rsid w:val="00D97C13"/>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D97C13"/>
    <w:rPr>
      <w:rFonts w:ascii="Arial" w:hAnsi="Arial" w:cs="Arial"/>
      <w:sz w:val="20"/>
      <w:szCs w:val="20"/>
    </w:rPr>
  </w:style>
  <w:style w:type="paragraph" w:styleId="NormalWeb">
    <w:name w:val="Normal (Web)"/>
    <w:basedOn w:val="Normal"/>
    <w:uiPriority w:val="99"/>
    <w:semiHidden/>
    <w:unhideWhenUsed/>
    <w:rsid w:val="006E66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FF7F9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F7F97"/>
    <w:rPr>
      <w:rFonts w:ascii="Calibri" w:hAnsi="Calibri" w:cs="Calibri"/>
      <w:noProof/>
      <w:lang w:val="en-US"/>
    </w:rPr>
  </w:style>
  <w:style w:type="paragraph" w:customStyle="1" w:styleId="EndNoteBibliography">
    <w:name w:val="EndNote Bibliography"/>
    <w:basedOn w:val="Normal"/>
    <w:link w:val="EndNoteBibliographyChar"/>
    <w:rsid w:val="00FF7F9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F7F97"/>
    <w:rPr>
      <w:rFonts w:ascii="Calibri" w:hAnsi="Calibri" w:cs="Calibri"/>
      <w:noProof/>
      <w:lang w:val="en-US"/>
    </w:rPr>
  </w:style>
  <w:style w:type="character" w:customStyle="1" w:styleId="popovergroup">
    <w:name w:val="popovergroup"/>
    <w:basedOn w:val="DefaultParagraphFont"/>
    <w:rsid w:val="00B30395"/>
  </w:style>
  <w:style w:type="character" w:customStyle="1" w:styleId="popoverbutton">
    <w:name w:val="popoverbutton"/>
    <w:basedOn w:val="DefaultParagraphFont"/>
    <w:rsid w:val="00B30395"/>
  </w:style>
  <w:style w:type="paragraph" w:customStyle="1" w:styleId="doi">
    <w:name w:val="doi"/>
    <w:basedOn w:val="Normal"/>
    <w:rsid w:val="00B303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nlinepubdate">
    <w:name w:val="onlinepubdate"/>
    <w:basedOn w:val="Normal"/>
    <w:rsid w:val="00B303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bel">
    <w:name w:val="label"/>
    <w:basedOn w:val="DefaultParagraphFont"/>
    <w:rsid w:val="00B30395"/>
  </w:style>
  <w:style w:type="paragraph" w:customStyle="1" w:styleId="Default">
    <w:name w:val="Default"/>
    <w:rsid w:val="00EE6CC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D17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79E"/>
  </w:style>
  <w:style w:type="paragraph" w:styleId="Footer">
    <w:name w:val="footer"/>
    <w:basedOn w:val="Normal"/>
    <w:link w:val="FooterChar"/>
    <w:uiPriority w:val="99"/>
    <w:unhideWhenUsed/>
    <w:rsid w:val="005D17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79E"/>
  </w:style>
  <w:style w:type="paragraph" w:styleId="CommentSubject">
    <w:name w:val="annotation subject"/>
    <w:basedOn w:val="CommentText"/>
    <w:next w:val="CommentText"/>
    <w:link w:val="CommentSubjectChar"/>
    <w:uiPriority w:val="99"/>
    <w:semiHidden/>
    <w:unhideWhenUsed/>
    <w:rsid w:val="002D21F4"/>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D21F4"/>
    <w:rPr>
      <w:rFonts w:ascii="Arial" w:hAnsi="Arial" w:cs="Arial"/>
      <w:b/>
      <w:bCs/>
      <w:sz w:val="20"/>
      <w:szCs w:val="20"/>
    </w:rPr>
  </w:style>
  <w:style w:type="paragraph" w:styleId="BalloonText">
    <w:name w:val="Balloon Text"/>
    <w:basedOn w:val="Normal"/>
    <w:link w:val="BalloonTextChar"/>
    <w:uiPriority w:val="99"/>
    <w:semiHidden/>
    <w:unhideWhenUsed/>
    <w:rsid w:val="002D2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1F4"/>
    <w:rPr>
      <w:rFonts w:ascii="Segoe UI" w:hAnsi="Segoe UI" w:cs="Segoe UI"/>
      <w:sz w:val="18"/>
      <w:szCs w:val="18"/>
    </w:rPr>
  </w:style>
  <w:style w:type="paragraph" w:styleId="Revision">
    <w:name w:val="Revision"/>
    <w:hidden/>
    <w:uiPriority w:val="99"/>
    <w:semiHidden/>
    <w:rsid w:val="00F16C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4007">
      <w:bodyDiv w:val="1"/>
      <w:marLeft w:val="0"/>
      <w:marRight w:val="0"/>
      <w:marTop w:val="0"/>
      <w:marBottom w:val="0"/>
      <w:divBdr>
        <w:top w:val="none" w:sz="0" w:space="0" w:color="auto"/>
        <w:left w:val="none" w:sz="0" w:space="0" w:color="auto"/>
        <w:bottom w:val="none" w:sz="0" w:space="0" w:color="auto"/>
        <w:right w:val="none" w:sz="0" w:space="0" w:color="auto"/>
      </w:divBdr>
      <w:divsChild>
        <w:div w:id="1437142064">
          <w:marLeft w:val="0"/>
          <w:marRight w:val="0"/>
          <w:marTop w:val="0"/>
          <w:marBottom w:val="0"/>
          <w:divBdr>
            <w:top w:val="none" w:sz="0" w:space="0" w:color="auto"/>
            <w:left w:val="none" w:sz="0" w:space="0" w:color="auto"/>
            <w:bottom w:val="none" w:sz="0" w:space="0" w:color="auto"/>
            <w:right w:val="none" w:sz="0" w:space="0" w:color="auto"/>
          </w:divBdr>
          <w:divsChild>
            <w:div w:id="1153062934">
              <w:marLeft w:val="0"/>
              <w:marRight w:val="0"/>
              <w:marTop w:val="0"/>
              <w:marBottom w:val="0"/>
              <w:divBdr>
                <w:top w:val="none" w:sz="0" w:space="0" w:color="auto"/>
                <w:left w:val="none" w:sz="0" w:space="0" w:color="auto"/>
                <w:bottom w:val="none" w:sz="0" w:space="0" w:color="auto"/>
                <w:right w:val="none" w:sz="0" w:space="0" w:color="auto"/>
              </w:divBdr>
            </w:div>
            <w:div w:id="788665514">
              <w:marLeft w:val="0"/>
              <w:marRight w:val="0"/>
              <w:marTop w:val="0"/>
              <w:marBottom w:val="0"/>
              <w:divBdr>
                <w:top w:val="none" w:sz="0" w:space="0" w:color="auto"/>
                <w:left w:val="none" w:sz="0" w:space="0" w:color="auto"/>
                <w:bottom w:val="none" w:sz="0" w:space="0" w:color="auto"/>
                <w:right w:val="none" w:sz="0" w:space="0" w:color="auto"/>
              </w:divBdr>
            </w:div>
          </w:divsChild>
        </w:div>
        <w:div w:id="87697831">
          <w:marLeft w:val="0"/>
          <w:marRight w:val="0"/>
          <w:marTop w:val="0"/>
          <w:marBottom w:val="0"/>
          <w:divBdr>
            <w:top w:val="none" w:sz="0" w:space="0" w:color="auto"/>
            <w:left w:val="none" w:sz="0" w:space="0" w:color="auto"/>
            <w:bottom w:val="none" w:sz="0" w:space="0" w:color="auto"/>
            <w:right w:val="none" w:sz="0" w:space="0" w:color="auto"/>
          </w:divBdr>
        </w:div>
      </w:divsChild>
    </w:div>
    <w:div w:id="27072533">
      <w:bodyDiv w:val="1"/>
      <w:marLeft w:val="0"/>
      <w:marRight w:val="0"/>
      <w:marTop w:val="0"/>
      <w:marBottom w:val="0"/>
      <w:divBdr>
        <w:top w:val="none" w:sz="0" w:space="0" w:color="auto"/>
        <w:left w:val="none" w:sz="0" w:space="0" w:color="auto"/>
        <w:bottom w:val="none" w:sz="0" w:space="0" w:color="auto"/>
        <w:right w:val="none" w:sz="0" w:space="0" w:color="auto"/>
      </w:divBdr>
    </w:div>
    <w:div w:id="49228311">
      <w:bodyDiv w:val="1"/>
      <w:marLeft w:val="0"/>
      <w:marRight w:val="0"/>
      <w:marTop w:val="0"/>
      <w:marBottom w:val="0"/>
      <w:divBdr>
        <w:top w:val="none" w:sz="0" w:space="0" w:color="auto"/>
        <w:left w:val="none" w:sz="0" w:space="0" w:color="auto"/>
        <w:bottom w:val="none" w:sz="0" w:space="0" w:color="auto"/>
        <w:right w:val="none" w:sz="0" w:space="0" w:color="auto"/>
      </w:divBdr>
    </w:div>
    <w:div w:id="290870233">
      <w:bodyDiv w:val="1"/>
      <w:marLeft w:val="0"/>
      <w:marRight w:val="0"/>
      <w:marTop w:val="0"/>
      <w:marBottom w:val="0"/>
      <w:divBdr>
        <w:top w:val="none" w:sz="0" w:space="0" w:color="auto"/>
        <w:left w:val="none" w:sz="0" w:space="0" w:color="auto"/>
        <w:bottom w:val="none" w:sz="0" w:space="0" w:color="auto"/>
        <w:right w:val="none" w:sz="0" w:space="0" w:color="auto"/>
      </w:divBdr>
    </w:div>
    <w:div w:id="526334892">
      <w:bodyDiv w:val="1"/>
      <w:marLeft w:val="0"/>
      <w:marRight w:val="0"/>
      <w:marTop w:val="0"/>
      <w:marBottom w:val="0"/>
      <w:divBdr>
        <w:top w:val="none" w:sz="0" w:space="0" w:color="auto"/>
        <w:left w:val="none" w:sz="0" w:space="0" w:color="auto"/>
        <w:bottom w:val="none" w:sz="0" w:space="0" w:color="auto"/>
        <w:right w:val="none" w:sz="0" w:space="0" w:color="auto"/>
      </w:divBdr>
    </w:div>
    <w:div w:id="669213691">
      <w:bodyDiv w:val="1"/>
      <w:marLeft w:val="0"/>
      <w:marRight w:val="0"/>
      <w:marTop w:val="0"/>
      <w:marBottom w:val="0"/>
      <w:divBdr>
        <w:top w:val="none" w:sz="0" w:space="0" w:color="auto"/>
        <w:left w:val="none" w:sz="0" w:space="0" w:color="auto"/>
        <w:bottom w:val="none" w:sz="0" w:space="0" w:color="auto"/>
        <w:right w:val="none" w:sz="0" w:space="0" w:color="auto"/>
      </w:divBdr>
    </w:div>
    <w:div w:id="1014186042">
      <w:bodyDiv w:val="1"/>
      <w:marLeft w:val="0"/>
      <w:marRight w:val="0"/>
      <w:marTop w:val="0"/>
      <w:marBottom w:val="0"/>
      <w:divBdr>
        <w:top w:val="none" w:sz="0" w:space="0" w:color="auto"/>
        <w:left w:val="none" w:sz="0" w:space="0" w:color="auto"/>
        <w:bottom w:val="none" w:sz="0" w:space="0" w:color="auto"/>
        <w:right w:val="none" w:sz="0" w:space="0" w:color="auto"/>
      </w:divBdr>
      <w:divsChild>
        <w:div w:id="1978605788">
          <w:marLeft w:val="0"/>
          <w:marRight w:val="0"/>
          <w:marTop w:val="0"/>
          <w:marBottom w:val="0"/>
          <w:divBdr>
            <w:top w:val="none" w:sz="0" w:space="0" w:color="auto"/>
            <w:left w:val="none" w:sz="0" w:space="0" w:color="auto"/>
            <w:bottom w:val="none" w:sz="0" w:space="0" w:color="auto"/>
            <w:right w:val="none" w:sz="0" w:space="0" w:color="auto"/>
          </w:divBdr>
        </w:div>
      </w:divsChild>
    </w:div>
    <w:div w:id="1538348903">
      <w:bodyDiv w:val="1"/>
      <w:marLeft w:val="0"/>
      <w:marRight w:val="0"/>
      <w:marTop w:val="0"/>
      <w:marBottom w:val="0"/>
      <w:divBdr>
        <w:top w:val="none" w:sz="0" w:space="0" w:color="auto"/>
        <w:left w:val="none" w:sz="0" w:space="0" w:color="auto"/>
        <w:bottom w:val="none" w:sz="0" w:space="0" w:color="auto"/>
        <w:right w:val="none" w:sz="0" w:space="0" w:color="auto"/>
      </w:divBdr>
      <w:divsChild>
        <w:div w:id="1066999375">
          <w:marLeft w:val="0"/>
          <w:marRight w:val="0"/>
          <w:marTop w:val="0"/>
          <w:marBottom w:val="0"/>
          <w:divBdr>
            <w:top w:val="none" w:sz="0" w:space="0" w:color="auto"/>
            <w:left w:val="none" w:sz="0" w:space="0" w:color="auto"/>
            <w:bottom w:val="none" w:sz="0" w:space="0" w:color="auto"/>
            <w:right w:val="none" w:sz="0" w:space="0" w:color="auto"/>
          </w:divBdr>
          <w:divsChild>
            <w:div w:id="478544027">
              <w:marLeft w:val="0"/>
              <w:marRight w:val="0"/>
              <w:marTop w:val="0"/>
              <w:marBottom w:val="0"/>
              <w:divBdr>
                <w:top w:val="none" w:sz="0" w:space="0" w:color="auto"/>
                <w:left w:val="none" w:sz="0" w:space="0" w:color="auto"/>
                <w:bottom w:val="none" w:sz="0" w:space="0" w:color="auto"/>
                <w:right w:val="none" w:sz="0" w:space="0" w:color="auto"/>
              </w:divBdr>
              <w:divsChild>
                <w:div w:id="459685066">
                  <w:marLeft w:val="0"/>
                  <w:marRight w:val="0"/>
                  <w:marTop w:val="0"/>
                  <w:marBottom w:val="0"/>
                  <w:divBdr>
                    <w:top w:val="none" w:sz="0" w:space="0" w:color="auto"/>
                    <w:left w:val="none" w:sz="0" w:space="0" w:color="auto"/>
                    <w:bottom w:val="none" w:sz="0" w:space="0" w:color="auto"/>
                    <w:right w:val="none" w:sz="0" w:space="0" w:color="auto"/>
                  </w:divBdr>
                  <w:divsChild>
                    <w:div w:id="5849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89456">
      <w:bodyDiv w:val="1"/>
      <w:marLeft w:val="0"/>
      <w:marRight w:val="0"/>
      <w:marTop w:val="0"/>
      <w:marBottom w:val="0"/>
      <w:divBdr>
        <w:top w:val="none" w:sz="0" w:space="0" w:color="auto"/>
        <w:left w:val="none" w:sz="0" w:space="0" w:color="auto"/>
        <w:bottom w:val="none" w:sz="0" w:space="0" w:color="auto"/>
        <w:right w:val="none" w:sz="0" w:space="0" w:color="auto"/>
      </w:divBdr>
    </w:div>
    <w:div w:id="1817264143">
      <w:bodyDiv w:val="1"/>
      <w:marLeft w:val="0"/>
      <w:marRight w:val="0"/>
      <w:marTop w:val="0"/>
      <w:marBottom w:val="0"/>
      <w:divBdr>
        <w:top w:val="none" w:sz="0" w:space="0" w:color="auto"/>
        <w:left w:val="none" w:sz="0" w:space="0" w:color="auto"/>
        <w:bottom w:val="none" w:sz="0" w:space="0" w:color="auto"/>
        <w:right w:val="none" w:sz="0" w:space="0" w:color="auto"/>
      </w:divBdr>
    </w:div>
    <w:div w:id="2044554915">
      <w:bodyDiv w:val="1"/>
      <w:marLeft w:val="0"/>
      <w:marRight w:val="0"/>
      <w:marTop w:val="0"/>
      <w:marBottom w:val="0"/>
      <w:divBdr>
        <w:top w:val="none" w:sz="0" w:space="0" w:color="auto"/>
        <w:left w:val="none" w:sz="0" w:space="0" w:color="auto"/>
        <w:bottom w:val="none" w:sz="0" w:space="0" w:color="auto"/>
        <w:right w:val="none" w:sz="0" w:space="0" w:color="auto"/>
      </w:divBdr>
      <w:divsChild>
        <w:div w:id="1681007138">
          <w:marLeft w:val="0"/>
          <w:marRight w:val="0"/>
          <w:marTop w:val="0"/>
          <w:marBottom w:val="0"/>
          <w:divBdr>
            <w:top w:val="none" w:sz="0" w:space="0" w:color="auto"/>
            <w:left w:val="none" w:sz="0" w:space="0" w:color="auto"/>
            <w:bottom w:val="none" w:sz="0" w:space="0" w:color="auto"/>
            <w:right w:val="none" w:sz="0" w:space="0" w:color="auto"/>
          </w:divBdr>
        </w:div>
        <w:div w:id="45613366">
          <w:marLeft w:val="0"/>
          <w:marRight w:val="0"/>
          <w:marTop w:val="0"/>
          <w:marBottom w:val="0"/>
          <w:divBdr>
            <w:top w:val="none" w:sz="0" w:space="0" w:color="auto"/>
            <w:left w:val="none" w:sz="0" w:space="0" w:color="auto"/>
            <w:bottom w:val="none" w:sz="0" w:space="0" w:color="auto"/>
            <w:right w:val="none" w:sz="0" w:space="0" w:color="auto"/>
          </w:divBdr>
        </w:div>
        <w:div w:id="147744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freeports-bidding-prospectus" TargetMode="External"/><Relationship Id="rId18" Type="http://schemas.openxmlformats.org/officeDocument/2006/relationships/hyperlink" Target="https://www.lse.ac.uk/granthaminstitute/publication/what-does-an-eu-carbon-border-adjustment-mechanism-mean-for-the-uk/" TargetMode="External"/><Relationship Id="rId26" Type="http://schemas.openxmlformats.org/officeDocument/2006/relationships/hyperlink" Target="https://openknowledge.worldbank.org/handle/10986/24921" TargetMode="External"/><Relationship Id="rId3" Type="http://schemas.openxmlformats.org/officeDocument/2006/relationships/customXml" Target="../customXml/item3.xml"/><Relationship Id="rId21" Type="http://schemas.openxmlformats.org/officeDocument/2006/relationships/hyperlink" Target="https://engagedscholarship.csuohio.edu/gblr/vol4/iss1/4/" TargetMode="External"/><Relationship Id="rId7" Type="http://schemas.openxmlformats.org/officeDocument/2006/relationships/webSettings" Target="webSettings.xml"/><Relationship Id="rId12" Type="http://schemas.openxmlformats.org/officeDocument/2006/relationships/hyperlink" Target="https://www.liverpoollep.org/news/freeport-for-liverpool-city-region-will-create-14000-jobs/" TargetMode="External"/><Relationship Id="rId17" Type="http://schemas.openxmlformats.org/officeDocument/2006/relationships/hyperlink" Target="https://www.theccc.org.uk/wp-content/uploads/2020/12/Policies-for-the-Sixth-Carbon-Budget-and-Net-Zero.pdf" TargetMode="External"/><Relationship Id="rId25" Type="http://schemas.openxmlformats.org/officeDocument/2006/relationships/hyperlink" Target="https://unctad.org/system/files/official-document/WIR2019_CH4.pdf" TargetMode="External"/><Relationship Id="rId2" Type="http://schemas.openxmlformats.org/officeDocument/2006/relationships/customXml" Target="../customXml/item2.xml"/><Relationship Id="rId16" Type="http://schemas.openxmlformats.org/officeDocument/2006/relationships/hyperlink" Target="https://www.teesworks.co.uk/the-development/zones/net-zero-teesside" TargetMode="External"/><Relationship Id="rId20" Type="http://schemas.openxmlformats.org/officeDocument/2006/relationships/hyperlink" Target="https://www.europarl.europa.eu/cmsdata/155721/EPRS_STUD_627114_Money%20laundering-FINAL.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northernecho.co.uk/news/19132397.teesside-awarded-biggest-freeport-promise-tsunami-jobs/" TargetMode="External"/><Relationship Id="rId24" Type="http://schemas.openxmlformats.org/officeDocument/2006/relationships/hyperlink" Target="https://livrepository.liverpool.ac.uk/2054361/1/Monaghan%20North%20Southern%202016.pdf" TargetMode="External"/><Relationship Id="rId5" Type="http://schemas.openxmlformats.org/officeDocument/2006/relationships/styles" Target="styles.xml"/><Relationship Id="rId15" Type="http://schemas.openxmlformats.org/officeDocument/2006/relationships/hyperlink" Target="https://protium.green/news/protium-to-build-40mw-flagship-green-hydrogen-project-in-teesside" TargetMode="External"/><Relationship Id="rId23" Type="http://schemas.openxmlformats.org/officeDocument/2006/relationships/hyperlink" Target="https://openknowledge.worldbank.org/handle/10986/21854" TargetMode="External"/><Relationship Id="rId28" Type="http://schemas.openxmlformats.org/officeDocument/2006/relationships/fontTable" Target="fontTable.xml"/><Relationship Id="rId10" Type="http://schemas.openxmlformats.org/officeDocument/2006/relationships/hyperlink" Target="https://commonslibrary.parliament.uk/research-briefings/cbp-8823/" TargetMode="External"/><Relationship Id="rId19" Type="http://schemas.openxmlformats.org/officeDocument/2006/relationships/hyperlink" Target="https://static.rusi.org/27042020_freeports_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rive.google.com/file/d/1fOYf8_PHkTwjg-FPMMKU4mNMPTzIiXE4/view" TargetMode="External"/><Relationship Id="rId22" Type="http://schemas.openxmlformats.org/officeDocument/2006/relationships/hyperlink" Target="https://documents1.worldbank.org/curated/en/343901468330977533/pdf/458690WP0Box331s0April200801PUBLIC1.pdf" TargetMode="External"/><Relationship Id="rId27"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5EAA78F36E442A3DC9AD8730AB5F9" ma:contentTypeVersion="14" ma:contentTypeDescription="Create a new document." ma:contentTypeScope="" ma:versionID="0fc9f6afbc6679fff1e7fd8c1b0661a5">
  <xsd:schema xmlns:xsd="http://www.w3.org/2001/XMLSchema" xmlns:xs="http://www.w3.org/2001/XMLSchema" xmlns:p="http://schemas.microsoft.com/office/2006/metadata/properties" xmlns:ns3="ca0d4c65-b355-43f5-87b4-747b815d620c" xmlns:ns4="a3c734fc-1436-4edf-bb5f-42c829bca70b" targetNamespace="http://schemas.microsoft.com/office/2006/metadata/properties" ma:root="true" ma:fieldsID="6211cad6a821c4188d6b630852cb38ba" ns3:_="" ns4:_="">
    <xsd:import namespace="ca0d4c65-b355-43f5-87b4-747b815d620c"/>
    <xsd:import namespace="a3c734fc-1436-4edf-bb5f-42c829bca7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d4c65-b355-43f5-87b4-747b815d6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c734fc-1436-4edf-bb5f-42c829bca7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56549-5E6E-481D-AB89-001B8A47C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d4c65-b355-43f5-87b4-747b815d620c"/>
    <ds:schemaRef ds:uri="a3c734fc-1436-4edf-bb5f-42c829bca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48BB4-CE1F-4F41-BB2C-7C58117CD291}">
  <ds:schemaRefs>
    <ds:schemaRef ds:uri="http://schemas.microsoft.com/sharepoint/v3/contenttype/forms"/>
  </ds:schemaRefs>
</ds:datastoreItem>
</file>

<file path=customXml/itemProps3.xml><?xml version="1.0" encoding="utf-8"?>
<ds:datastoreItem xmlns:ds="http://schemas.openxmlformats.org/officeDocument/2006/customXml" ds:itemID="{0C808CBF-1FD2-4DC4-9D58-A363C0E65C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3409</Words>
  <Characters>19434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Yuille, Andy</dc:creator>
  <cp:keywords/>
  <dc:description/>
  <cp:lastModifiedBy>Yuille, Andy</cp:lastModifiedBy>
  <cp:revision>2</cp:revision>
  <dcterms:created xsi:type="dcterms:W3CDTF">2021-10-25T11:04:00Z</dcterms:created>
  <dcterms:modified xsi:type="dcterms:W3CDTF">2021-10-25T11:04:00Z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0x0101007235EAA78F36E442A3DC9AD8730AB5F9</vt:lpwstr>
  </property>
</Properties>
</file>