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8CE5" w14:textId="77777777" w:rsidR="006A0C34" w:rsidRPr="003704AC" w:rsidRDefault="00EB31E1">
      <w:pPr>
        <w:spacing w:line="480" w:lineRule="auto"/>
      </w:pPr>
      <w:r w:rsidRPr="003704AC">
        <w:t>Running Head: MEAT-FREE PLEDGE WITH SMARTPHONES</w:t>
      </w:r>
    </w:p>
    <w:p w14:paraId="302B1844" w14:textId="77777777" w:rsidR="006A0C34" w:rsidRPr="003704AC" w:rsidRDefault="006A0C34">
      <w:pPr>
        <w:spacing w:line="480" w:lineRule="auto"/>
        <w:rPr>
          <w:b/>
        </w:rPr>
      </w:pPr>
    </w:p>
    <w:p w14:paraId="004EB1D6" w14:textId="77777777" w:rsidR="006A0C34" w:rsidRPr="003704AC" w:rsidRDefault="00EB31E1">
      <w:pPr>
        <w:spacing w:line="480" w:lineRule="auto"/>
        <w:jc w:val="center"/>
        <w:rPr>
          <w:u w:val="single"/>
        </w:rPr>
      </w:pPr>
      <w:r w:rsidRPr="003704AC">
        <w:rPr>
          <w:b/>
        </w:rPr>
        <w:t>Monitoring a Meat-Free Pledge with Smartphones: An Experimental Study</w:t>
      </w:r>
    </w:p>
    <w:p w14:paraId="66091D01" w14:textId="77777777" w:rsidR="006A0C34" w:rsidRPr="003704AC" w:rsidRDefault="006A0C34">
      <w:pPr>
        <w:spacing w:line="480" w:lineRule="auto"/>
        <w:rPr>
          <w:u w:val="single"/>
        </w:rPr>
      </w:pPr>
    </w:p>
    <w:p w14:paraId="06AAAD66" w14:textId="77777777" w:rsidR="006A0C34" w:rsidRPr="003704AC" w:rsidRDefault="00EB31E1">
      <w:pPr>
        <w:spacing w:line="480" w:lineRule="auto"/>
        <w:jc w:val="center"/>
      </w:pPr>
      <w:r w:rsidRPr="003704AC">
        <w:t>Jared Piazza</w:t>
      </w:r>
      <w:r w:rsidRPr="003704AC">
        <w:rPr>
          <w:vertAlign w:val="superscript"/>
        </w:rPr>
        <w:t>1</w:t>
      </w:r>
      <w:r w:rsidRPr="003704AC">
        <w:t xml:space="preserve"> </w:t>
      </w:r>
    </w:p>
    <w:p w14:paraId="5CCAD17C" w14:textId="77777777" w:rsidR="006A0C34" w:rsidRPr="003704AC" w:rsidRDefault="00EB31E1">
      <w:pPr>
        <w:spacing w:line="480" w:lineRule="auto"/>
        <w:jc w:val="center"/>
      </w:pPr>
      <w:r w:rsidRPr="003704AC">
        <w:t>Rebecca Gregson</w:t>
      </w:r>
      <w:r w:rsidRPr="003704AC">
        <w:rPr>
          <w:vertAlign w:val="superscript"/>
        </w:rPr>
        <w:t>1</w:t>
      </w:r>
      <w:r w:rsidRPr="003704AC">
        <w:t xml:space="preserve"> </w:t>
      </w:r>
    </w:p>
    <w:p w14:paraId="6BD35B0F" w14:textId="77777777" w:rsidR="006A0C34" w:rsidRPr="003704AC" w:rsidRDefault="00EB31E1">
      <w:pPr>
        <w:spacing w:line="480" w:lineRule="auto"/>
        <w:jc w:val="center"/>
      </w:pPr>
      <w:r w:rsidRPr="003704AC">
        <w:t>Anastasia Kordoni</w:t>
      </w:r>
      <w:r w:rsidRPr="003704AC">
        <w:rPr>
          <w:vertAlign w:val="superscript"/>
        </w:rPr>
        <w:t>1</w:t>
      </w:r>
      <w:r w:rsidRPr="003704AC">
        <w:t xml:space="preserve"> </w:t>
      </w:r>
    </w:p>
    <w:p w14:paraId="26594690" w14:textId="77777777" w:rsidR="006A0C34" w:rsidRPr="003704AC" w:rsidRDefault="00EB31E1">
      <w:pPr>
        <w:spacing w:line="480" w:lineRule="auto"/>
        <w:jc w:val="center"/>
      </w:pPr>
      <w:r w:rsidRPr="003704AC">
        <w:t>Tamara M. Pfeiler</w:t>
      </w:r>
      <w:r w:rsidRPr="003704AC">
        <w:rPr>
          <w:vertAlign w:val="superscript"/>
        </w:rPr>
        <w:t>2</w:t>
      </w:r>
    </w:p>
    <w:p w14:paraId="49F4BC62" w14:textId="77777777" w:rsidR="006A0C34" w:rsidRPr="003704AC" w:rsidRDefault="00EB31E1">
      <w:pPr>
        <w:spacing w:line="480" w:lineRule="auto"/>
        <w:jc w:val="center"/>
      </w:pPr>
      <w:r w:rsidRPr="003704AC">
        <w:t xml:space="preserve"> Matthew B. Ruby</w:t>
      </w:r>
      <w:r w:rsidRPr="003704AC">
        <w:rPr>
          <w:vertAlign w:val="superscript"/>
        </w:rPr>
        <w:t>3</w:t>
      </w:r>
    </w:p>
    <w:p w14:paraId="4CEBCCAC" w14:textId="77777777" w:rsidR="006A0C34" w:rsidRPr="003704AC" w:rsidRDefault="00EB31E1">
      <w:pPr>
        <w:spacing w:line="480" w:lineRule="auto"/>
        <w:jc w:val="center"/>
      </w:pPr>
      <w:r w:rsidRPr="003704AC">
        <w:t xml:space="preserve"> David A. Ellis</w:t>
      </w:r>
      <w:r w:rsidRPr="003704AC">
        <w:rPr>
          <w:vertAlign w:val="superscript"/>
        </w:rPr>
        <w:t>4</w:t>
      </w:r>
    </w:p>
    <w:p w14:paraId="0D17D0DB" w14:textId="77777777" w:rsidR="006A0C34" w:rsidRPr="003704AC" w:rsidRDefault="00EB31E1">
      <w:pPr>
        <w:spacing w:line="480" w:lineRule="auto"/>
        <w:jc w:val="center"/>
      </w:pPr>
      <w:r w:rsidRPr="003704AC">
        <w:t xml:space="preserve"> </w:t>
      </w:r>
      <w:proofErr w:type="spellStart"/>
      <w:r w:rsidRPr="003704AC">
        <w:t>Ensu</w:t>
      </w:r>
      <w:proofErr w:type="spellEnd"/>
      <w:r w:rsidRPr="003704AC">
        <w:t xml:space="preserve"> Sahin</w:t>
      </w:r>
      <w:r w:rsidRPr="003704AC">
        <w:rPr>
          <w:vertAlign w:val="superscript"/>
        </w:rPr>
        <w:t>3</w:t>
      </w:r>
    </w:p>
    <w:p w14:paraId="65B42A63" w14:textId="77777777" w:rsidR="006A0C34" w:rsidRPr="003704AC" w:rsidRDefault="00EB31E1">
      <w:pPr>
        <w:spacing w:line="480" w:lineRule="auto"/>
        <w:jc w:val="center"/>
      </w:pPr>
      <w:r w:rsidRPr="003704AC">
        <w:t xml:space="preserve"> and </w:t>
      </w:r>
    </w:p>
    <w:p w14:paraId="4BCB0715" w14:textId="77777777" w:rsidR="006A0C34" w:rsidRPr="003704AC" w:rsidRDefault="00EB31E1">
      <w:pPr>
        <w:spacing w:line="480" w:lineRule="auto"/>
        <w:jc w:val="center"/>
        <w:rPr>
          <w:vertAlign w:val="superscript"/>
        </w:rPr>
      </w:pPr>
      <w:r w:rsidRPr="003704AC">
        <w:t>Maren Reith</w:t>
      </w:r>
      <w:r w:rsidRPr="003704AC">
        <w:rPr>
          <w:vertAlign w:val="superscript"/>
        </w:rPr>
        <w:t>2</w:t>
      </w:r>
    </w:p>
    <w:p w14:paraId="46DB98C7" w14:textId="77777777" w:rsidR="006A0C34" w:rsidRPr="003704AC" w:rsidRDefault="006A0C34">
      <w:pPr>
        <w:spacing w:line="480" w:lineRule="auto"/>
        <w:jc w:val="center"/>
      </w:pPr>
    </w:p>
    <w:p w14:paraId="7180F690" w14:textId="77777777" w:rsidR="006A0C34" w:rsidRPr="003704AC" w:rsidRDefault="00EB31E1">
      <w:pPr>
        <w:spacing w:line="480" w:lineRule="auto"/>
        <w:jc w:val="center"/>
      </w:pPr>
      <w:r w:rsidRPr="003704AC">
        <w:rPr>
          <w:vertAlign w:val="superscript"/>
        </w:rPr>
        <w:t>1</w:t>
      </w:r>
      <w:r w:rsidRPr="003704AC">
        <w:t>Lancaster University, Department of Psychology, Lancaster, LA1 4YF, UK</w:t>
      </w:r>
    </w:p>
    <w:p w14:paraId="7B7FDE35" w14:textId="77777777" w:rsidR="006A0C34" w:rsidRPr="003704AC" w:rsidRDefault="00EB31E1">
      <w:pPr>
        <w:spacing w:line="480" w:lineRule="auto"/>
        <w:jc w:val="center"/>
        <w:rPr>
          <w:vertAlign w:val="superscript"/>
        </w:rPr>
      </w:pPr>
      <w:r w:rsidRPr="003704AC">
        <w:rPr>
          <w:vertAlign w:val="superscript"/>
        </w:rPr>
        <w:t>2</w:t>
      </w:r>
      <w:r w:rsidRPr="003704AC">
        <w:t>Johannes Gutenberg-Universität Mainz, Department of Psychology, Binger Str. 14-16, 55099 Mainz, Germany</w:t>
      </w:r>
    </w:p>
    <w:p w14:paraId="737C86AB" w14:textId="77777777" w:rsidR="006A0C34" w:rsidRPr="003704AC" w:rsidRDefault="00EB31E1">
      <w:pPr>
        <w:spacing w:line="480" w:lineRule="auto"/>
        <w:jc w:val="center"/>
      </w:pPr>
      <w:r w:rsidRPr="003704AC">
        <w:rPr>
          <w:vertAlign w:val="superscript"/>
        </w:rPr>
        <w:t>3</w:t>
      </w:r>
      <w:r w:rsidRPr="003704AC">
        <w:t>La Trobe University, School of Psychology and Public Health, Wodonga VIC 3690, Australia</w:t>
      </w:r>
    </w:p>
    <w:p w14:paraId="0B475239" w14:textId="77777777" w:rsidR="006A0C34" w:rsidRPr="003704AC" w:rsidRDefault="00EB31E1">
      <w:pPr>
        <w:spacing w:line="480" w:lineRule="auto"/>
        <w:jc w:val="center"/>
      </w:pPr>
      <w:r w:rsidRPr="003704AC">
        <w:rPr>
          <w:vertAlign w:val="superscript"/>
        </w:rPr>
        <w:t>4</w:t>
      </w:r>
      <w:r w:rsidRPr="003704AC">
        <w:t xml:space="preserve">University of Bath, School of Management, </w:t>
      </w:r>
      <w:proofErr w:type="spellStart"/>
      <w:r w:rsidRPr="003704AC">
        <w:t>Claverton</w:t>
      </w:r>
      <w:proofErr w:type="spellEnd"/>
      <w:r w:rsidRPr="003704AC">
        <w:t xml:space="preserve"> Down Rd, </w:t>
      </w:r>
      <w:proofErr w:type="spellStart"/>
      <w:r w:rsidRPr="003704AC">
        <w:t>Claverton</w:t>
      </w:r>
      <w:proofErr w:type="spellEnd"/>
      <w:r w:rsidRPr="003704AC">
        <w:t xml:space="preserve"> Down, Bath, BA2 7AY, UK</w:t>
      </w:r>
    </w:p>
    <w:p w14:paraId="4A2A112D" w14:textId="77777777" w:rsidR="006A0C34" w:rsidRPr="003704AC" w:rsidRDefault="006A0C34">
      <w:pPr>
        <w:spacing w:line="480" w:lineRule="auto"/>
        <w:jc w:val="center"/>
      </w:pPr>
    </w:p>
    <w:p w14:paraId="4AE1B53A" w14:textId="52B5974E" w:rsidR="006A0C34" w:rsidRPr="003704AC" w:rsidRDefault="00EB31E1">
      <w:pPr>
        <w:spacing w:line="480" w:lineRule="auto"/>
        <w:jc w:val="center"/>
      </w:pPr>
      <w:r w:rsidRPr="003704AC">
        <w:t xml:space="preserve">Current </w:t>
      </w:r>
      <w:r w:rsidR="0058443A">
        <w:t xml:space="preserve">accepted </w:t>
      </w:r>
      <w:r w:rsidRPr="003704AC">
        <w:t xml:space="preserve">draft: </w:t>
      </w:r>
      <w:r w:rsidR="007D15BA" w:rsidRPr="0058443A">
        <w:t>1</w:t>
      </w:r>
      <w:r w:rsidR="002F6B21" w:rsidRPr="0058443A">
        <w:t xml:space="preserve"> </w:t>
      </w:r>
      <w:r w:rsidR="007D15BA" w:rsidRPr="0058443A">
        <w:t>October</w:t>
      </w:r>
      <w:r w:rsidRPr="0058443A">
        <w:t>, 202</w:t>
      </w:r>
      <w:r w:rsidR="002F6B21" w:rsidRPr="0058443A">
        <w:t>1</w:t>
      </w:r>
    </w:p>
    <w:p w14:paraId="4FF24FA8" w14:textId="77777777" w:rsidR="006A0C34" w:rsidRPr="003704AC" w:rsidRDefault="006A0C34">
      <w:pPr>
        <w:spacing w:line="480" w:lineRule="auto"/>
      </w:pPr>
    </w:p>
    <w:p w14:paraId="1DE6B4DA" w14:textId="142FFE52" w:rsidR="006A0C34" w:rsidRPr="003704AC" w:rsidRDefault="00EB31E1">
      <w:pPr>
        <w:spacing w:line="480" w:lineRule="auto"/>
      </w:pPr>
      <w:r w:rsidRPr="003704AC">
        <w:rPr>
          <w:b/>
        </w:rPr>
        <w:t xml:space="preserve">Word count: </w:t>
      </w:r>
      <w:r w:rsidR="00BE0568" w:rsidRPr="0058443A">
        <w:t>9</w:t>
      </w:r>
      <w:r w:rsidR="00392C2F" w:rsidRPr="0058443A">
        <w:t>103</w:t>
      </w:r>
    </w:p>
    <w:p w14:paraId="36B4DA59" w14:textId="77777777" w:rsidR="006A0C34" w:rsidRPr="003704AC" w:rsidRDefault="006A0C34">
      <w:pPr>
        <w:rPr>
          <w:b/>
        </w:rPr>
      </w:pPr>
    </w:p>
    <w:p w14:paraId="5329694A" w14:textId="77777777" w:rsidR="006A0C34" w:rsidRPr="003704AC" w:rsidRDefault="006A0C34">
      <w:pPr>
        <w:rPr>
          <w:b/>
        </w:rPr>
      </w:pPr>
    </w:p>
    <w:p w14:paraId="76B9175E" w14:textId="77777777" w:rsidR="006A0C34" w:rsidRPr="003704AC" w:rsidRDefault="00EB31E1">
      <w:pPr>
        <w:spacing w:line="480" w:lineRule="auto"/>
        <w:jc w:val="center"/>
        <w:rPr>
          <w:b/>
        </w:rPr>
      </w:pPr>
      <w:r w:rsidRPr="003704AC">
        <w:rPr>
          <w:b/>
        </w:rPr>
        <w:t>Author Note</w:t>
      </w:r>
    </w:p>
    <w:p w14:paraId="35C26909" w14:textId="77777777" w:rsidR="006A0C34" w:rsidRPr="003704AC" w:rsidRDefault="00EB31E1">
      <w:pPr>
        <w:spacing w:line="480" w:lineRule="auto"/>
        <w:ind w:firstLine="720"/>
      </w:pPr>
      <w:r w:rsidRPr="003704AC">
        <w:t xml:space="preserve">This work was supported by a grant to Jared Piazza, David Ellis, Tamara </w:t>
      </w:r>
      <w:proofErr w:type="spellStart"/>
      <w:r w:rsidRPr="003704AC">
        <w:t>Pfeiler</w:t>
      </w:r>
      <w:proofErr w:type="spellEnd"/>
      <w:r w:rsidRPr="003704AC">
        <w:t xml:space="preserve">, and Matthew Ruby, from Animal Charity Evaluators’ Animal Advocacy Research Fund. Ethics approval was obtained at all three recruitment sites, including Lancaster University, Johannes Gutenberg-Universität Mainz, and La Trobe University. All participants gave informed consent before taking part. Correspondence concerning this article should be addressed to Jared Piazza, Lancaster University, Department of Psychology, Lancaster, LA1 4YF, UK. E-mail: </w:t>
      </w:r>
      <w:hyperlink r:id="rId7">
        <w:r w:rsidRPr="003704AC">
          <w:rPr>
            <w:color w:val="0000FF"/>
            <w:u w:val="single"/>
          </w:rPr>
          <w:t>j.piazza@lancaster.ac.uk</w:t>
        </w:r>
      </w:hyperlink>
      <w:r w:rsidRPr="003704AC">
        <w:t xml:space="preserve">  </w:t>
      </w:r>
    </w:p>
    <w:p w14:paraId="7E4449B8" w14:textId="77777777" w:rsidR="006A0C34" w:rsidRPr="003704AC" w:rsidRDefault="006A0C34">
      <w:pPr>
        <w:spacing w:line="480" w:lineRule="auto"/>
        <w:ind w:firstLine="720"/>
      </w:pPr>
    </w:p>
    <w:p w14:paraId="1CCD14AD" w14:textId="77777777" w:rsidR="006A0C34" w:rsidRPr="003704AC" w:rsidRDefault="006A0C34">
      <w:pPr>
        <w:spacing w:line="480" w:lineRule="auto"/>
        <w:jc w:val="center"/>
      </w:pPr>
    </w:p>
    <w:p w14:paraId="029EFC01" w14:textId="77777777" w:rsidR="006A0C34" w:rsidRPr="003704AC" w:rsidRDefault="006A0C34">
      <w:pPr>
        <w:spacing w:line="480" w:lineRule="auto"/>
        <w:rPr>
          <w:b/>
        </w:rPr>
      </w:pPr>
    </w:p>
    <w:p w14:paraId="28366CF6" w14:textId="77777777" w:rsidR="006A0C34" w:rsidRPr="003704AC" w:rsidRDefault="006A0C34">
      <w:pPr>
        <w:spacing w:line="480" w:lineRule="auto"/>
        <w:rPr>
          <w:b/>
        </w:rPr>
      </w:pPr>
    </w:p>
    <w:p w14:paraId="4AFECE7E" w14:textId="77777777" w:rsidR="006A0C34" w:rsidRPr="003704AC" w:rsidRDefault="006A0C34">
      <w:pPr>
        <w:spacing w:line="480" w:lineRule="auto"/>
        <w:rPr>
          <w:b/>
        </w:rPr>
      </w:pPr>
    </w:p>
    <w:p w14:paraId="2C44A04D" w14:textId="77777777" w:rsidR="006A0C34" w:rsidRPr="003704AC" w:rsidRDefault="006A0C34">
      <w:pPr>
        <w:spacing w:line="480" w:lineRule="auto"/>
        <w:rPr>
          <w:b/>
        </w:rPr>
      </w:pPr>
    </w:p>
    <w:p w14:paraId="5FC66C5C" w14:textId="77777777" w:rsidR="006A0C34" w:rsidRPr="003704AC" w:rsidRDefault="006A0C34">
      <w:pPr>
        <w:spacing w:line="480" w:lineRule="auto"/>
        <w:rPr>
          <w:b/>
        </w:rPr>
      </w:pPr>
    </w:p>
    <w:p w14:paraId="5A37DCB6" w14:textId="77777777" w:rsidR="006A0C34" w:rsidRPr="003704AC" w:rsidRDefault="006A0C34">
      <w:pPr>
        <w:spacing w:line="480" w:lineRule="auto"/>
        <w:rPr>
          <w:b/>
        </w:rPr>
      </w:pPr>
    </w:p>
    <w:p w14:paraId="2C1B2369" w14:textId="77777777" w:rsidR="006A0C34" w:rsidRPr="003704AC" w:rsidRDefault="006A0C34">
      <w:pPr>
        <w:spacing w:line="480" w:lineRule="auto"/>
        <w:rPr>
          <w:b/>
        </w:rPr>
      </w:pPr>
    </w:p>
    <w:p w14:paraId="282A3F33" w14:textId="77777777" w:rsidR="006A0C34" w:rsidRPr="003704AC" w:rsidRDefault="00EB31E1">
      <w:pPr>
        <w:rPr>
          <w:b/>
        </w:rPr>
      </w:pPr>
      <w:r w:rsidRPr="003704AC">
        <w:br w:type="page"/>
      </w:r>
    </w:p>
    <w:p w14:paraId="77C74903" w14:textId="77777777" w:rsidR="006A0C34" w:rsidRPr="003704AC" w:rsidRDefault="00EB31E1">
      <w:pPr>
        <w:spacing w:line="480" w:lineRule="auto"/>
        <w:jc w:val="center"/>
        <w:rPr>
          <w:b/>
        </w:rPr>
      </w:pPr>
      <w:r w:rsidRPr="003704AC">
        <w:rPr>
          <w:b/>
        </w:rPr>
        <w:lastRenderedPageBreak/>
        <w:t>Abstract</w:t>
      </w:r>
    </w:p>
    <w:p w14:paraId="3348EEDA" w14:textId="53634270" w:rsidR="006A0C34" w:rsidRPr="003704AC" w:rsidRDefault="00EB31E1">
      <w:pPr>
        <w:spacing w:line="480" w:lineRule="auto"/>
        <w:ind w:firstLine="720"/>
      </w:pPr>
      <w:r w:rsidRPr="003704AC">
        <w:t xml:space="preserve">Pledges are a popular strategy to encourage meat reduction, though experimental studies of their efficacy are lacking. Three-hundred and twenty-five participants from three different countries (UK, Germany, Australia) were randomly assigned to pledge 28 days meat-free or not, and their behavior was tracked via smartphones. Participants answered daily surveys regarding their eating behavior, meat cravings, and shared photos of their meals. Baseline data was collected prior to the pledge, after the 28 days, and </w:t>
      </w:r>
      <w:r w:rsidR="008D6316" w:rsidRPr="003704AC">
        <w:t>one</w:t>
      </w:r>
      <w:r w:rsidRPr="003704AC">
        <w:t>-month post-intervention. Participants assigned to the pledge condition ate less meat across the 28 days,</w:t>
      </w:r>
      <w:r w:rsidR="002F6B21" w:rsidRPr="003704AC">
        <w:t xml:space="preserve"> </w:t>
      </w:r>
      <w:r w:rsidR="002F6B21" w:rsidRPr="0058443A">
        <w:t>compared to control participants.</w:t>
      </w:r>
      <w:r w:rsidRPr="0058443A">
        <w:t xml:space="preserve"> </w:t>
      </w:r>
      <w:r w:rsidR="00562E83" w:rsidRPr="0058443A">
        <w:t>Meat reductions</w:t>
      </w:r>
      <w:r w:rsidR="002F6B21" w:rsidRPr="0058443A">
        <w:t xml:space="preserve">, observed at outtake, did not endure </w:t>
      </w:r>
      <w:r w:rsidR="00B21CDC" w:rsidRPr="0058443A">
        <w:t>one</w:t>
      </w:r>
      <w:r w:rsidR="002F6B21" w:rsidRPr="0058443A">
        <w:t xml:space="preserve">-month </w:t>
      </w:r>
      <w:r w:rsidR="00562E83" w:rsidRPr="0058443A">
        <w:t>post-</w:t>
      </w:r>
      <w:r w:rsidR="002F6B21" w:rsidRPr="0058443A">
        <w:t>intervention</w:t>
      </w:r>
      <w:r w:rsidR="002F6B21" w:rsidRPr="003704AC">
        <w:t xml:space="preserve">. </w:t>
      </w:r>
      <w:r w:rsidRPr="003704AC">
        <w:t>Overall, German participants ate the least amount of meat, and showed the sharpest decrease in consumption when pledging. Meat cravings tended to increase among pledgers, relative to control participants</w:t>
      </w:r>
      <w:r w:rsidR="00A4345A" w:rsidRPr="003704AC">
        <w:t>.</w:t>
      </w:r>
      <w:r w:rsidRPr="003704AC">
        <w:t xml:space="preserve"> </w:t>
      </w:r>
      <w:r w:rsidR="00A4345A" w:rsidRPr="003704AC">
        <w:t>P</w:t>
      </w:r>
      <w:r w:rsidRPr="003704AC">
        <w:t xml:space="preserve">ledgers who reported high starting </w:t>
      </w:r>
      <w:r w:rsidR="002F6B21" w:rsidRPr="0058443A">
        <w:t xml:space="preserve">intentions </w:t>
      </w:r>
      <w:r w:rsidR="009B5DEB" w:rsidRPr="0058443A">
        <w:t>and conflict about meat</w:t>
      </w:r>
      <w:r w:rsidR="009B5DEB" w:rsidRPr="003704AC">
        <w:t xml:space="preserve"> </w:t>
      </w:r>
      <w:r w:rsidRPr="003704AC">
        <w:t xml:space="preserve">tended to </w:t>
      </w:r>
      <w:r w:rsidR="00A4345A" w:rsidRPr="003704AC">
        <w:t>eat less meat</w:t>
      </w:r>
      <w:r w:rsidRPr="003704AC">
        <w:t xml:space="preserve"> and report</w:t>
      </w:r>
      <w:r w:rsidR="00A4345A" w:rsidRPr="003704AC">
        <w:t>ed</w:t>
      </w:r>
      <w:r w:rsidRPr="003704AC">
        <w:t xml:space="preserve"> fewer cravings. </w:t>
      </w:r>
      <w:r w:rsidR="002F6B21" w:rsidRPr="003704AC">
        <w:t>A</w:t>
      </w:r>
      <w:r w:rsidRPr="003704AC">
        <w:t>ll participants reported reduced meat</w:t>
      </w:r>
      <w:r w:rsidR="002F6B21" w:rsidRPr="003704AC">
        <w:t>-eating</w:t>
      </w:r>
      <w:r w:rsidRPr="003704AC">
        <w:t xml:space="preserve"> justifications </w:t>
      </w:r>
      <w:r w:rsidR="00B21CDC" w:rsidRPr="003704AC">
        <w:t>one</w:t>
      </w:r>
      <w:r w:rsidR="002F6B21" w:rsidRPr="003704AC">
        <w:t xml:space="preserve">-month </w:t>
      </w:r>
      <w:r w:rsidRPr="003704AC">
        <w:t xml:space="preserve">post-intervention. These findings provide experimental evidence that pledges can </w:t>
      </w:r>
      <w:r w:rsidR="002F6B21" w:rsidRPr="003704AC">
        <w:t xml:space="preserve">encourage meat </w:t>
      </w:r>
      <w:r w:rsidRPr="003704AC">
        <w:t>consumers to reduce</w:t>
      </w:r>
      <w:r w:rsidR="008D7448" w:rsidRPr="003704AC">
        <w:t xml:space="preserve"> their intake</w:t>
      </w:r>
      <w:r w:rsidRPr="003704AC">
        <w:t>, though additional mechanisms are needed to sustain commitments.</w:t>
      </w:r>
    </w:p>
    <w:p w14:paraId="0FFFF74B" w14:textId="2304FC83" w:rsidR="006A0C34" w:rsidRPr="003704AC" w:rsidRDefault="00EB31E1">
      <w:pPr>
        <w:spacing w:line="480" w:lineRule="auto"/>
      </w:pPr>
      <w:r w:rsidRPr="003704AC">
        <w:rPr>
          <w:b/>
        </w:rPr>
        <w:t>Keywords:</w:t>
      </w:r>
      <w:r w:rsidRPr="003704AC">
        <w:t xml:space="preserve"> meat reduction; pledging; conflicted omnivores; smartphones; experience samplin</w:t>
      </w:r>
      <w:r w:rsidR="008D7448" w:rsidRPr="003704AC">
        <w:t>g</w:t>
      </w:r>
    </w:p>
    <w:p w14:paraId="69BEA068" w14:textId="77777777" w:rsidR="006A0C34" w:rsidRPr="003704AC" w:rsidRDefault="006A0C34">
      <w:pPr>
        <w:spacing w:line="480" w:lineRule="auto"/>
      </w:pPr>
    </w:p>
    <w:p w14:paraId="511C9D68" w14:textId="77777777" w:rsidR="006A0C34" w:rsidRPr="003704AC" w:rsidRDefault="00EB31E1">
      <w:pPr>
        <w:rPr>
          <w:b/>
        </w:rPr>
      </w:pPr>
      <w:r w:rsidRPr="003704AC">
        <w:br w:type="page"/>
      </w:r>
    </w:p>
    <w:p w14:paraId="51CF80A3" w14:textId="77777777" w:rsidR="006A0C34" w:rsidRPr="003704AC" w:rsidRDefault="00EB31E1">
      <w:pPr>
        <w:spacing w:line="480" w:lineRule="auto"/>
        <w:jc w:val="center"/>
        <w:rPr>
          <w:u w:val="single"/>
        </w:rPr>
      </w:pPr>
      <w:r w:rsidRPr="003704AC">
        <w:rPr>
          <w:b/>
        </w:rPr>
        <w:lastRenderedPageBreak/>
        <w:t>Monitoring a Meat-Free Pledge with Smartphones: An Experimental Study</w:t>
      </w:r>
    </w:p>
    <w:p w14:paraId="2086CF99" w14:textId="77777777" w:rsidR="006A0C34" w:rsidRPr="003704AC" w:rsidRDefault="00EB31E1">
      <w:pPr>
        <w:spacing w:line="480" w:lineRule="auto"/>
      </w:pPr>
      <w:r w:rsidRPr="003704AC">
        <w:rPr>
          <w:b/>
        </w:rPr>
        <w:t>1.1 Introduction</w:t>
      </w:r>
    </w:p>
    <w:p w14:paraId="6ED6E703" w14:textId="08BCE0DC" w:rsidR="006A0C34" w:rsidRPr="003704AC" w:rsidRDefault="00EB31E1">
      <w:pPr>
        <w:spacing w:line="480" w:lineRule="auto"/>
        <w:ind w:firstLine="720"/>
      </w:pPr>
      <w:r w:rsidRPr="003704AC">
        <w:rPr>
          <w:color w:val="000000"/>
          <w:shd w:val="clear" w:color="auto" w:fill="FCFCFC"/>
        </w:rPr>
        <w:t xml:space="preserve">For several decades, non-government and government organizations have been calling for global reductions in the consumption of animal products and a greater shift towards plant-based eating to address issues around health, climate change, food waste, animal welfare, and the transmission of zoonotic disease (e.g., </w:t>
      </w:r>
      <w:r w:rsidRPr="003704AC">
        <w:rPr>
          <w:color w:val="000000"/>
        </w:rPr>
        <w:t xml:space="preserve">de Boer et al., 2013; Gerber et al., 2013; </w:t>
      </w:r>
      <w:proofErr w:type="spellStart"/>
      <w:r w:rsidRPr="003704AC">
        <w:rPr>
          <w:color w:val="000000"/>
        </w:rPr>
        <w:t>Mepham</w:t>
      </w:r>
      <w:proofErr w:type="spellEnd"/>
      <w:r w:rsidRPr="003704AC">
        <w:rPr>
          <w:color w:val="000000"/>
        </w:rPr>
        <w:t xml:space="preserve">, 2004; Pan et al., 2011; </w:t>
      </w:r>
      <w:proofErr w:type="spellStart"/>
      <w:r w:rsidRPr="003704AC">
        <w:rPr>
          <w:color w:val="000000"/>
        </w:rPr>
        <w:t>Smil</w:t>
      </w:r>
      <w:proofErr w:type="spellEnd"/>
      <w:r w:rsidRPr="003704AC">
        <w:rPr>
          <w:color w:val="000000"/>
        </w:rPr>
        <w:t>, 2002; Steinfeld et al., 2006;</w:t>
      </w:r>
      <w:r w:rsidRPr="003704AC">
        <w:rPr>
          <w:color w:val="000000"/>
          <w:shd w:val="clear" w:color="auto" w:fill="FCFCFC"/>
        </w:rPr>
        <w:t xml:space="preserve"> Tilman &amp; Clark 2014; </w:t>
      </w:r>
      <w:r w:rsidRPr="0058443A">
        <w:rPr>
          <w:color w:val="000000"/>
          <w:shd w:val="clear" w:color="auto" w:fill="FCFCFC"/>
        </w:rPr>
        <w:t>Wellesley et al. 2015; Willett et al., 2019</w:t>
      </w:r>
      <w:r w:rsidRPr="003704AC">
        <w:rPr>
          <w:color w:val="000000"/>
        </w:rPr>
        <w:t xml:space="preserve">). Understanding how such a transition can be implemented is of increasing interest to policy makers, market researchers, and social scientists. </w:t>
      </w:r>
      <w:r w:rsidRPr="0058443A">
        <w:rPr>
          <w:color w:val="000000"/>
        </w:rPr>
        <w:t xml:space="preserve">In the present study, smartphone-based experience sampling was used to investigate the efficacy of pledging as a vehicle for promoting meat reduction. </w:t>
      </w:r>
      <w:r w:rsidR="00562E83" w:rsidRPr="0058443A">
        <w:rPr>
          <w:color w:val="000000"/>
        </w:rPr>
        <w:t>A</w:t>
      </w:r>
      <w:r w:rsidRPr="0058443A">
        <w:rPr>
          <w:color w:val="000000"/>
        </w:rPr>
        <w:t>dditionally</w:t>
      </w:r>
      <w:r w:rsidR="00562E83" w:rsidRPr="0058443A">
        <w:rPr>
          <w:color w:val="000000"/>
        </w:rPr>
        <w:t>,</w:t>
      </w:r>
      <w:r w:rsidRPr="0058443A">
        <w:rPr>
          <w:color w:val="000000"/>
        </w:rPr>
        <w:t xml:space="preserve"> </w:t>
      </w:r>
      <w:r w:rsidR="00562E83" w:rsidRPr="0058443A">
        <w:rPr>
          <w:color w:val="000000"/>
        </w:rPr>
        <w:t>the</w:t>
      </w:r>
      <w:r w:rsidRPr="0058443A">
        <w:rPr>
          <w:color w:val="000000"/>
        </w:rPr>
        <w:t xml:space="preserve"> intervention </w:t>
      </w:r>
      <w:r w:rsidR="00562E83" w:rsidRPr="0058443A">
        <w:rPr>
          <w:color w:val="000000"/>
        </w:rPr>
        <w:t xml:space="preserve">was tested in relation to </w:t>
      </w:r>
      <w:r w:rsidRPr="0058443A">
        <w:rPr>
          <w:color w:val="000000"/>
        </w:rPr>
        <w:t xml:space="preserve">individual differences in </w:t>
      </w:r>
      <w:r w:rsidR="00562E83" w:rsidRPr="0058443A">
        <w:rPr>
          <w:color w:val="000000"/>
        </w:rPr>
        <w:t>meat-</w:t>
      </w:r>
      <w:r w:rsidRPr="0058443A">
        <w:rPr>
          <w:color w:val="000000"/>
        </w:rPr>
        <w:t xml:space="preserve">eating </w:t>
      </w:r>
      <w:r w:rsidR="00562E83" w:rsidRPr="0058443A">
        <w:rPr>
          <w:color w:val="000000"/>
        </w:rPr>
        <w:t>conflict</w:t>
      </w:r>
      <w:r w:rsidRPr="0058443A">
        <w:rPr>
          <w:color w:val="000000"/>
        </w:rPr>
        <w:t xml:space="preserve"> and </w:t>
      </w:r>
      <w:r w:rsidR="00562E83" w:rsidRPr="0058443A">
        <w:rPr>
          <w:color w:val="000000"/>
        </w:rPr>
        <w:t>cultural context</w:t>
      </w:r>
      <w:r w:rsidRPr="0058443A">
        <w:rPr>
          <w:color w:val="000000"/>
        </w:rPr>
        <w:t xml:space="preserve">. </w:t>
      </w:r>
      <w:r w:rsidRPr="0058443A">
        <w:t xml:space="preserve"> </w:t>
      </w:r>
      <w:r w:rsidRPr="003704AC">
        <w:t xml:space="preserve"> </w:t>
      </w:r>
    </w:p>
    <w:p w14:paraId="45695467" w14:textId="77777777" w:rsidR="006A0C34" w:rsidRPr="003704AC" w:rsidRDefault="00EB31E1">
      <w:pPr>
        <w:spacing w:line="480" w:lineRule="auto"/>
        <w:rPr>
          <w:b/>
        </w:rPr>
      </w:pPr>
      <w:r w:rsidRPr="003704AC">
        <w:rPr>
          <w:b/>
        </w:rPr>
        <w:t>1.2 Meat-reduction Interventions</w:t>
      </w:r>
    </w:p>
    <w:p w14:paraId="79A4BA56" w14:textId="799EB34F" w:rsidR="006A0C34" w:rsidRPr="0058443A" w:rsidRDefault="00EB31E1" w:rsidP="00660CDC">
      <w:pPr>
        <w:spacing w:line="480" w:lineRule="auto"/>
        <w:rPr>
          <w:color w:val="000000"/>
        </w:rPr>
      </w:pPr>
      <w:r w:rsidRPr="003704AC">
        <w:tab/>
      </w:r>
      <w:r w:rsidR="008D7448" w:rsidRPr="003704AC">
        <w:t xml:space="preserve">With the aim of promoting lasting meat reduction, </w:t>
      </w:r>
      <w:r w:rsidRPr="003704AC">
        <w:t>organizations and v</w:t>
      </w:r>
      <w:r w:rsidR="007768EA" w:rsidRPr="003704AC">
        <w:t>e</w:t>
      </w:r>
      <w:r w:rsidRPr="003704AC">
        <w:t>g</w:t>
      </w:r>
      <w:r w:rsidR="007768EA" w:rsidRPr="003704AC">
        <w:t>*</w:t>
      </w:r>
      <w:r w:rsidRPr="003704AC">
        <w:t>n strategists</w:t>
      </w:r>
      <w:r w:rsidR="008D7448" w:rsidRPr="003704AC">
        <w:t xml:space="preserve"> have employed a number of strategies, including but not limited to </w:t>
      </w:r>
      <w:r w:rsidRPr="003704AC">
        <w:t>humane education</w:t>
      </w:r>
      <w:r w:rsidR="008D7448" w:rsidRPr="003704AC">
        <w:t>, v</w:t>
      </w:r>
      <w:r w:rsidR="007768EA" w:rsidRPr="003704AC">
        <w:t>e</w:t>
      </w:r>
      <w:r w:rsidR="008D7448" w:rsidRPr="003704AC">
        <w:t>g</w:t>
      </w:r>
      <w:r w:rsidR="007768EA" w:rsidRPr="003704AC">
        <w:t>*</w:t>
      </w:r>
      <w:r w:rsidR="008D7448" w:rsidRPr="003704AC">
        <w:t>n</w:t>
      </w:r>
      <w:r w:rsidRPr="003704AC">
        <w:t xml:space="preserve">-eating apps and meat-free pledges (Animal Charity Evaluators, 2019; </w:t>
      </w:r>
      <w:proofErr w:type="spellStart"/>
      <w:r w:rsidR="00683FFF" w:rsidRPr="003704AC">
        <w:t>Graça</w:t>
      </w:r>
      <w:proofErr w:type="spellEnd"/>
      <w:r w:rsidR="00683FFF" w:rsidRPr="003704AC">
        <w:t xml:space="preserve"> et al., 2019; </w:t>
      </w:r>
      <w:proofErr w:type="spellStart"/>
      <w:r w:rsidRPr="003704AC">
        <w:t>Harguess</w:t>
      </w:r>
      <w:proofErr w:type="spellEnd"/>
      <w:r w:rsidRPr="003704AC">
        <w:t xml:space="preserve"> et al., 2020). </w:t>
      </w:r>
      <w:r w:rsidR="00683FFF" w:rsidRPr="003704AC">
        <w:t xml:space="preserve">How effective these strategies are, remains unclear. </w:t>
      </w:r>
      <w:r w:rsidRPr="0058443A">
        <w:t xml:space="preserve"> According to the COM-B model of behavior change, </w:t>
      </w:r>
      <w:r w:rsidR="00E60FF9" w:rsidRPr="0058443A">
        <w:t xml:space="preserve">effective strategies are those that provide the individual with the </w:t>
      </w:r>
      <w:r w:rsidR="00E60FF9" w:rsidRPr="0058443A">
        <w:rPr>
          <w:i/>
        </w:rPr>
        <w:t>opportunity</w:t>
      </w:r>
      <w:r w:rsidR="00E60FF9" w:rsidRPr="0058443A">
        <w:t xml:space="preserve"> to act and support them in their </w:t>
      </w:r>
      <w:r w:rsidR="00E60FF9" w:rsidRPr="0058443A">
        <w:rPr>
          <w:i/>
        </w:rPr>
        <w:t>motivations</w:t>
      </w:r>
      <w:r w:rsidR="00E60FF9" w:rsidRPr="0058443A">
        <w:t xml:space="preserve"> and </w:t>
      </w:r>
      <w:r w:rsidR="00E60FF9" w:rsidRPr="0058443A">
        <w:rPr>
          <w:i/>
        </w:rPr>
        <w:t>capacity</w:t>
      </w:r>
      <w:r w:rsidR="00E60FF9" w:rsidRPr="0058443A">
        <w:t xml:space="preserve"> to do so</w:t>
      </w:r>
      <w:r w:rsidR="00D06998" w:rsidRPr="0058443A">
        <w:t xml:space="preserve"> </w:t>
      </w:r>
      <w:r w:rsidRPr="0058443A">
        <w:t>(Atkins &amp; Michie, 2013, 2015; Michie et al., 2011). Here we consider whether pledging</w:t>
      </w:r>
      <w:r w:rsidR="00C006D8" w:rsidRPr="0058443A">
        <w:t>—</w:t>
      </w:r>
      <w:r w:rsidRPr="0058443A">
        <w:t>that is, making a commitment to behave in a certain manner</w:t>
      </w:r>
      <w:r w:rsidR="00F6790E" w:rsidRPr="0058443A">
        <w:t xml:space="preserve">—may </w:t>
      </w:r>
      <w:r w:rsidRPr="0058443A">
        <w:t>be one method to give individuals</w:t>
      </w:r>
      <w:r w:rsidR="00F6790E" w:rsidRPr="0058443A">
        <w:t xml:space="preserve"> </w:t>
      </w:r>
      <w:r w:rsidRPr="0058443A">
        <w:t xml:space="preserve">an opportunity to </w:t>
      </w:r>
      <w:r w:rsidR="00F6790E" w:rsidRPr="0058443A">
        <w:t>make efforts towards meat reduction</w:t>
      </w:r>
      <w:r w:rsidRPr="0058443A">
        <w:t xml:space="preserve"> and </w:t>
      </w:r>
      <w:r w:rsidR="00F6790E" w:rsidRPr="0058443A">
        <w:t>build capacities</w:t>
      </w:r>
      <w:r w:rsidRPr="0058443A">
        <w:t xml:space="preserve"> for sustained change. </w:t>
      </w:r>
      <w:r w:rsidRPr="0058443A">
        <w:rPr>
          <w:color w:val="000000"/>
        </w:rPr>
        <w:t xml:space="preserve"> </w:t>
      </w:r>
    </w:p>
    <w:p w14:paraId="3F8D7A2A" w14:textId="62FFA54B" w:rsidR="006A0C34" w:rsidRPr="003704AC" w:rsidRDefault="00EB31E1">
      <w:pPr>
        <w:spacing w:line="480" w:lineRule="auto"/>
        <w:ind w:firstLine="720"/>
      </w:pPr>
      <w:r w:rsidRPr="0058443A">
        <w:rPr>
          <w:color w:val="000000"/>
        </w:rPr>
        <w:lastRenderedPageBreak/>
        <w:t>Pledging has been studied as a mechanism for supporting behavioral change in a number of domains, including</w:t>
      </w:r>
      <w:r w:rsidRPr="003704AC">
        <w:t xml:space="preserve"> recycling (DeLeon &amp; Fuqua, 1995; Wang &amp; </w:t>
      </w:r>
      <w:proofErr w:type="spellStart"/>
      <w:r w:rsidRPr="003704AC">
        <w:t>Katzev</w:t>
      </w:r>
      <w:proofErr w:type="spellEnd"/>
      <w:r w:rsidRPr="003704AC">
        <w:t>, 1990), energy conservation (</w:t>
      </w:r>
      <w:proofErr w:type="spellStart"/>
      <w:r w:rsidRPr="003704AC">
        <w:t>Pallack</w:t>
      </w:r>
      <w:proofErr w:type="spellEnd"/>
      <w:r w:rsidRPr="003704AC">
        <w:t xml:space="preserve"> &amp; Cummings, 1976; </w:t>
      </w:r>
      <w:proofErr w:type="spellStart"/>
      <w:r w:rsidRPr="003704AC">
        <w:t>Shippee</w:t>
      </w:r>
      <w:proofErr w:type="spellEnd"/>
      <w:r w:rsidRPr="003704AC">
        <w:t xml:space="preserve"> &amp; Gregory, 1982), voting (Burgess et al., 2000), using public transport (Bachman &amp; </w:t>
      </w:r>
      <w:proofErr w:type="spellStart"/>
      <w:r w:rsidRPr="003704AC">
        <w:t>Katzev</w:t>
      </w:r>
      <w:proofErr w:type="spellEnd"/>
      <w:r w:rsidRPr="003704AC">
        <w:t xml:space="preserve">, 1982), seatbelt use (Geller &amp; Bigelow, 1983; Gamble &amp; </w:t>
      </w:r>
      <w:proofErr w:type="spellStart"/>
      <w:r w:rsidRPr="003704AC">
        <w:t>Kalsher</w:t>
      </w:r>
      <w:proofErr w:type="spellEnd"/>
      <w:r w:rsidRPr="003704AC">
        <w:t xml:space="preserve">, 1990), and smoking cessation (Cahill &amp; </w:t>
      </w:r>
      <w:proofErr w:type="spellStart"/>
      <w:r w:rsidRPr="003704AC">
        <w:t>Perera</w:t>
      </w:r>
      <w:proofErr w:type="spellEnd"/>
      <w:r w:rsidRPr="003704AC">
        <w:t xml:space="preserve">, 2001). These studies converge on the general finding that pledging can promote attitudinal and behavioral changes, at least in the short-term. However, there are important facilitating factors that moderate these effects.  </w:t>
      </w:r>
    </w:p>
    <w:p w14:paraId="31948017" w14:textId="74AAD40A" w:rsidR="006A0C34" w:rsidRPr="003704AC" w:rsidRDefault="00EB31E1">
      <w:pPr>
        <w:spacing w:line="480" w:lineRule="auto"/>
        <w:ind w:firstLine="720"/>
      </w:pPr>
      <w:r w:rsidRPr="003704AC">
        <w:t xml:space="preserve">One key </w:t>
      </w:r>
      <w:r w:rsidRPr="0058443A">
        <w:t>moderator</w:t>
      </w:r>
      <w:r w:rsidRPr="003704AC">
        <w:t xml:space="preserve"> is the attitudinal state of the pledger.  Individuals who engage with pledges are often those individuals who express </w:t>
      </w:r>
      <w:r w:rsidRPr="0058443A">
        <w:t>conflict</w:t>
      </w:r>
      <w:r w:rsidRPr="003704AC">
        <w:t xml:space="preserve"> about the target behavior. For example, Bass et al. (2019) found that the majority of university students who succeeded in avoiding a popular binge-drinking event were those individuals who expressed prior concern with binge drinking (</w:t>
      </w:r>
      <w:r w:rsidRPr="0058443A">
        <w:t xml:space="preserve">see also </w:t>
      </w:r>
      <w:proofErr w:type="spellStart"/>
      <w:r w:rsidRPr="0058443A">
        <w:t>Hallaq</w:t>
      </w:r>
      <w:proofErr w:type="spellEnd"/>
      <w:r w:rsidRPr="0058443A">
        <w:t>, 1976, regarding smokers</w:t>
      </w:r>
      <w:r w:rsidRPr="003704AC">
        <w:t xml:space="preserve">). This highlights an important consideration when generalizing pledge-based interventions to the larger population: not everyone will be interested in engaging with such an intervention or benefit from it, thus, it may be more resource-effective in identifying individuals who </w:t>
      </w:r>
      <w:r w:rsidR="00F6790E" w:rsidRPr="0058443A">
        <w:t>have intentions to change or</w:t>
      </w:r>
      <w:r w:rsidR="00F6790E" w:rsidRPr="003704AC">
        <w:t xml:space="preserve"> </w:t>
      </w:r>
      <w:r w:rsidRPr="003704AC">
        <w:t xml:space="preserve">express some </w:t>
      </w:r>
      <w:r w:rsidRPr="0058443A">
        <w:t>degree of conflict</w:t>
      </w:r>
      <w:r w:rsidRPr="003704AC">
        <w:t xml:space="preserve"> about </w:t>
      </w:r>
      <w:r w:rsidR="00D06998" w:rsidRPr="003704AC">
        <w:t>the to-be-changed</w:t>
      </w:r>
      <w:r w:rsidRPr="003704AC">
        <w:t xml:space="preserve"> behavior.</w:t>
      </w:r>
    </w:p>
    <w:p w14:paraId="68FC2761" w14:textId="76F6599A" w:rsidR="006A0C34" w:rsidRPr="003704AC" w:rsidRDefault="00EB31E1">
      <w:pPr>
        <w:spacing w:line="480" w:lineRule="auto"/>
        <w:ind w:firstLine="720"/>
      </w:pPr>
      <w:r w:rsidRPr="0058443A">
        <w:t>Meat consumption tends to be a behavior that generates substantial levels of attitudinal conflict for many people (</w:t>
      </w:r>
      <w:proofErr w:type="spellStart"/>
      <w:r w:rsidRPr="0058443A">
        <w:t>Berndsen</w:t>
      </w:r>
      <w:proofErr w:type="spellEnd"/>
      <w:r w:rsidRPr="0058443A">
        <w:t xml:space="preserve"> &amp; Van der </w:t>
      </w:r>
      <w:proofErr w:type="spellStart"/>
      <w:r w:rsidRPr="0058443A">
        <w:t>Pligt</w:t>
      </w:r>
      <w:proofErr w:type="spellEnd"/>
      <w:r w:rsidRPr="0058443A">
        <w:t xml:space="preserve">, 2005; Povey et al., 2001; </w:t>
      </w:r>
      <w:proofErr w:type="spellStart"/>
      <w:r w:rsidRPr="0058443A">
        <w:t>Rothgerber</w:t>
      </w:r>
      <w:proofErr w:type="spellEnd"/>
      <w:r w:rsidRPr="0058443A">
        <w:t xml:space="preserve">, 2014). Cognitive dissonance theory has been applied as a framework for understanding the “meat paradox,” or the attitudinal inconsistency that many consumers experience regarding their meat consumption (Bastian &amp; Loughnan, 2017; Loughnan et al., 2010; Loughnan et al., 2014; </w:t>
      </w:r>
      <w:proofErr w:type="spellStart"/>
      <w:r w:rsidRPr="0058443A">
        <w:t>Rothgerber</w:t>
      </w:r>
      <w:proofErr w:type="spellEnd"/>
      <w:r w:rsidRPr="0058443A">
        <w:t>, 2014, 2020). Dissonance might occur because a person holds conflicting views about meat (e.g., enjoying it, while being aware of the suffering caused to animals or the environmental impact of meat</w:t>
      </w:r>
      <w:r w:rsidR="00F6790E" w:rsidRPr="0058443A">
        <w:t xml:space="preserve"> production</w:t>
      </w:r>
      <w:r w:rsidRPr="0058443A">
        <w:t xml:space="preserve">) or they feel </w:t>
      </w:r>
      <w:r w:rsidRPr="0058443A">
        <w:lastRenderedPageBreak/>
        <w:t xml:space="preserve">responsible for negative aspects of meat. Research has shown that when consumers experience conflict about their meat consumption, they engage in a number of “dissonance-reducing strategies,” including efforts towards meat reduction, to resolve the apparent conflict (e.g., Bastian et al., 2012; </w:t>
      </w:r>
      <w:proofErr w:type="spellStart"/>
      <w:r w:rsidRPr="0058443A">
        <w:t>Buttlar</w:t>
      </w:r>
      <w:proofErr w:type="spellEnd"/>
      <w:r w:rsidRPr="0058443A">
        <w:t xml:space="preserve"> &amp; Walther, 2018; Loughnan et al., 2010; </w:t>
      </w:r>
      <w:proofErr w:type="spellStart"/>
      <w:r w:rsidRPr="0058443A">
        <w:t>Rothgerber</w:t>
      </w:r>
      <w:proofErr w:type="spellEnd"/>
      <w:r w:rsidRPr="0058443A">
        <w:t xml:space="preserve">, 2014). </w:t>
      </w:r>
    </w:p>
    <w:p w14:paraId="2C7FAF6C" w14:textId="0768D7E0" w:rsidR="006A0C34" w:rsidRPr="003704AC" w:rsidRDefault="00EB31E1">
      <w:pPr>
        <w:spacing w:line="480" w:lineRule="auto"/>
        <w:rPr>
          <w:b/>
        </w:rPr>
      </w:pPr>
      <w:r w:rsidRPr="003704AC">
        <w:rPr>
          <w:b/>
        </w:rPr>
        <w:t xml:space="preserve">1.3 Meat-free Pledging </w:t>
      </w:r>
    </w:p>
    <w:p w14:paraId="39798D63" w14:textId="5B7E73B0" w:rsidR="006A0C34" w:rsidRPr="003704AC" w:rsidRDefault="00EB31E1">
      <w:pPr>
        <w:spacing w:line="480" w:lineRule="auto"/>
        <w:ind w:firstLine="720"/>
      </w:pPr>
      <w:r w:rsidRPr="003704AC">
        <w:t xml:space="preserve">Pledge programs are an increasingly common campaign strategy to promote meat reduction. Veganuary, for example, is a hugely popular campaign that has grown from just 3,300 official sign-ups in 2014 to </w:t>
      </w:r>
      <w:r w:rsidR="00582C4A" w:rsidRPr="0058443A">
        <w:t>over a</w:t>
      </w:r>
      <w:r w:rsidR="00582C4A" w:rsidRPr="003704AC">
        <w:t xml:space="preserve"> </w:t>
      </w:r>
      <w:r w:rsidRPr="003704AC">
        <w:t>half million in 202</w:t>
      </w:r>
      <w:r w:rsidR="00582C4A" w:rsidRPr="0058443A">
        <w:t>1</w:t>
      </w:r>
      <w:r w:rsidRPr="003704AC">
        <w:t>. Data published by the Veganuary campaign suggests that 59% of those who pledged a month of vegan eating in January 2020 said that they had been successful</w:t>
      </w:r>
      <w:r w:rsidR="005A307B" w:rsidRPr="003704AC">
        <w:t xml:space="preserve"> (Veganuary, 2020)</w:t>
      </w:r>
      <w:r w:rsidRPr="003704AC">
        <w:t>. Other popular pledge programs include Meat-Free Mondays, Animal Aid’s “Great Vegan Challenge”, and Viva’s “30 Day Vegan”. Despite the growth of these campaigns, experimental research investigating their efficacy is limited. Furthermore, the voluntary nature of these campaigns, and the lack of suitable control groups, limits the causal inferences that can be drawn about their success. Individuals who pledge to eat meat-free are usually already motivated to reduce their consumption (</w:t>
      </w:r>
      <w:proofErr w:type="spellStart"/>
      <w:r w:rsidRPr="003704AC">
        <w:t>Grassian</w:t>
      </w:r>
      <w:proofErr w:type="spellEnd"/>
      <w:r w:rsidRPr="003704AC">
        <w:t xml:space="preserve">, 2020), which raises the question of whether commitments to eat meat-free have the potential to galvanize individuals without preexisting reduction goals.   </w:t>
      </w:r>
    </w:p>
    <w:p w14:paraId="0731EFED" w14:textId="77777777" w:rsidR="006A0C34" w:rsidRPr="003704AC" w:rsidRDefault="00EB31E1">
      <w:pPr>
        <w:widowControl w:val="0"/>
        <w:spacing w:line="480" w:lineRule="auto"/>
        <w:ind w:firstLine="720"/>
      </w:pPr>
      <w:r w:rsidRPr="003704AC">
        <w:t xml:space="preserve">In one of the most extensive evaluations of real-world pledging, </w:t>
      </w:r>
      <w:proofErr w:type="spellStart"/>
      <w:r w:rsidRPr="003704AC">
        <w:t>Grassian</w:t>
      </w:r>
      <w:proofErr w:type="spellEnd"/>
      <w:r w:rsidRPr="003704AC">
        <w:t xml:space="preserve"> (2020) tracked 1,539 people who were taking part in one of seven UK meat reduction and vegan campaigns over a twelve-month period. At six different time points, pledgers reported on their adherence to their reduction/abstention goals. Just over half reported meeting their goal at each time point, and the greatest successes were reported by pledgers who had already eliminated most animal products from their diet (e.g., vegetarians attempting a vegan diet). With few exceptions, the vast majority of pledgers (82.1% across all campaigns) self-</w:t>
      </w:r>
      <w:r w:rsidRPr="003704AC">
        <w:lastRenderedPageBreak/>
        <w:t xml:space="preserve">described as pre-existing meat reducers, or, for many vegan campaigns, as vegetarians. </w:t>
      </w:r>
    </w:p>
    <w:p w14:paraId="21CE0C39" w14:textId="23CEC4A3" w:rsidR="006A0C34" w:rsidRPr="003704AC" w:rsidRDefault="00EB31E1">
      <w:pPr>
        <w:widowControl w:val="0"/>
        <w:spacing w:line="480" w:lineRule="auto"/>
      </w:pPr>
      <w:r w:rsidRPr="003704AC">
        <w:t xml:space="preserve">In studying the outcomes of those already reducing or abstaining, we fail to learn whether invitations to eat meat-free can successfully engage people without a prior history of reducing. Likewise, as </w:t>
      </w:r>
      <w:proofErr w:type="spellStart"/>
      <w:r w:rsidRPr="003704AC">
        <w:t>Grassian</w:t>
      </w:r>
      <w:proofErr w:type="spellEnd"/>
      <w:r w:rsidRPr="003704AC">
        <w:t xml:space="preserve"> (2020) warns, by relying on self-reports of goal adherence, existing studies of pledge campaigns may be inflating our sense of pledging as an effective meat-reduction intervention. </w:t>
      </w:r>
    </w:p>
    <w:p w14:paraId="4E5A6865" w14:textId="4718D39E" w:rsidR="00435CB6" w:rsidRPr="003704AC" w:rsidRDefault="00435CB6">
      <w:pPr>
        <w:widowControl w:val="0"/>
        <w:spacing w:line="480" w:lineRule="auto"/>
        <w:rPr>
          <w:b/>
        </w:rPr>
      </w:pPr>
      <w:r w:rsidRPr="003704AC">
        <w:rPr>
          <w:b/>
        </w:rPr>
        <w:t>1.4 Experience Sampling and the Present Study</w:t>
      </w:r>
    </w:p>
    <w:p w14:paraId="3B237AE3" w14:textId="3847DAB6" w:rsidR="006A0C34" w:rsidRPr="003704AC" w:rsidRDefault="00E31166">
      <w:pPr>
        <w:spacing w:line="480" w:lineRule="auto"/>
        <w:ind w:firstLine="720"/>
      </w:pPr>
      <w:r w:rsidRPr="003704AC">
        <w:t>The present study sought to address some of these limitations by using</w:t>
      </w:r>
      <w:r w:rsidR="00EB31E1" w:rsidRPr="003704AC">
        <w:t xml:space="preserve"> an experimental method to randomly assign participants to attempt a meat-free month or not</w:t>
      </w:r>
      <w:r w:rsidRPr="003704AC">
        <w:t>.</w:t>
      </w:r>
      <w:r w:rsidR="00EB31E1" w:rsidRPr="003704AC">
        <w:t xml:space="preserve"> </w:t>
      </w:r>
      <w:r w:rsidRPr="003704AC">
        <w:t>E</w:t>
      </w:r>
      <w:r w:rsidR="00EB31E1" w:rsidRPr="003704AC">
        <w:t xml:space="preserve">xperience sampling was used to track participants’ daily eating practices and minimize misreporting. A </w:t>
      </w:r>
      <w:r w:rsidRPr="003704AC">
        <w:t xml:space="preserve">secondary </w:t>
      </w:r>
      <w:r w:rsidR="00EB31E1" w:rsidRPr="003704AC">
        <w:t xml:space="preserve">aim of the study was to </w:t>
      </w:r>
      <w:r w:rsidR="00EB31E1" w:rsidRPr="0058443A">
        <w:t>investigate whether conflict over one’s meat consumption</w:t>
      </w:r>
      <w:r w:rsidR="00055CB1" w:rsidRPr="0058443A">
        <w:t>,</w:t>
      </w:r>
      <w:r w:rsidR="00EB31E1" w:rsidRPr="0058443A">
        <w:t xml:space="preserve"> or</w:t>
      </w:r>
      <w:r w:rsidR="00EB31E1" w:rsidRPr="003704AC">
        <w:t xml:space="preserve">  “omnivore conflict” (Ruby et al., in prep)</w:t>
      </w:r>
      <w:r w:rsidR="00055CB1" w:rsidRPr="003704AC">
        <w:t>,</w:t>
      </w:r>
      <w:r w:rsidR="00EB31E1" w:rsidRPr="003704AC">
        <w:t xml:space="preserve"> might facilitate pledge adherence. </w:t>
      </w:r>
      <w:r w:rsidR="008C4766" w:rsidRPr="0058443A">
        <w:t>I</w:t>
      </w:r>
      <w:r w:rsidR="00EB31E1" w:rsidRPr="0058443A">
        <w:t xml:space="preserve">n addition to assessing omnivore conflict, </w:t>
      </w:r>
      <w:r w:rsidR="008C4766" w:rsidRPr="0058443A">
        <w:t xml:space="preserve">and in accordance with the COM-B model, </w:t>
      </w:r>
      <w:r w:rsidR="00EB31E1" w:rsidRPr="0058443A">
        <w:t xml:space="preserve">we assessed pledgers’ starting intentions and </w:t>
      </w:r>
      <w:r w:rsidR="00F6790E" w:rsidRPr="0058443A">
        <w:t xml:space="preserve">their </w:t>
      </w:r>
      <w:r w:rsidR="00EB31E1" w:rsidRPr="0058443A">
        <w:t xml:space="preserve">self-appraised capacity to fulfill the meat-free pledge. </w:t>
      </w:r>
      <w:r w:rsidR="00EB31E1" w:rsidRPr="003704AC">
        <w:t xml:space="preserve"> </w:t>
      </w:r>
    </w:p>
    <w:p w14:paraId="5B2E2D01" w14:textId="5851C819" w:rsidR="006A0C34" w:rsidRPr="003704AC" w:rsidRDefault="00E31166">
      <w:pPr>
        <w:spacing w:line="480" w:lineRule="auto"/>
        <w:ind w:firstLine="720"/>
      </w:pPr>
      <w:r w:rsidRPr="003704AC">
        <w:t xml:space="preserve">The study </w:t>
      </w:r>
      <w:r w:rsidR="008C4766" w:rsidRPr="003704AC">
        <w:t>employed a 28-day period  of</w:t>
      </w:r>
      <w:r w:rsidRPr="003704AC">
        <w:t xml:space="preserve"> smartphone-based experience sampling (</w:t>
      </w:r>
      <w:proofErr w:type="spellStart"/>
      <w:r w:rsidRPr="003704AC">
        <w:t>Hofman</w:t>
      </w:r>
      <w:proofErr w:type="spellEnd"/>
      <w:r w:rsidRPr="003704AC">
        <w:t xml:space="preserve"> &amp; Patel, 2014; van </w:t>
      </w:r>
      <w:proofErr w:type="spellStart"/>
      <w:r w:rsidRPr="003704AC">
        <w:t>Berkel</w:t>
      </w:r>
      <w:proofErr w:type="spellEnd"/>
      <w:r w:rsidRPr="003704AC">
        <w:t xml:space="preserve"> et al., 2017) </w:t>
      </w:r>
      <w:r w:rsidR="00EB31E1" w:rsidRPr="0058443A">
        <w:t xml:space="preserve">to gather a rich assessment of pledge adherence that moves beyond </w:t>
      </w:r>
      <w:r w:rsidR="00383A15" w:rsidRPr="0058443A">
        <w:t>retrospective</w:t>
      </w:r>
      <w:r w:rsidR="00EB31E1" w:rsidRPr="003704AC">
        <w:t xml:space="preserve"> self-reports of pledge fulfilment. Experience sampling is well-known method that helps address issues around optimism bias (e.g., underestimating the amount of food eaten), recall bias (e.g., forgetting or misremembering what one has eaten), and social desirability (e.g., deliberately misreporting </w:t>
      </w:r>
      <w:r w:rsidR="007768EA" w:rsidRPr="003704AC">
        <w:t>what</w:t>
      </w:r>
      <w:r w:rsidR="00EB31E1" w:rsidRPr="003704AC">
        <w:t xml:space="preserve"> one has eaten) (Csikszentmihalyi &amp; Larson, 1987). It has been used in several domains of life, including consumer appraisals and emotion (Liu et al., 2016; </w:t>
      </w:r>
      <w:proofErr w:type="spellStart"/>
      <w:r w:rsidR="00EB31E1" w:rsidRPr="003704AC">
        <w:t>Macht</w:t>
      </w:r>
      <w:proofErr w:type="spellEnd"/>
      <w:r w:rsidR="00EB31E1" w:rsidRPr="003704AC">
        <w:t xml:space="preserve"> et al., 2004), dieting and self-control (</w:t>
      </w:r>
      <w:proofErr w:type="spellStart"/>
      <w:r w:rsidR="00EB31E1" w:rsidRPr="003704AC">
        <w:t>Hofman</w:t>
      </w:r>
      <w:proofErr w:type="spellEnd"/>
      <w:r w:rsidR="00EB31E1" w:rsidRPr="003704AC">
        <w:t xml:space="preserve"> et al., 2014), and psychological wellbeing (Hunter &amp; Csikszentmihalyi, 2003). It has the advantage of reducing cognitive errors, relative to traditional self-reports, by </w:t>
      </w:r>
      <w:r w:rsidR="00EB31E1" w:rsidRPr="003704AC">
        <w:lastRenderedPageBreak/>
        <w:t xml:space="preserve">having participants report on their behavior temporally closer to the moment of enactment, which makes it an ideal technique to apply in the context of daily consumption behaviors. </w:t>
      </w:r>
    </w:p>
    <w:p w14:paraId="158177B3" w14:textId="379E3C3A" w:rsidR="006A0C34" w:rsidRPr="003704AC" w:rsidRDefault="00EB31E1">
      <w:pPr>
        <w:widowControl w:val="0"/>
        <w:spacing w:line="480" w:lineRule="auto"/>
        <w:rPr>
          <w:b/>
        </w:rPr>
      </w:pPr>
      <w:r w:rsidRPr="003704AC">
        <w:rPr>
          <w:b/>
        </w:rPr>
        <w:t>1.</w:t>
      </w:r>
      <w:r w:rsidR="007E4DB7" w:rsidRPr="003704AC">
        <w:rPr>
          <w:b/>
        </w:rPr>
        <w:t>5</w:t>
      </w:r>
      <w:r w:rsidRPr="003704AC">
        <w:rPr>
          <w:b/>
        </w:rPr>
        <w:t xml:space="preserve"> Preregistered Hypotheses</w:t>
      </w:r>
    </w:p>
    <w:p w14:paraId="351794B5" w14:textId="43940CB1" w:rsidR="00AE6410" w:rsidRPr="003704AC" w:rsidRDefault="00EB31E1">
      <w:pPr>
        <w:widowControl w:val="0"/>
        <w:spacing w:line="480" w:lineRule="auto"/>
        <w:ind w:firstLine="720"/>
      </w:pPr>
      <w:r w:rsidRPr="003704AC">
        <w:t xml:space="preserve">The study had several preregistered hypotheses. The first hypothesis (Hypothesis 1) was that </w:t>
      </w:r>
      <w:r w:rsidRPr="0058443A">
        <w:t xml:space="preserve">the pledge </w:t>
      </w:r>
      <w:r w:rsidR="008049DC" w:rsidRPr="0058443A">
        <w:t>intervention</w:t>
      </w:r>
      <w:r w:rsidRPr="0058443A">
        <w:t xml:space="preserve"> would interact with omnivore conflict, such that highly conflicted</w:t>
      </w:r>
      <w:r w:rsidRPr="003704AC">
        <w:t xml:space="preserve"> participants would </w:t>
      </w:r>
      <w:r w:rsidRPr="0058443A">
        <w:t>adhere to the pledge and reduce their meat consumption to a greater extent than less conflicted pledgers, during the 28 days</w:t>
      </w:r>
      <w:r w:rsidRPr="003704AC">
        <w:t>.</w:t>
      </w:r>
      <w:r w:rsidR="00374258" w:rsidRPr="003704AC">
        <w:t xml:space="preserve"> </w:t>
      </w:r>
      <w:r w:rsidR="00374258" w:rsidRPr="0058443A">
        <w:t xml:space="preserve">This hypothesis was based on the perspective that conflicted omnivores are motivated reduce their conflict (Loughnan et al., 2014; </w:t>
      </w:r>
      <w:proofErr w:type="spellStart"/>
      <w:r w:rsidR="00374258" w:rsidRPr="0058443A">
        <w:t>Rothgerber</w:t>
      </w:r>
      <w:proofErr w:type="spellEnd"/>
      <w:r w:rsidR="00374258" w:rsidRPr="0058443A">
        <w:t>, 2020).</w:t>
      </w:r>
      <w:r w:rsidRPr="003704AC">
        <w:t xml:space="preserve">  </w:t>
      </w:r>
      <w:r w:rsidRPr="0058443A">
        <w:t>In line with Hypothesis 1, we</w:t>
      </w:r>
      <w:r w:rsidRPr="003704AC">
        <w:t xml:space="preserve"> also explored </w:t>
      </w:r>
      <w:r w:rsidRPr="0058443A">
        <w:t xml:space="preserve">whether pledgers’ self-reported intentions and their perceived capacity to </w:t>
      </w:r>
      <w:r w:rsidR="009E79B6" w:rsidRPr="0058443A">
        <w:t>fulfill the pledge</w:t>
      </w:r>
      <w:r w:rsidRPr="0058443A">
        <w:t xml:space="preserve"> </w:t>
      </w:r>
      <w:r w:rsidR="00D33632" w:rsidRPr="0058443A">
        <w:t>might relate to</w:t>
      </w:r>
      <w:r w:rsidRPr="0058443A">
        <w:t xml:space="preserve"> their meat-reduction efforts</w:t>
      </w:r>
      <w:r w:rsidR="00D33632" w:rsidRPr="0058443A">
        <w:t xml:space="preserve"> during</w:t>
      </w:r>
      <w:r w:rsidRPr="0058443A">
        <w:t xml:space="preserve"> the 28 days.</w:t>
      </w:r>
      <w:r w:rsidRPr="003704AC">
        <w:t xml:space="preserve"> </w:t>
      </w:r>
    </w:p>
    <w:p w14:paraId="1AFD5434" w14:textId="1D346917" w:rsidR="006A0C34" w:rsidRPr="003704AC" w:rsidRDefault="00EB31E1">
      <w:pPr>
        <w:widowControl w:val="0"/>
        <w:spacing w:line="480" w:lineRule="auto"/>
        <w:ind w:firstLine="720"/>
      </w:pPr>
      <w:r w:rsidRPr="003704AC">
        <w:t xml:space="preserve">The second set of preregistered hypotheses (Hypotheses 2a-d) focused on the </w:t>
      </w:r>
      <w:r w:rsidRPr="0058443A">
        <w:t>main effects of pledging</w:t>
      </w:r>
      <w:r w:rsidRPr="003704AC">
        <w:t xml:space="preserve">. It was hypothesized that, compared to the control group, </w:t>
      </w:r>
      <w:r w:rsidR="00693F02" w:rsidRPr="003704AC">
        <w:t>pledgers</w:t>
      </w:r>
      <w:r w:rsidRPr="003704AC">
        <w:t xml:space="preserve"> would consume less meat</w:t>
      </w:r>
      <w:r w:rsidR="00693F02" w:rsidRPr="003704AC">
        <w:t xml:space="preserve"> across the 28-day period</w:t>
      </w:r>
      <w:r w:rsidRPr="003704AC">
        <w:t xml:space="preserve"> </w:t>
      </w:r>
      <w:r w:rsidRPr="0058443A">
        <w:t>(Hypothesis 2a). We also predicted that pledgers would crave meat less, relative to control participants</w:t>
      </w:r>
      <w:r w:rsidRPr="003704AC">
        <w:t xml:space="preserve">, as a result of replacing meat in their diet, </w:t>
      </w:r>
      <w:r w:rsidRPr="0058443A">
        <w:t xml:space="preserve">and satiating themselves on </w:t>
      </w:r>
      <w:r w:rsidR="00693F02" w:rsidRPr="0058443A">
        <w:t>meat</w:t>
      </w:r>
      <w:r w:rsidRPr="0058443A">
        <w:t xml:space="preserve"> alternatives, during the 28 days (Hypothesis 2b).</w:t>
      </w:r>
      <w:r w:rsidRPr="003704AC">
        <w:t xml:space="preserve"> </w:t>
      </w:r>
      <w:r w:rsidRPr="0058443A">
        <w:t xml:space="preserve">In hindsight, this hypothesis </w:t>
      </w:r>
      <w:r w:rsidR="00D33632" w:rsidRPr="0058443A">
        <w:t xml:space="preserve">may have </w:t>
      </w:r>
      <w:r w:rsidRPr="0058443A">
        <w:t xml:space="preserve">underestimated the strength of participants’ meat attachments (e.g., see </w:t>
      </w:r>
      <w:proofErr w:type="spellStart"/>
      <w:r w:rsidRPr="0058443A">
        <w:t>Graça</w:t>
      </w:r>
      <w:proofErr w:type="spellEnd"/>
      <w:r w:rsidRPr="0058443A">
        <w:t xml:space="preserve"> et al., 2015), a point we return to in the Discussion. </w:t>
      </w:r>
    </w:p>
    <w:p w14:paraId="03941C25" w14:textId="29616164" w:rsidR="006A0C34" w:rsidRPr="003704AC" w:rsidRDefault="00EB31E1">
      <w:pPr>
        <w:widowControl w:val="0"/>
        <w:spacing w:line="480" w:lineRule="auto"/>
        <w:ind w:firstLine="720"/>
      </w:pPr>
      <w:r w:rsidRPr="0058443A">
        <w:t>Furthermore, we predicted that pledgers would</w:t>
      </w:r>
      <w:r w:rsidRPr="003704AC">
        <w:t xml:space="preserve"> report reduced commitment to eating meat </w:t>
      </w:r>
      <w:r w:rsidRPr="0058443A">
        <w:t>by the end of the study (Hypothesis 2c),</w:t>
      </w:r>
      <w:r w:rsidRPr="003704AC">
        <w:t xml:space="preserve"> and reduced endorsement of meat-eating justifications </w:t>
      </w:r>
      <w:r w:rsidRPr="0058443A">
        <w:t>(Hypothesis 2d).</w:t>
      </w:r>
      <w:r w:rsidRPr="0058443A">
        <w:rPr>
          <w:vertAlign w:val="superscript"/>
        </w:rPr>
        <w:footnoteReference w:id="1"/>
      </w:r>
      <w:r w:rsidRPr="0058443A">
        <w:t xml:space="preserve"> We did not expect non-pledgers to exhibit reductions in meat commitment or meat-eating justifications</w:t>
      </w:r>
      <w:r w:rsidRPr="003704AC">
        <w:t xml:space="preserve">. </w:t>
      </w:r>
      <w:r w:rsidR="00D33632" w:rsidRPr="0058443A">
        <w:t xml:space="preserve">Because we </w:t>
      </w:r>
      <w:r w:rsidR="00055CB1" w:rsidRPr="0058443A">
        <w:t>measured</w:t>
      </w:r>
      <w:r w:rsidR="00D33632" w:rsidRPr="0058443A">
        <w:t xml:space="preserve"> meat consumption</w:t>
      </w:r>
      <w:r w:rsidR="00D33632" w:rsidRPr="003704AC">
        <w:t xml:space="preserve">, </w:t>
      </w:r>
      <w:r w:rsidRPr="003704AC">
        <w:t>meat-commitment</w:t>
      </w:r>
      <w:r w:rsidR="00055CB1" w:rsidRPr="003704AC">
        <w:t>,</w:t>
      </w:r>
      <w:r w:rsidRPr="003704AC">
        <w:t xml:space="preserve"> and meat-eating justifications at three different time points: intake, outtake, and </w:t>
      </w:r>
      <w:r w:rsidRPr="003704AC">
        <w:lastRenderedPageBreak/>
        <w:t xml:space="preserve">one-month </w:t>
      </w:r>
      <w:r w:rsidR="00A71116" w:rsidRPr="003704AC">
        <w:t>post-intervention</w:t>
      </w:r>
      <w:r w:rsidR="00D33632" w:rsidRPr="003704AC">
        <w:t xml:space="preserve">, </w:t>
      </w:r>
      <w:r w:rsidR="00D33632" w:rsidRPr="0058443A">
        <w:t>we were able to test Hypotheses 2a</w:t>
      </w:r>
      <w:r w:rsidR="00A71116" w:rsidRPr="0058443A">
        <w:t xml:space="preserve"> and </w:t>
      </w:r>
      <w:r w:rsidR="00D33632" w:rsidRPr="0058443A">
        <w:t>2c-d, in terms of changes from intake</w:t>
      </w:r>
      <w:r w:rsidR="002A702B" w:rsidRPr="0058443A">
        <w:t xml:space="preserve"> (i.e., baseline)</w:t>
      </w:r>
      <w:r w:rsidR="00D33632" w:rsidRPr="0058443A">
        <w:t xml:space="preserve"> to outtake and</w:t>
      </w:r>
      <w:r w:rsidR="002A702B" w:rsidRPr="0058443A">
        <w:t xml:space="preserve"> </w:t>
      </w:r>
      <w:r w:rsidR="00A71116" w:rsidRPr="0058443A">
        <w:t>one</w:t>
      </w:r>
      <w:r w:rsidR="00D33632" w:rsidRPr="0058443A">
        <w:t xml:space="preserve">-month </w:t>
      </w:r>
      <w:r w:rsidR="002A702B" w:rsidRPr="0058443A">
        <w:t>later</w:t>
      </w:r>
      <w:r w:rsidR="00D33632" w:rsidRPr="003704AC">
        <w:t xml:space="preserve">. </w:t>
      </w:r>
    </w:p>
    <w:p w14:paraId="64087555" w14:textId="52A91591" w:rsidR="006A0C34" w:rsidRPr="003704AC" w:rsidRDefault="00EB31E1">
      <w:pPr>
        <w:widowControl w:val="0"/>
        <w:spacing w:line="480" w:lineRule="auto"/>
        <w:ind w:firstLine="720"/>
      </w:pPr>
      <w:r w:rsidRPr="003704AC">
        <w:t xml:space="preserve">Finally, as exploration of the generalizability of </w:t>
      </w:r>
      <w:r w:rsidR="00A71116" w:rsidRPr="003704AC">
        <w:t>our intervention</w:t>
      </w:r>
      <w:r w:rsidRPr="003704AC">
        <w:t xml:space="preserve"> to different cultural settings, participants from three different countries were sampled: the United Kingdom (UK), Germany, and Australia (we made no hypothes</w:t>
      </w:r>
      <w:r w:rsidR="006F279A" w:rsidRPr="003704AC">
        <w:t>i</w:t>
      </w:r>
      <w:r w:rsidRPr="003704AC">
        <w:t xml:space="preserve">s regarding </w:t>
      </w:r>
      <w:r w:rsidR="00A71116" w:rsidRPr="0058443A">
        <w:t>the interaction of Pledge and C</w:t>
      </w:r>
      <w:r w:rsidRPr="0058443A">
        <w:t>ountry</w:t>
      </w:r>
      <w:r w:rsidRPr="003704AC">
        <w:t xml:space="preserve">). </w:t>
      </w:r>
      <w:r w:rsidRPr="0058443A">
        <w:t>T</w:t>
      </w:r>
      <w:r w:rsidR="00A71116" w:rsidRPr="0058443A">
        <w:t xml:space="preserve">hese </w:t>
      </w:r>
      <w:r w:rsidRPr="0058443A">
        <w:t>locations were mainly a product of the research teams involved</w:t>
      </w:r>
      <w:r w:rsidR="00A71116" w:rsidRPr="0058443A">
        <w:t>.</w:t>
      </w:r>
      <w:r w:rsidR="00C65357" w:rsidRPr="0058443A">
        <w:t xml:space="preserve"> Yet, all three countries have seen rises in plant-based eating in recent years (e.g., Collins, 2019; </w:t>
      </w:r>
      <w:proofErr w:type="spellStart"/>
      <w:r w:rsidR="00C65357" w:rsidRPr="0058443A">
        <w:t>Mensink</w:t>
      </w:r>
      <w:proofErr w:type="spellEnd"/>
      <w:r w:rsidR="00C65357" w:rsidRPr="0058443A">
        <w:t xml:space="preserve"> et al., 2016</w:t>
      </w:r>
      <w:r w:rsidR="00AD7BD1" w:rsidRPr="0058443A">
        <w:t xml:space="preserve">; </w:t>
      </w:r>
      <w:proofErr w:type="spellStart"/>
      <w:r w:rsidR="00AD7BD1" w:rsidRPr="0058443A">
        <w:t>Oberst</w:t>
      </w:r>
      <w:proofErr w:type="spellEnd"/>
      <w:r w:rsidR="00AD7BD1" w:rsidRPr="0058443A">
        <w:t>, 2018</w:t>
      </w:r>
      <w:r w:rsidR="00C65357" w:rsidRPr="0058443A">
        <w:t xml:space="preserve">). </w:t>
      </w:r>
      <w:r w:rsidRPr="0058443A">
        <w:t>Germany was deemed a site of particular interest</w:t>
      </w:r>
      <w:r w:rsidR="00582C4A" w:rsidRPr="0058443A">
        <w:t>,</w:t>
      </w:r>
      <w:r w:rsidRPr="0058443A">
        <w:t xml:space="preserve"> </w:t>
      </w:r>
      <w:r w:rsidR="00582C4A" w:rsidRPr="0058443A">
        <w:t xml:space="preserve">as a </w:t>
      </w:r>
      <w:r w:rsidR="00FC7302" w:rsidRPr="0058443A">
        <w:t>global</w:t>
      </w:r>
      <w:r w:rsidR="00582C4A" w:rsidRPr="0058443A">
        <w:t xml:space="preserve"> leader in the production </w:t>
      </w:r>
      <w:r w:rsidR="00596FC5" w:rsidRPr="0058443A">
        <w:t xml:space="preserve">and consumption </w:t>
      </w:r>
      <w:r w:rsidR="00582C4A" w:rsidRPr="0058443A">
        <w:t>of v</w:t>
      </w:r>
      <w:r w:rsidR="0072505C" w:rsidRPr="0058443A">
        <w:t>*</w:t>
      </w:r>
      <w:proofErr w:type="spellStart"/>
      <w:r w:rsidR="0072505C" w:rsidRPr="0058443A">
        <w:t>gan</w:t>
      </w:r>
      <w:proofErr w:type="spellEnd"/>
      <w:r w:rsidR="00582C4A" w:rsidRPr="0058443A">
        <w:t xml:space="preserve"> foods (</w:t>
      </w:r>
      <w:proofErr w:type="spellStart"/>
      <w:r w:rsidR="00582C4A" w:rsidRPr="0058443A">
        <w:t>Bielinska</w:t>
      </w:r>
      <w:proofErr w:type="spellEnd"/>
      <w:r w:rsidR="00582C4A" w:rsidRPr="0058443A">
        <w:t xml:space="preserve"> et al., 2020; </w:t>
      </w:r>
      <w:proofErr w:type="spellStart"/>
      <w:r w:rsidR="00582C4A" w:rsidRPr="0058443A">
        <w:t>Saari</w:t>
      </w:r>
      <w:proofErr w:type="spellEnd"/>
      <w:r w:rsidR="00582C4A" w:rsidRPr="0058443A">
        <w:t xml:space="preserve"> et al., 2021</w:t>
      </w:r>
      <w:r w:rsidRPr="0058443A">
        <w:t>).</w:t>
      </w:r>
    </w:p>
    <w:p w14:paraId="338A1911" w14:textId="7E24838C" w:rsidR="006A0C34" w:rsidRPr="003704AC" w:rsidRDefault="00EB31E1">
      <w:pPr>
        <w:widowControl w:val="0"/>
        <w:spacing w:line="480" w:lineRule="auto"/>
        <w:ind w:firstLine="720"/>
      </w:pPr>
      <w:r w:rsidRPr="003704AC">
        <w:t xml:space="preserve">The preregistered hypotheses, measures, recruitment and analysis plan can be found here: https://aspredicted.org/tj6a3.pdf. </w:t>
      </w:r>
      <w:r w:rsidR="001C514A" w:rsidRPr="003704AC">
        <w:t>For a</w:t>
      </w:r>
      <w:r w:rsidRPr="003704AC">
        <w:t xml:space="preserve">n anonymized version of the data, R script, and all study materials: https://osf.io/u4j58/?view_only=f68c935f8fd74c52bc59bf203e2d021f. </w:t>
      </w:r>
    </w:p>
    <w:p w14:paraId="53F07D30" w14:textId="77777777" w:rsidR="006A0C34" w:rsidRPr="003704AC" w:rsidRDefault="00EB31E1">
      <w:pPr>
        <w:jc w:val="center"/>
      </w:pPr>
      <w:r w:rsidRPr="003704AC">
        <w:rPr>
          <w:b/>
        </w:rPr>
        <w:t>2. Method</w:t>
      </w:r>
    </w:p>
    <w:p w14:paraId="4BFF7660" w14:textId="77777777" w:rsidR="006A0C34" w:rsidRPr="003704AC" w:rsidRDefault="00EB31E1">
      <w:pPr>
        <w:spacing w:line="480" w:lineRule="auto"/>
        <w:rPr>
          <w:b/>
        </w:rPr>
      </w:pPr>
      <w:r w:rsidRPr="003704AC">
        <w:rPr>
          <w:b/>
        </w:rPr>
        <w:t>2.1 Recruitment Plan and Participants</w:t>
      </w:r>
    </w:p>
    <w:p w14:paraId="226D15D9" w14:textId="52E5B953" w:rsidR="006A0C34" w:rsidRPr="003704AC" w:rsidRDefault="00EB31E1">
      <w:pPr>
        <w:spacing w:line="480" w:lineRule="auto"/>
      </w:pPr>
      <w:r w:rsidRPr="003704AC">
        <w:rPr>
          <w:b/>
        </w:rPr>
        <w:t xml:space="preserve">        </w:t>
      </w:r>
      <w:r w:rsidRPr="003704AC">
        <w:rPr>
          <w:b/>
        </w:rPr>
        <w:tab/>
      </w:r>
      <w:r w:rsidRPr="003704AC">
        <w:t xml:space="preserve">In line with our preregistered power analysis, we aimed to recruit between 120-150 participants from three different university campuses: Lancaster University (UK), Johannes Gutenberg-University Mainz (Germany), and La Trobe (Australia). </w:t>
      </w:r>
      <w:r w:rsidRPr="0058443A">
        <w:t>UK recruitment spanned December</w:t>
      </w:r>
      <w:r w:rsidR="00FB19F4" w:rsidRPr="0058443A">
        <w:t xml:space="preserve"> 20</w:t>
      </w:r>
      <w:r w:rsidR="006D2EE7" w:rsidRPr="0058443A">
        <w:t>1</w:t>
      </w:r>
      <w:r w:rsidR="005B0DCE" w:rsidRPr="0058443A">
        <w:t>8</w:t>
      </w:r>
      <w:r w:rsidR="006D2EE7" w:rsidRPr="0058443A">
        <w:t xml:space="preserve"> </w:t>
      </w:r>
      <w:r w:rsidRPr="0058443A">
        <w:t>to June 201</w:t>
      </w:r>
      <w:r w:rsidR="005B0DCE" w:rsidRPr="0058443A">
        <w:t>9</w:t>
      </w:r>
      <w:r w:rsidR="00FB07C3" w:rsidRPr="0058443A">
        <w:t xml:space="preserve">; in Germany, </w:t>
      </w:r>
      <w:r w:rsidR="00876EC0" w:rsidRPr="0058443A">
        <w:t>it</w:t>
      </w:r>
      <w:r w:rsidR="00FB07C3" w:rsidRPr="0058443A">
        <w:t xml:space="preserve"> spanned April 2019 to </w:t>
      </w:r>
      <w:r w:rsidR="00AA71A8" w:rsidRPr="0058443A">
        <w:t>August</w:t>
      </w:r>
      <w:r w:rsidR="00FB07C3" w:rsidRPr="0058443A">
        <w:t xml:space="preserve"> 2019; in Australia it was from September 2019 to March 2020</w:t>
      </w:r>
      <w:r w:rsidRPr="003704AC">
        <w:t xml:space="preserve">. Recruitment at the </w:t>
      </w:r>
      <w:r w:rsidR="00041450" w:rsidRPr="003704AC">
        <w:t>Australian</w:t>
      </w:r>
      <w:r w:rsidRPr="003704AC">
        <w:t xml:space="preserve"> site proved challenging. To encourage participation, we adapted the recruitment strategy from in-person lab sessions to remote (online) video sessions and recruitment was extended to non-students living in Melbourne via targeted Facebook advertisements. Due to the extensive time </w:t>
      </w:r>
      <w:r w:rsidRPr="003704AC">
        <w:lastRenderedPageBreak/>
        <w:t>commitment of this study and concerns about attrition, participants were substantially compensated (£30 GBP in the UK; 30€ Euro in Germany; $50 AUD in Australia)</w:t>
      </w:r>
      <w:r w:rsidRPr="003704AC">
        <w:rPr>
          <w:vertAlign w:val="superscript"/>
        </w:rPr>
        <w:footnoteReference w:id="2"/>
      </w:r>
      <w:r w:rsidRPr="003704AC">
        <w:t xml:space="preserve">. </w:t>
      </w:r>
    </w:p>
    <w:p w14:paraId="4DEBD88F" w14:textId="780D3C43" w:rsidR="006A0C34" w:rsidRPr="003704AC" w:rsidRDefault="00EB31E1">
      <w:pPr>
        <w:spacing w:line="480" w:lineRule="auto"/>
        <w:ind w:firstLine="720"/>
      </w:pPr>
      <w:r w:rsidRPr="003704AC">
        <w:t>In the end, we were able to recruit a total of 420 participants, across three sites. However, 95 participants (31 UK, 50 Germany, 14 Australia) were excluded from analysis because they either (a) failed to complete the outtake survey (</w:t>
      </w:r>
      <w:r w:rsidRPr="003704AC">
        <w:rPr>
          <w:i/>
        </w:rPr>
        <w:t xml:space="preserve">n </w:t>
      </w:r>
      <w:r w:rsidRPr="003704AC">
        <w:t xml:space="preserve">= 10 UK, 3 Germany, 1 Australia), (b) completed less than 50% of the daily surveys (i.e., reported their eating behavior on fewer than 14 days; </w:t>
      </w:r>
      <w:r w:rsidRPr="003704AC">
        <w:rPr>
          <w:i/>
        </w:rPr>
        <w:t xml:space="preserve">n </w:t>
      </w:r>
      <w:r w:rsidRPr="003704AC">
        <w:t>= 9 UK, 2 Germany, 7 Australia), or (c) reported in the intake survey that they did not eat meat of any kind (</w:t>
      </w:r>
      <w:r w:rsidRPr="003704AC">
        <w:rPr>
          <w:i/>
        </w:rPr>
        <w:t xml:space="preserve">n </w:t>
      </w:r>
      <w:r w:rsidRPr="003704AC">
        <w:t>= 12 UK, 45 Germany, 6 Australia); specifically, participants classifying as “</w:t>
      </w:r>
      <w:proofErr w:type="spellStart"/>
      <w:r w:rsidRPr="003704AC">
        <w:t>lacto</w:t>
      </w:r>
      <w:proofErr w:type="spellEnd"/>
      <w:r w:rsidRPr="003704AC">
        <w:t xml:space="preserve">- or ovo-vegetarian”, “strict vegetarian”, “dietary vegan” or “lifestyle vegan” were excluded, while “meat lovers”, “omnivores”, “semi-vegetarians/meat reducers”, and “pescatarians” were retained.  </w:t>
      </w:r>
      <w:r w:rsidRPr="0058443A">
        <w:t>We preregistered exclusion criterion (c); criteria (a) and (b) were deemed necessary to address issues of high levels of missing data</w:t>
      </w:r>
      <w:r w:rsidR="00337576" w:rsidRPr="0058443A">
        <w:t xml:space="preserve"> </w:t>
      </w:r>
      <w:r w:rsidR="001B6B11" w:rsidRPr="0058443A">
        <w:t>reflecting</w:t>
      </w:r>
      <w:r w:rsidR="00337576" w:rsidRPr="0058443A">
        <w:t xml:space="preserve"> a failure </w:t>
      </w:r>
      <w:r w:rsidR="000F60EF" w:rsidRPr="0058443A">
        <w:t xml:space="preserve">on the part of some participants </w:t>
      </w:r>
      <w:r w:rsidR="00337576" w:rsidRPr="0058443A">
        <w:t>to engage conscientiously with the experience-sampling procedure</w:t>
      </w:r>
      <w:r w:rsidRPr="003704AC">
        <w:t xml:space="preserve">. The final sample consisted of 325 participants: 127 from the UK, 142 from Germany and 56 from Australia. This was slightly below the preregistered target of 360. The breakdown by condition at each site was: UK (pledge = 69, control = 58); Germany (pledge = 62, control = 80); Australia (pledge = 28, control = 28). Among the final sample, 266 participants (82%) completed the 1-month follow-up survey (96 from the UK, 125 Germany, 45 Australia). </w:t>
      </w:r>
    </w:p>
    <w:p w14:paraId="01A25C00" w14:textId="46582243" w:rsidR="006A0C34" w:rsidRPr="003704AC" w:rsidRDefault="00EB31E1" w:rsidP="00C82B23">
      <w:pPr>
        <w:spacing w:line="480" w:lineRule="auto"/>
        <w:ind w:firstLine="720"/>
      </w:pPr>
      <w:r w:rsidRPr="003704AC">
        <w:t xml:space="preserve">Table 1 presents the demographic profile of each sample. </w:t>
      </w:r>
      <w:r w:rsidRPr="0058443A">
        <w:t>As can be seen, the profile of the samples tended to be skewed in the direction of more female to male participants; there was some diversity in the age, ethnicity, and political orientation of the samples; Germany had the largest proportion of semi-vegetarians.</w:t>
      </w:r>
      <w:r w:rsidRPr="0058443A">
        <w:rPr>
          <w:sz w:val="23"/>
          <w:szCs w:val="23"/>
        </w:rPr>
        <w:t xml:space="preserve"> </w:t>
      </w:r>
    </w:p>
    <w:p w14:paraId="4CB01031" w14:textId="77777777" w:rsidR="006A0C34" w:rsidRPr="003704AC" w:rsidRDefault="00EB31E1">
      <w:pPr>
        <w:spacing w:line="480" w:lineRule="auto"/>
        <w:rPr>
          <w:b/>
        </w:rPr>
      </w:pPr>
      <w:r w:rsidRPr="003704AC">
        <w:rPr>
          <w:b/>
        </w:rPr>
        <w:lastRenderedPageBreak/>
        <w:t>Table 1</w:t>
      </w:r>
    </w:p>
    <w:p w14:paraId="1969F761" w14:textId="77777777" w:rsidR="006A0C34" w:rsidRPr="003704AC" w:rsidRDefault="00EB31E1">
      <w:pPr>
        <w:spacing w:line="480" w:lineRule="auto"/>
        <w:rPr>
          <w:i/>
        </w:rPr>
      </w:pPr>
      <w:r w:rsidRPr="003704AC">
        <w:rPr>
          <w:i/>
        </w:rPr>
        <w:t>Demographic profile of each sample by country.</w:t>
      </w:r>
    </w:p>
    <w:tbl>
      <w:tblPr>
        <w:tblStyle w:val="a"/>
        <w:tblW w:w="991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38"/>
        <w:gridCol w:w="2666"/>
        <w:gridCol w:w="2721"/>
        <w:gridCol w:w="2693"/>
      </w:tblGrid>
      <w:tr w:rsidR="006A0C34" w:rsidRPr="003704AC" w14:paraId="1BC38B80" w14:textId="77777777">
        <w:tc>
          <w:tcPr>
            <w:tcW w:w="1838" w:type="dxa"/>
            <w:tcBorders>
              <w:top w:val="single" w:sz="4" w:space="0" w:color="000000"/>
              <w:bottom w:val="single" w:sz="4" w:space="0" w:color="000000"/>
            </w:tcBorders>
          </w:tcPr>
          <w:p w14:paraId="1143FF6F" w14:textId="77777777" w:rsidR="006A0C34" w:rsidRPr="003704AC" w:rsidRDefault="006A0C34">
            <w:pPr>
              <w:spacing w:line="480" w:lineRule="auto"/>
            </w:pPr>
          </w:p>
        </w:tc>
        <w:tc>
          <w:tcPr>
            <w:tcW w:w="2666" w:type="dxa"/>
            <w:tcBorders>
              <w:top w:val="single" w:sz="4" w:space="0" w:color="000000"/>
              <w:bottom w:val="single" w:sz="4" w:space="0" w:color="000000"/>
            </w:tcBorders>
          </w:tcPr>
          <w:p w14:paraId="78AB0BD4" w14:textId="77777777" w:rsidR="006A0C34" w:rsidRPr="003704AC" w:rsidRDefault="00EB31E1">
            <w:pPr>
              <w:spacing w:line="480" w:lineRule="auto"/>
              <w:jc w:val="center"/>
              <w:rPr>
                <w:b/>
              </w:rPr>
            </w:pPr>
            <w:r w:rsidRPr="003704AC">
              <w:rPr>
                <w:b/>
              </w:rPr>
              <w:t xml:space="preserve">UK </w:t>
            </w:r>
          </w:p>
          <w:p w14:paraId="54F1C14B" w14:textId="77777777" w:rsidR="006A0C34" w:rsidRPr="003704AC" w:rsidRDefault="00EB31E1">
            <w:pPr>
              <w:spacing w:line="480" w:lineRule="auto"/>
              <w:jc w:val="center"/>
            </w:pPr>
            <w:r w:rsidRPr="003704AC">
              <w:t>(</w:t>
            </w:r>
            <w:r w:rsidRPr="003704AC">
              <w:rPr>
                <w:i/>
              </w:rPr>
              <w:t>N</w:t>
            </w:r>
            <w:r w:rsidRPr="003704AC">
              <w:t xml:space="preserve"> = 127)</w:t>
            </w:r>
          </w:p>
        </w:tc>
        <w:tc>
          <w:tcPr>
            <w:tcW w:w="2721" w:type="dxa"/>
            <w:tcBorders>
              <w:top w:val="single" w:sz="4" w:space="0" w:color="000000"/>
              <w:bottom w:val="single" w:sz="4" w:space="0" w:color="000000"/>
            </w:tcBorders>
          </w:tcPr>
          <w:p w14:paraId="59914F0F" w14:textId="77777777" w:rsidR="006A0C34" w:rsidRPr="003704AC" w:rsidRDefault="00EB31E1">
            <w:pPr>
              <w:spacing w:line="480" w:lineRule="auto"/>
              <w:jc w:val="center"/>
              <w:rPr>
                <w:b/>
              </w:rPr>
            </w:pPr>
            <w:r w:rsidRPr="003704AC">
              <w:rPr>
                <w:b/>
              </w:rPr>
              <w:t xml:space="preserve">Germany </w:t>
            </w:r>
          </w:p>
          <w:p w14:paraId="3692D31C" w14:textId="77777777" w:rsidR="006A0C34" w:rsidRPr="003704AC" w:rsidRDefault="00EB31E1">
            <w:pPr>
              <w:spacing w:line="480" w:lineRule="auto"/>
              <w:jc w:val="center"/>
            </w:pPr>
            <w:r w:rsidRPr="003704AC">
              <w:t>(</w:t>
            </w:r>
            <w:r w:rsidRPr="003704AC">
              <w:rPr>
                <w:i/>
              </w:rPr>
              <w:t>N</w:t>
            </w:r>
            <w:r w:rsidRPr="003704AC">
              <w:t xml:space="preserve"> = 142)</w:t>
            </w:r>
          </w:p>
        </w:tc>
        <w:tc>
          <w:tcPr>
            <w:tcW w:w="2693" w:type="dxa"/>
            <w:tcBorders>
              <w:top w:val="single" w:sz="4" w:space="0" w:color="000000"/>
              <w:bottom w:val="single" w:sz="4" w:space="0" w:color="000000"/>
            </w:tcBorders>
          </w:tcPr>
          <w:p w14:paraId="39B998C9" w14:textId="77777777" w:rsidR="006A0C34" w:rsidRPr="003704AC" w:rsidRDefault="00EB31E1">
            <w:pPr>
              <w:spacing w:line="480" w:lineRule="auto"/>
              <w:jc w:val="center"/>
              <w:rPr>
                <w:b/>
              </w:rPr>
            </w:pPr>
            <w:r w:rsidRPr="003704AC">
              <w:rPr>
                <w:b/>
              </w:rPr>
              <w:t xml:space="preserve">Australia </w:t>
            </w:r>
          </w:p>
          <w:p w14:paraId="20273907" w14:textId="77777777" w:rsidR="006A0C34" w:rsidRPr="003704AC" w:rsidRDefault="00EB31E1">
            <w:pPr>
              <w:spacing w:line="480" w:lineRule="auto"/>
              <w:jc w:val="center"/>
            </w:pPr>
            <w:r w:rsidRPr="003704AC">
              <w:t>(</w:t>
            </w:r>
            <w:r w:rsidRPr="003704AC">
              <w:rPr>
                <w:i/>
              </w:rPr>
              <w:t xml:space="preserve">N </w:t>
            </w:r>
            <w:r w:rsidRPr="003704AC">
              <w:t>= 56)</w:t>
            </w:r>
          </w:p>
        </w:tc>
      </w:tr>
      <w:tr w:rsidR="006A0C34" w:rsidRPr="003704AC" w14:paraId="417B5E91" w14:textId="77777777">
        <w:tc>
          <w:tcPr>
            <w:tcW w:w="1838" w:type="dxa"/>
            <w:tcBorders>
              <w:top w:val="single" w:sz="4" w:space="0" w:color="000000"/>
            </w:tcBorders>
          </w:tcPr>
          <w:p w14:paraId="37CB6BB1" w14:textId="77777777" w:rsidR="006A0C34" w:rsidRPr="003704AC" w:rsidRDefault="00EB31E1">
            <w:pPr>
              <w:spacing w:line="480" w:lineRule="auto"/>
            </w:pPr>
            <w:r w:rsidRPr="003704AC">
              <w:t>Gender</w:t>
            </w:r>
          </w:p>
        </w:tc>
        <w:tc>
          <w:tcPr>
            <w:tcW w:w="2666" w:type="dxa"/>
            <w:tcBorders>
              <w:top w:val="single" w:sz="4" w:space="0" w:color="000000"/>
            </w:tcBorders>
          </w:tcPr>
          <w:p w14:paraId="11EF3600" w14:textId="77777777" w:rsidR="006A0C34" w:rsidRPr="003704AC" w:rsidRDefault="00EB31E1">
            <w:pPr>
              <w:spacing w:line="480" w:lineRule="auto"/>
            </w:pPr>
            <w:r w:rsidRPr="003704AC">
              <w:t xml:space="preserve">92 female, 34 male, 1 other/unspecified </w:t>
            </w:r>
          </w:p>
        </w:tc>
        <w:tc>
          <w:tcPr>
            <w:tcW w:w="2721" w:type="dxa"/>
            <w:tcBorders>
              <w:top w:val="single" w:sz="4" w:space="0" w:color="000000"/>
            </w:tcBorders>
          </w:tcPr>
          <w:p w14:paraId="20F76988" w14:textId="77777777" w:rsidR="006A0C34" w:rsidRPr="003704AC" w:rsidRDefault="00EB31E1">
            <w:pPr>
              <w:spacing w:line="480" w:lineRule="auto"/>
            </w:pPr>
            <w:r w:rsidRPr="003704AC">
              <w:t xml:space="preserve">113 female, 16 male, 13 other/unspecified </w:t>
            </w:r>
          </w:p>
        </w:tc>
        <w:tc>
          <w:tcPr>
            <w:tcW w:w="2693" w:type="dxa"/>
            <w:tcBorders>
              <w:top w:val="single" w:sz="4" w:space="0" w:color="000000"/>
            </w:tcBorders>
          </w:tcPr>
          <w:p w14:paraId="4E983D7A" w14:textId="77777777" w:rsidR="006A0C34" w:rsidRPr="003704AC" w:rsidRDefault="00EB31E1">
            <w:pPr>
              <w:spacing w:line="480" w:lineRule="auto"/>
            </w:pPr>
            <w:r w:rsidRPr="003704AC">
              <w:t xml:space="preserve">44 female, 11 male, 1 other/unspecified </w:t>
            </w:r>
          </w:p>
        </w:tc>
      </w:tr>
      <w:tr w:rsidR="006A0C34" w:rsidRPr="003704AC" w14:paraId="460656BB" w14:textId="77777777">
        <w:tc>
          <w:tcPr>
            <w:tcW w:w="1838" w:type="dxa"/>
          </w:tcPr>
          <w:p w14:paraId="34E7B412" w14:textId="77777777" w:rsidR="006A0C34" w:rsidRPr="003704AC" w:rsidRDefault="00EB31E1">
            <w:pPr>
              <w:spacing w:line="480" w:lineRule="auto"/>
            </w:pPr>
            <w:r w:rsidRPr="003704AC">
              <w:t>Age</w:t>
            </w:r>
          </w:p>
        </w:tc>
        <w:tc>
          <w:tcPr>
            <w:tcW w:w="2666" w:type="dxa"/>
          </w:tcPr>
          <w:p w14:paraId="37F3F6BF" w14:textId="77777777" w:rsidR="006A0C34" w:rsidRPr="003704AC" w:rsidRDefault="00EB31E1">
            <w:pPr>
              <w:spacing w:line="480" w:lineRule="auto"/>
            </w:pPr>
            <w:r w:rsidRPr="003704AC">
              <w:rPr>
                <w:i/>
              </w:rPr>
              <w:t>M</w:t>
            </w:r>
            <w:r w:rsidRPr="003704AC">
              <w:t xml:space="preserve"> = 21.04 years, </w:t>
            </w:r>
            <w:r w:rsidRPr="003704AC">
              <w:rPr>
                <w:i/>
              </w:rPr>
              <w:t>SD</w:t>
            </w:r>
            <w:r w:rsidRPr="003704AC">
              <w:t xml:space="preserve"> = 4.26, range = 18-62</w:t>
            </w:r>
          </w:p>
        </w:tc>
        <w:tc>
          <w:tcPr>
            <w:tcW w:w="2721" w:type="dxa"/>
          </w:tcPr>
          <w:p w14:paraId="254DDFEB" w14:textId="77777777" w:rsidR="006A0C34" w:rsidRPr="003704AC" w:rsidRDefault="00EB31E1">
            <w:pPr>
              <w:spacing w:line="480" w:lineRule="auto"/>
            </w:pPr>
            <w:r w:rsidRPr="003704AC">
              <w:rPr>
                <w:i/>
              </w:rPr>
              <w:t>M</w:t>
            </w:r>
            <w:r w:rsidRPr="003704AC">
              <w:t xml:space="preserve"> = 25.17 years, </w:t>
            </w:r>
            <w:r w:rsidRPr="003704AC">
              <w:rPr>
                <w:i/>
              </w:rPr>
              <w:t>SD</w:t>
            </w:r>
            <w:r w:rsidRPr="003704AC">
              <w:t xml:space="preserve"> = 5.38, range = 18-52</w:t>
            </w:r>
          </w:p>
        </w:tc>
        <w:tc>
          <w:tcPr>
            <w:tcW w:w="2693" w:type="dxa"/>
          </w:tcPr>
          <w:p w14:paraId="37940EBE" w14:textId="77777777" w:rsidR="006A0C34" w:rsidRPr="003704AC" w:rsidRDefault="00EB31E1">
            <w:pPr>
              <w:spacing w:line="480" w:lineRule="auto"/>
            </w:pPr>
            <w:r w:rsidRPr="003704AC">
              <w:rPr>
                <w:i/>
              </w:rPr>
              <w:t>M</w:t>
            </w:r>
            <w:r w:rsidRPr="003704AC">
              <w:t xml:space="preserve"> = 32.71 years, </w:t>
            </w:r>
            <w:r w:rsidRPr="003704AC">
              <w:rPr>
                <w:i/>
              </w:rPr>
              <w:t>SD</w:t>
            </w:r>
            <w:r w:rsidRPr="003704AC">
              <w:t xml:space="preserve"> = 13.44, range = 18-69</w:t>
            </w:r>
          </w:p>
        </w:tc>
      </w:tr>
      <w:tr w:rsidR="006A0C34" w:rsidRPr="003704AC" w14:paraId="471E8022" w14:textId="77777777">
        <w:tc>
          <w:tcPr>
            <w:tcW w:w="1838" w:type="dxa"/>
          </w:tcPr>
          <w:p w14:paraId="7C3A1740" w14:textId="77777777" w:rsidR="006A0C34" w:rsidRPr="003704AC" w:rsidRDefault="00EB31E1">
            <w:pPr>
              <w:spacing w:line="480" w:lineRule="auto"/>
            </w:pPr>
            <w:r w:rsidRPr="003704AC">
              <w:t xml:space="preserve">Nationality </w:t>
            </w:r>
          </w:p>
        </w:tc>
        <w:tc>
          <w:tcPr>
            <w:tcW w:w="2666" w:type="dxa"/>
          </w:tcPr>
          <w:p w14:paraId="5B9AF1DA" w14:textId="77777777" w:rsidR="006A0C34" w:rsidRPr="003704AC" w:rsidRDefault="00EB31E1">
            <w:pPr>
              <w:spacing w:line="480" w:lineRule="auto"/>
            </w:pPr>
            <w:r w:rsidRPr="003704AC">
              <w:t>59.1% British, 40.9% other</w:t>
            </w:r>
          </w:p>
        </w:tc>
        <w:tc>
          <w:tcPr>
            <w:tcW w:w="2721" w:type="dxa"/>
          </w:tcPr>
          <w:p w14:paraId="623D1EEC" w14:textId="77777777" w:rsidR="006A0C34" w:rsidRPr="003704AC" w:rsidRDefault="00EB31E1">
            <w:pPr>
              <w:spacing w:line="480" w:lineRule="auto"/>
            </w:pPr>
            <w:r w:rsidRPr="003704AC">
              <w:t>90.8% German, 9.2% other</w:t>
            </w:r>
          </w:p>
        </w:tc>
        <w:tc>
          <w:tcPr>
            <w:tcW w:w="2693" w:type="dxa"/>
          </w:tcPr>
          <w:p w14:paraId="5DD81EB2" w14:textId="77777777" w:rsidR="006A0C34" w:rsidRPr="003704AC" w:rsidRDefault="00EB31E1">
            <w:pPr>
              <w:spacing w:line="480" w:lineRule="auto"/>
            </w:pPr>
            <w:r w:rsidRPr="003704AC">
              <w:t>76.8% Australian, 23.2% other</w:t>
            </w:r>
          </w:p>
        </w:tc>
      </w:tr>
      <w:tr w:rsidR="006A0C34" w:rsidRPr="003704AC" w14:paraId="13D4E7AF" w14:textId="77777777">
        <w:tc>
          <w:tcPr>
            <w:tcW w:w="1838" w:type="dxa"/>
          </w:tcPr>
          <w:p w14:paraId="782680A6" w14:textId="77777777" w:rsidR="006A0C34" w:rsidRPr="003704AC" w:rsidRDefault="00EB31E1">
            <w:pPr>
              <w:spacing w:line="480" w:lineRule="auto"/>
            </w:pPr>
            <w:r w:rsidRPr="003704AC">
              <w:t xml:space="preserve">Ethnicity </w:t>
            </w:r>
          </w:p>
        </w:tc>
        <w:tc>
          <w:tcPr>
            <w:tcW w:w="2666" w:type="dxa"/>
          </w:tcPr>
          <w:p w14:paraId="78225A82" w14:textId="77777777" w:rsidR="006A0C34" w:rsidRPr="003704AC" w:rsidRDefault="00EB31E1">
            <w:pPr>
              <w:spacing w:line="480" w:lineRule="auto"/>
            </w:pPr>
            <w:r w:rsidRPr="003704AC">
              <w:t>65.4% White, 26.8% Asian, 3.1 Black/African, 3.9% multiple, 0.8% Latino</w:t>
            </w:r>
          </w:p>
        </w:tc>
        <w:tc>
          <w:tcPr>
            <w:tcW w:w="2721" w:type="dxa"/>
          </w:tcPr>
          <w:p w14:paraId="58F73751" w14:textId="77777777" w:rsidR="006A0C34" w:rsidRPr="003704AC" w:rsidRDefault="00EB31E1">
            <w:pPr>
              <w:spacing w:line="480" w:lineRule="auto"/>
            </w:pPr>
            <w:r w:rsidRPr="003704AC">
              <w:t>90.1% White, 4.2% multiple, 3.5% Latino, 1.4% Asian, 0.7% Black</w:t>
            </w:r>
          </w:p>
        </w:tc>
        <w:tc>
          <w:tcPr>
            <w:tcW w:w="2693" w:type="dxa"/>
          </w:tcPr>
          <w:p w14:paraId="1F1215A4" w14:textId="77777777" w:rsidR="006A0C34" w:rsidRPr="003704AC" w:rsidRDefault="00EB31E1">
            <w:pPr>
              <w:spacing w:line="480" w:lineRule="auto"/>
            </w:pPr>
            <w:r w:rsidRPr="003704AC">
              <w:t>58.9% White, 33.9% Asian, 1.8% Latino, 5.4% multiple</w:t>
            </w:r>
          </w:p>
        </w:tc>
      </w:tr>
      <w:tr w:rsidR="006A0C34" w:rsidRPr="003704AC" w14:paraId="7165C36E" w14:textId="77777777">
        <w:tc>
          <w:tcPr>
            <w:tcW w:w="1838" w:type="dxa"/>
          </w:tcPr>
          <w:p w14:paraId="69C8D367" w14:textId="77777777" w:rsidR="006A0C34" w:rsidRPr="003704AC" w:rsidRDefault="00EB31E1">
            <w:pPr>
              <w:spacing w:line="480" w:lineRule="auto"/>
            </w:pPr>
            <w:r w:rsidRPr="003704AC">
              <w:t>Political orientation</w:t>
            </w:r>
          </w:p>
        </w:tc>
        <w:tc>
          <w:tcPr>
            <w:tcW w:w="2666" w:type="dxa"/>
          </w:tcPr>
          <w:p w14:paraId="58630469" w14:textId="77777777" w:rsidR="006A0C34" w:rsidRPr="003704AC" w:rsidRDefault="00EB31E1">
            <w:pPr>
              <w:spacing w:line="480" w:lineRule="auto"/>
            </w:pPr>
            <w:r w:rsidRPr="003704AC">
              <w:t>55.0% liberal, 33.1% neutral, 11.9% conservative</w:t>
            </w:r>
          </w:p>
        </w:tc>
        <w:tc>
          <w:tcPr>
            <w:tcW w:w="2721" w:type="dxa"/>
          </w:tcPr>
          <w:p w14:paraId="69AD22DC" w14:textId="77777777" w:rsidR="006A0C34" w:rsidRPr="003704AC" w:rsidRDefault="00EB31E1">
            <w:pPr>
              <w:spacing w:line="480" w:lineRule="auto"/>
            </w:pPr>
            <w:r w:rsidRPr="003704AC">
              <w:t>58.5% liberal, 33.8% neutral, 7.7% conservative</w:t>
            </w:r>
          </w:p>
        </w:tc>
        <w:tc>
          <w:tcPr>
            <w:tcW w:w="2693" w:type="dxa"/>
          </w:tcPr>
          <w:p w14:paraId="321F2F49" w14:textId="77777777" w:rsidR="006A0C34" w:rsidRPr="003704AC" w:rsidRDefault="00EB31E1">
            <w:pPr>
              <w:spacing w:line="480" w:lineRule="auto"/>
            </w:pPr>
            <w:r w:rsidRPr="003704AC">
              <w:t>37.4% liberal, 48.2% neutral, 14.3% conservative</w:t>
            </w:r>
          </w:p>
        </w:tc>
      </w:tr>
      <w:tr w:rsidR="006A0C34" w:rsidRPr="003704AC" w14:paraId="1D90C55E" w14:textId="77777777">
        <w:tc>
          <w:tcPr>
            <w:tcW w:w="1838" w:type="dxa"/>
          </w:tcPr>
          <w:p w14:paraId="680750D7" w14:textId="77777777" w:rsidR="006A0C34" w:rsidRPr="003704AC" w:rsidRDefault="00EB31E1">
            <w:pPr>
              <w:spacing w:line="480" w:lineRule="auto"/>
            </w:pPr>
            <w:r w:rsidRPr="003704AC">
              <w:t>Diet</w:t>
            </w:r>
          </w:p>
        </w:tc>
        <w:tc>
          <w:tcPr>
            <w:tcW w:w="2666" w:type="dxa"/>
          </w:tcPr>
          <w:p w14:paraId="7BB527EF" w14:textId="77777777" w:rsidR="006A0C34" w:rsidRPr="003704AC" w:rsidRDefault="00EB31E1">
            <w:pPr>
              <w:spacing w:line="480" w:lineRule="auto"/>
            </w:pPr>
            <w:r w:rsidRPr="003704AC">
              <w:t>10.2% meat lover, 66.9% omnivore, 19.7% semi-vegetarian, 3.1% pescatarian</w:t>
            </w:r>
          </w:p>
        </w:tc>
        <w:tc>
          <w:tcPr>
            <w:tcW w:w="2721" w:type="dxa"/>
          </w:tcPr>
          <w:p w14:paraId="6FCA083D" w14:textId="77777777" w:rsidR="006A0C34" w:rsidRPr="003704AC" w:rsidRDefault="00EB31E1">
            <w:pPr>
              <w:spacing w:line="480" w:lineRule="auto"/>
            </w:pPr>
            <w:r w:rsidRPr="003704AC">
              <w:t xml:space="preserve">2.1% meat lover, 48.6% omnivore, 43.0% semi-vegetarian, 6.3% pescatarian </w:t>
            </w:r>
          </w:p>
        </w:tc>
        <w:tc>
          <w:tcPr>
            <w:tcW w:w="2693" w:type="dxa"/>
          </w:tcPr>
          <w:p w14:paraId="34AAF549" w14:textId="77777777" w:rsidR="006A0C34" w:rsidRPr="003704AC" w:rsidRDefault="00EB31E1">
            <w:pPr>
              <w:spacing w:line="480" w:lineRule="auto"/>
            </w:pPr>
            <w:r w:rsidRPr="003704AC">
              <w:t>16.1% meat lover, 57.1% omnivore, 25.0% semi-vegetarian, 1.8% pescatarian</w:t>
            </w:r>
          </w:p>
        </w:tc>
      </w:tr>
      <w:tr w:rsidR="00C35CA8" w:rsidRPr="003704AC" w14:paraId="328E9477" w14:textId="77777777">
        <w:tc>
          <w:tcPr>
            <w:tcW w:w="1838" w:type="dxa"/>
          </w:tcPr>
          <w:p w14:paraId="1C2F413E" w14:textId="4390ACD8" w:rsidR="00C35CA8" w:rsidRPr="003704AC" w:rsidRDefault="00C35CA8">
            <w:pPr>
              <w:spacing w:line="480" w:lineRule="auto"/>
            </w:pPr>
            <w:r w:rsidRPr="003704AC">
              <w:t>Omnivore Conflict</w:t>
            </w:r>
          </w:p>
        </w:tc>
        <w:tc>
          <w:tcPr>
            <w:tcW w:w="2666" w:type="dxa"/>
          </w:tcPr>
          <w:p w14:paraId="5BE6A783" w14:textId="67DDFF02" w:rsidR="00C35CA8" w:rsidRPr="003704AC" w:rsidRDefault="00C35CA8" w:rsidP="00A4345A">
            <w:pPr>
              <w:spacing w:line="480" w:lineRule="auto"/>
            </w:pPr>
            <w:r w:rsidRPr="003704AC">
              <w:rPr>
                <w:i/>
              </w:rPr>
              <w:t xml:space="preserve">M </w:t>
            </w:r>
            <w:r w:rsidRPr="003704AC">
              <w:t xml:space="preserve">= 25.56, </w:t>
            </w:r>
            <w:r w:rsidRPr="003704AC">
              <w:rPr>
                <w:i/>
              </w:rPr>
              <w:t xml:space="preserve">SD = </w:t>
            </w:r>
            <w:r w:rsidRPr="003704AC">
              <w:t>6.97</w:t>
            </w:r>
          </w:p>
        </w:tc>
        <w:tc>
          <w:tcPr>
            <w:tcW w:w="2721" w:type="dxa"/>
          </w:tcPr>
          <w:p w14:paraId="3AB52B13" w14:textId="7E3282BD" w:rsidR="00C35CA8" w:rsidRPr="003704AC" w:rsidRDefault="00C35CA8">
            <w:pPr>
              <w:spacing w:line="480" w:lineRule="auto"/>
            </w:pPr>
            <w:r w:rsidRPr="003704AC">
              <w:rPr>
                <w:i/>
              </w:rPr>
              <w:t xml:space="preserve">M </w:t>
            </w:r>
            <w:r w:rsidRPr="003704AC">
              <w:t xml:space="preserve">= 26.73, </w:t>
            </w:r>
            <w:r w:rsidRPr="003704AC">
              <w:rPr>
                <w:i/>
              </w:rPr>
              <w:t xml:space="preserve">SD = </w:t>
            </w:r>
            <w:r w:rsidRPr="003704AC">
              <w:t>4.06</w:t>
            </w:r>
          </w:p>
        </w:tc>
        <w:tc>
          <w:tcPr>
            <w:tcW w:w="2693" w:type="dxa"/>
          </w:tcPr>
          <w:p w14:paraId="5342539D" w14:textId="7792067E" w:rsidR="00C35CA8" w:rsidRPr="003704AC" w:rsidRDefault="00C35CA8">
            <w:pPr>
              <w:spacing w:line="480" w:lineRule="auto"/>
            </w:pPr>
            <w:r w:rsidRPr="003704AC">
              <w:rPr>
                <w:i/>
              </w:rPr>
              <w:t>M</w:t>
            </w:r>
            <w:r w:rsidRPr="003704AC">
              <w:t xml:space="preserve"> = 24.63, </w:t>
            </w:r>
            <w:r w:rsidRPr="003704AC">
              <w:rPr>
                <w:i/>
              </w:rPr>
              <w:t>SD</w:t>
            </w:r>
            <w:r w:rsidRPr="003704AC">
              <w:t xml:space="preserve"> = 6.28</w:t>
            </w:r>
          </w:p>
        </w:tc>
      </w:tr>
    </w:tbl>
    <w:p w14:paraId="55F06470" w14:textId="77777777" w:rsidR="006A0C34" w:rsidRPr="003704AC" w:rsidRDefault="006A0C34">
      <w:pPr>
        <w:spacing w:line="480" w:lineRule="auto"/>
      </w:pPr>
    </w:p>
    <w:p w14:paraId="024A0CDC" w14:textId="77777777" w:rsidR="006A0C34" w:rsidRPr="003704AC" w:rsidRDefault="00EB31E1">
      <w:pPr>
        <w:spacing w:line="480" w:lineRule="auto"/>
        <w:rPr>
          <w:b/>
        </w:rPr>
      </w:pPr>
      <w:r w:rsidRPr="003704AC">
        <w:rPr>
          <w:b/>
        </w:rPr>
        <w:t xml:space="preserve">2.2 Procedures </w:t>
      </w:r>
    </w:p>
    <w:p w14:paraId="6DDC042C" w14:textId="77777777" w:rsidR="006A0C34" w:rsidRPr="003704AC" w:rsidRDefault="00EB31E1">
      <w:pPr>
        <w:spacing w:line="480" w:lineRule="auto"/>
        <w:rPr>
          <w:b/>
          <w:i/>
        </w:rPr>
      </w:pPr>
      <w:r w:rsidRPr="003704AC">
        <w:rPr>
          <w:b/>
          <w:i/>
        </w:rPr>
        <w:t xml:space="preserve">2.2.1 Overview of Procedures </w:t>
      </w:r>
    </w:p>
    <w:p w14:paraId="2C990B4B" w14:textId="130924E2" w:rsidR="006A0C34" w:rsidRPr="003704AC" w:rsidRDefault="00EB31E1">
      <w:pPr>
        <w:spacing w:line="480" w:lineRule="auto"/>
        <w:ind w:firstLine="720"/>
      </w:pPr>
      <w:r w:rsidRPr="003704AC">
        <w:lastRenderedPageBreak/>
        <w:t>Participants first completed a briefing session and intake survey, followed by 28 days</w:t>
      </w:r>
      <w:r w:rsidRPr="003704AC">
        <w:rPr>
          <w:vertAlign w:val="superscript"/>
        </w:rPr>
        <w:footnoteReference w:id="3"/>
      </w:r>
      <w:r w:rsidRPr="003704AC">
        <w:t xml:space="preserve"> of experience sampling. After the 28 days, participants were contacted by the experimenter to schedule an in-lab (UK, Germany) or online (Australia) outtake session, where they completed the outtake survey, received a partial debriefing, and their payment. Participants who were unable to attend the outtake session</w:t>
      </w:r>
      <w:r w:rsidR="00D14D44" w:rsidRPr="003704AC">
        <w:t xml:space="preserve"> in person</w:t>
      </w:r>
      <w:r w:rsidRPr="003704AC">
        <w:t xml:space="preserve"> were emailed </w:t>
      </w:r>
      <w:r w:rsidR="00D14D44" w:rsidRPr="003704AC">
        <w:t>this information</w:t>
      </w:r>
      <w:r w:rsidRPr="003704AC">
        <w:t xml:space="preserve">.  Participants were reminded at this time that they would receive a follow-up survey, by email, one month later. Additional debriefing information was provided upon completion of the follow-up survey, which revealed </w:t>
      </w:r>
      <w:r w:rsidR="00ED6EF6" w:rsidRPr="003704AC">
        <w:t xml:space="preserve">the </w:t>
      </w:r>
      <w:r w:rsidRPr="003704AC">
        <w:t>conditions of the experiment and full aims.</w:t>
      </w:r>
    </w:p>
    <w:p w14:paraId="0652F7AB" w14:textId="77777777" w:rsidR="006A0C34" w:rsidRPr="003704AC" w:rsidRDefault="00EB31E1">
      <w:pPr>
        <w:spacing w:line="480" w:lineRule="auto"/>
        <w:rPr>
          <w:i/>
        </w:rPr>
      </w:pPr>
      <w:r w:rsidRPr="003704AC">
        <w:rPr>
          <w:b/>
          <w:i/>
        </w:rPr>
        <w:t>2.2.2 Briefing Session and Pledge Manipulation</w:t>
      </w:r>
      <w:r w:rsidRPr="003704AC">
        <w:rPr>
          <w:i/>
        </w:rPr>
        <w:t xml:space="preserve"> </w:t>
      </w:r>
    </w:p>
    <w:p w14:paraId="37F4102C" w14:textId="60D8BA41" w:rsidR="006A0C34" w:rsidRPr="003704AC" w:rsidRDefault="00596FC5">
      <w:pPr>
        <w:spacing w:line="480" w:lineRule="auto"/>
        <w:ind w:firstLine="720"/>
      </w:pPr>
      <w:r w:rsidRPr="003704AC">
        <w:t xml:space="preserve">At all sites, </w:t>
      </w:r>
      <w:r w:rsidRPr="0058443A">
        <w:t xml:space="preserve">the briefing sessions, which </w:t>
      </w:r>
      <w:r w:rsidRPr="003704AC">
        <w:t xml:space="preserve">lasted approximately 30-40 minutes, </w:t>
      </w:r>
      <w:r w:rsidRPr="0058443A">
        <w:t>were run with 2-</w:t>
      </w:r>
      <w:r w:rsidR="00B4381A" w:rsidRPr="0058443A">
        <w:t>8</w:t>
      </w:r>
      <w:r w:rsidRPr="0058443A">
        <w:t xml:space="preserve"> participants to reduce the number of total sessions required</w:t>
      </w:r>
      <w:r w:rsidRPr="003704AC">
        <w:t xml:space="preserve">. </w:t>
      </w:r>
      <w:r w:rsidR="00041450" w:rsidRPr="003704AC">
        <w:t xml:space="preserve">In the UK and Germany, sessions were run in the lab, whereas in Australia most groups were run remotely via video chat, rather than in person. </w:t>
      </w:r>
      <w:r w:rsidRPr="003704AC">
        <w:t xml:space="preserve">To avoid diffusion of information between the pledging and non-pledging conditions, </w:t>
      </w:r>
      <w:r w:rsidRPr="0058443A">
        <w:t>all participants within a session were</w:t>
      </w:r>
      <w:r w:rsidR="00041450" w:rsidRPr="0058443A">
        <w:t xml:space="preserve"> </w:t>
      </w:r>
      <w:r w:rsidRPr="0058443A">
        <w:t>assigned to the same condition</w:t>
      </w:r>
      <w:r w:rsidR="00041450" w:rsidRPr="0058443A">
        <w:t>, thus, random assignment was applied to sessions</w:t>
      </w:r>
      <w:r w:rsidRPr="003704AC">
        <w:t xml:space="preserve">. </w:t>
      </w:r>
      <w:r w:rsidR="00041450" w:rsidRPr="0058443A">
        <w:t>However, p</w:t>
      </w:r>
      <w:r w:rsidRPr="0058443A">
        <w:t>articipants performed the 28-day task on their own</w:t>
      </w:r>
      <w:r w:rsidR="00692CBE" w:rsidRPr="0058443A">
        <w:t>, not in groups</w:t>
      </w:r>
      <w:r w:rsidRPr="0058443A">
        <w:t>.</w:t>
      </w:r>
      <w:r w:rsidR="00EB31E1" w:rsidRPr="003704AC">
        <w:t xml:space="preserve"> Before participants gave their consent to participate, they were first provided verbal instructions from the experimenter about the aims and procedures of the study. All participants were informed that the researchers were interested in the use of smartphones to study food habits over time. </w:t>
      </w:r>
    </w:p>
    <w:p w14:paraId="291D328A" w14:textId="0221D41B" w:rsidR="006A0C34" w:rsidRPr="003704AC" w:rsidRDefault="00EB31E1">
      <w:pPr>
        <w:spacing w:line="480" w:lineRule="auto"/>
        <w:ind w:firstLine="720"/>
      </w:pPr>
      <w:r w:rsidRPr="003704AC">
        <w:t xml:space="preserve">In the pledge condition, participants were additionally invited to engage in 28 days of meat-free eating. </w:t>
      </w:r>
      <w:r w:rsidRPr="0058443A">
        <w:t xml:space="preserve">Effective pledges generally involve mechanisms that bind an individual to the intended act, for example, through signed pledges or public declarations (Cioffi &amp; Garner, 1996; </w:t>
      </w:r>
      <w:proofErr w:type="spellStart"/>
      <w:r w:rsidRPr="0058443A">
        <w:t>Lockhorst</w:t>
      </w:r>
      <w:proofErr w:type="spellEnd"/>
      <w:r w:rsidRPr="0058443A">
        <w:t xml:space="preserve"> et al., 2013). However, pledges that place rigid or inflexible </w:t>
      </w:r>
      <w:r w:rsidRPr="0058443A">
        <w:lastRenderedPageBreak/>
        <w:t>demands on people can cause reactance or a sense of coercion (Spelt et al., 2019).  To establish a declaration of intent, while minimizing the potential for reactance, participants in the experimental condition were invited by the experimenter to take part in a 28-day commitment to eat meat-free and they were given the opportunity to freely opt out of the pledge, by withdrawing from the study,</w:t>
      </w:r>
      <w:r w:rsidRPr="0058443A">
        <w:rPr>
          <w:vertAlign w:val="superscript"/>
        </w:rPr>
        <w:footnoteReference w:id="4"/>
      </w:r>
      <w:r w:rsidRPr="0058443A">
        <w:t xml:space="preserve"> or continue with it, by offering their written consent. This served as their declaration of intent. To minimize reactance, rather than presenting the pledge as a directive, participants were encouraged to “do their best” to try to eat meat-free for the duration of the study.</w:t>
      </w:r>
      <w:r w:rsidRPr="003704AC">
        <w:t xml:space="preserve"> Participants were advised that they were not required to adopt a vegan or animal product-free diet (e.g., avoid eggs or dairy); they were only being asked to eat meat-free meals, and there would be no penalty, payment or otherwise, for failing to maintain the pledge. The full briefing script used by the experimenters at each site can be found at https://osf.io/u4j58/?view_only=f68c935f8fd74c52bc59bf203e2d021f. </w:t>
      </w:r>
    </w:p>
    <w:p w14:paraId="6028A7B4" w14:textId="1B41CA41" w:rsidR="006A0C34" w:rsidRPr="003704AC" w:rsidRDefault="00EB31E1">
      <w:pPr>
        <w:spacing w:line="480" w:lineRule="auto"/>
        <w:ind w:firstLine="720"/>
      </w:pPr>
      <w:r w:rsidRPr="003704AC">
        <w:t xml:space="preserve">Once written consent was obtained, participants completed the intake survey on one of the lab computers in a private cubicle or, if online, on their personal computer. Participants in the pledge condition first completed an additional questionnaire concerning their motivations to fulfill the pledge. Once participants completed the questionnaire, the experimenter proceeded to assist them in installing the </w:t>
      </w:r>
      <w:proofErr w:type="spellStart"/>
      <w:r w:rsidRPr="003704AC">
        <w:t>MetricWire</w:t>
      </w:r>
      <w:proofErr w:type="spellEnd"/>
      <w:r w:rsidRPr="003704AC">
        <w:t xml:space="preserve"> experience-sampling app</w:t>
      </w:r>
      <w:r w:rsidR="00B77344" w:rsidRPr="003704AC">
        <w:t>lication</w:t>
      </w:r>
      <w:r w:rsidRPr="003704AC">
        <w:t xml:space="preserve"> on their </w:t>
      </w:r>
      <w:r w:rsidR="00B77344" w:rsidRPr="003704AC">
        <w:t>smart</w:t>
      </w:r>
      <w:r w:rsidRPr="003704AC">
        <w:t xml:space="preserve">phone. </w:t>
      </w:r>
      <w:r w:rsidR="0041125D" w:rsidRPr="003704AC">
        <w:t>All participants received training on how to use the application, including how to locate and complete the daily survey, before the session adjourned.</w:t>
      </w:r>
      <w:r w:rsidR="0041125D" w:rsidRPr="003704AC" w:rsidDel="00B77344">
        <w:t xml:space="preserve"> </w:t>
      </w:r>
      <w:r w:rsidR="00B77344" w:rsidRPr="003704AC">
        <w:t>On the evening of the briefing session</w:t>
      </w:r>
      <w:r w:rsidRPr="003704AC">
        <w:t xml:space="preserve">, the experimenter emailed all participants a document that included a list of resources (e.g., links to websites, books, and documentaries) discussing reasons for eating meat-free, and information on local and chain restaurants </w:t>
      </w:r>
      <w:r w:rsidRPr="003704AC">
        <w:lastRenderedPageBreak/>
        <w:t>serving vegetarian food (tailored to each recruitment site), tips on how to substitute meat products, recipes, and other useful resources  – see https://osf.io/u4j58/?view_only=f68c935f8fd74c52bc59bf203e2d021f. Although this information had the potential, if utilized, to encourage both pledgers and non-pledgers to eat meat-free, all participants</w:t>
      </w:r>
      <w:r w:rsidR="001C514A" w:rsidRPr="003704AC">
        <w:t xml:space="preserve"> received this material </w:t>
      </w:r>
      <w:r w:rsidRPr="003704AC">
        <w:t xml:space="preserve">to avoid establishing a confound between conditions (i.e., possession vs. lack of knowledge about meat-free eating).  </w:t>
      </w:r>
    </w:p>
    <w:p w14:paraId="1A6751B0" w14:textId="77777777" w:rsidR="006A0C34" w:rsidRPr="003704AC" w:rsidRDefault="00EB31E1">
      <w:pPr>
        <w:spacing w:line="480" w:lineRule="auto"/>
        <w:rPr>
          <w:b/>
        </w:rPr>
      </w:pPr>
      <w:r w:rsidRPr="003704AC">
        <w:rPr>
          <w:b/>
        </w:rPr>
        <w:t>2.3 Measures and Materials</w:t>
      </w:r>
    </w:p>
    <w:p w14:paraId="08B58870" w14:textId="2382FBE7" w:rsidR="006A0C34" w:rsidRPr="003704AC" w:rsidRDefault="00EB31E1">
      <w:pPr>
        <w:spacing w:line="480" w:lineRule="auto"/>
      </w:pPr>
      <w:r w:rsidRPr="003704AC">
        <w:rPr>
          <w:b/>
          <w:i/>
        </w:rPr>
        <w:tab/>
      </w:r>
      <w:r w:rsidRPr="003704AC">
        <w:t xml:space="preserve">All materials for UK and Australian samples were in English, and in German for German participants. </w:t>
      </w:r>
      <w:r w:rsidR="00505758" w:rsidRPr="0058443A">
        <w:t>Two authors fluent in English and German handled the German translation.</w:t>
      </w:r>
      <w:r w:rsidR="00505758" w:rsidRPr="003704AC">
        <w:t xml:space="preserve"> </w:t>
      </w:r>
      <w:r w:rsidRPr="0058443A">
        <w:t>One of the authors translated the English materials into German, and another translated them back into English to validate them</w:t>
      </w:r>
      <w:r w:rsidRPr="003704AC">
        <w:t>.</w:t>
      </w:r>
    </w:p>
    <w:p w14:paraId="373FDD58" w14:textId="0F2849DB" w:rsidR="006A0C34" w:rsidRPr="003704AC" w:rsidRDefault="00EB31E1">
      <w:pPr>
        <w:spacing w:line="480" w:lineRule="auto"/>
        <w:rPr>
          <w:b/>
          <w:i/>
        </w:rPr>
      </w:pPr>
      <w:r w:rsidRPr="003704AC">
        <w:rPr>
          <w:b/>
          <w:i/>
        </w:rPr>
        <w:t xml:space="preserve">2.3.1 Pledgers’ Starting </w:t>
      </w:r>
      <w:r w:rsidRPr="0058443A">
        <w:rPr>
          <w:b/>
          <w:i/>
        </w:rPr>
        <w:t xml:space="preserve">Intentions  </w:t>
      </w:r>
    </w:p>
    <w:p w14:paraId="281B5CB3" w14:textId="408ECBC5" w:rsidR="006A0C34" w:rsidRPr="003704AC" w:rsidRDefault="00EB31E1">
      <w:pPr>
        <w:spacing w:line="480" w:lineRule="auto"/>
        <w:ind w:firstLine="720"/>
        <w:rPr>
          <w:b/>
          <w:i/>
        </w:rPr>
      </w:pPr>
      <w:r w:rsidRPr="0058443A">
        <w:t xml:space="preserve">In the intake survey, six items assessed pledgers’ starting intentions </w:t>
      </w:r>
      <w:r w:rsidR="00505758" w:rsidRPr="0058443A">
        <w:t>to fulfill</w:t>
      </w:r>
      <w:r w:rsidRPr="0058443A">
        <w:t xml:space="preserve"> the meat-free pledge</w:t>
      </w:r>
      <w:r w:rsidR="00B250F3" w:rsidRPr="003704AC">
        <w:t xml:space="preserve">. </w:t>
      </w:r>
      <w:r w:rsidR="00B250F3" w:rsidRPr="0058443A">
        <w:t xml:space="preserve">Intentions were measured both in terms of </w:t>
      </w:r>
      <w:r w:rsidR="00B250F3" w:rsidRPr="0058443A">
        <w:rPr>
          <w:i/>
        </w:rPr>
        <w:t>motivations</w:t>
      </w:r>
      <w:r w:rsidR="00B250F3" w:rsidRPr="0058443A">
        <w:t xml:space="preserve"> and </w:t>
      </w:r>
      <w:r w:rsidR="00B250F3" w:rsidRPr="0058443A">
        <w:rPr>
          <w:i/>
        </w:rPr>
        <w:t>perceived capacity</w:t>
      </w:r>
      <w:r w:rsidR="00B250F3" w:rsidRPr="0058443A">
        <w:t xml:space="preserve"> to act consistent with the pledge. P</w:t>
      </w:r>
      <w:r w:rsidRPr="0058443A">
        <w:t>ledgers’ motivations to eat meat</w:t>
      </w:r>
      <w:r w:rsidR="001158CF" w:rsidRPr="0058443A">
        <w:t>-</w:t>
      </w:r>
      <w:r w:rsidRPr="0058443A">
        <w:t xml:space="preserve">free </w:t>
      </w:r>
      <w:r w:rsidR="00B250F3" w:rsidRPr="0058443A">
        <w:t xml:space="preserve">were assessed with </w:t>
      </w:r>
      <w:r w:rsidRPr="0058443A">
        <w:t>3 items: “How motivated are you to eat meat-free over the next 28-days?”, “How important is it for you to eat meat-free for the next 28-days?”</w:t>
      </w:r>
      <w:r w:rsidR="00B250F3" w:rsidRPr="0058443A">
        <w:t>,</w:t>
      </w:r>
      <w:r w:rsidRPr="0058443A">
        <w:t xml:space="preserve"> “How much do you think you will enjoy eating meat-free?”</w:t>
      </w:r>
      <w:r w:rsidR="00B250F3" w:rsidRPr="0058443A">
        <w:t>.</w:t>
      </w:r>
      <w:r w:rsidRPr="0058443A">
        <w:t xml:space="preserve"> </w:t>
      </w:r>
      <w:r w:rsidR="00B250F3" w:rsidRPr="0058443A">
        <w:t>A</w:t>
      </w:r>
      <w:r w:rsidRPr="0058443A">
        <w:t xml:space="preserve">nother three items assessed their perceived capacity to </w:t>
      </w:r>
      <w:r w:rsidR="00B250F3" w:rsidRPr="0058443A">
        <w:t>eat meat</w:t>
      </w:r>
      <w:r w:rsidR="001158CF" w:rsidRPr="0058443A">
        <w:t>-</w:t>
      </w:r>
      <w:r w:rsidR="00B250F3" w:rsidRPr="0058443A">
        <w:t>free:</w:t>
      </w:r>
      <w:r w:rsidRPr="0058443A">
        <w:t xml:space="preserve"> “How well do you think you will perform eating meat-free for the next 28-days?”, “How experienced are you in preparing meat-free meals?”, “How difficult do you think it is to eat meat-free?”</w:t>
      </w:r>
      <w:r w:rsidR="00B250F3" w:rsidRPr="0058443A">
        <w:t>.</w:t>
      </w:r>
      <w:r w:rsidRPr="0058443A">
        <w:t xml:space="preserve">   The items were developed by the authors to relate to the motivation and capability components of the COM-B model (Atkins &amp; Michie, 2015), respectively. The items were assessed</w:t>
      </w:r>
      <w:r w:rsidRPr="003704AC">
        <w:t xml:space="preserve"> on 7-point scales (1 = “Not at all” to 7 = “Very,” e.g., “Very difficult”). The initial internal reliability of the six items was below satisfactory levels (Cronbach’s α = .65). Further analysis indicated that, by excluding the item </w:t>
      </w:r>
      <w:r w:rsidRPr="0058443A">
        <w:t xml:space="preserve">“How difficult do </w:t>
      </w:r>
      <w:r w:rsidRPr="0058443A">
        <w:lastRenderedPageBreak/>
        <w:t>you think it is…”</w:t>
      </w:r>
      <w:r w:rsidRPr="003704AC">
        <w:t xml:space="preserve">, reliability increased to .87. Therefore, this item was </w:t>
      </w:r>
      <w:r w:rsidRPr="0058443A">
        <w:t>dropped</w:t>
      </w:r>
      <w:r w:rsidRPr="003704AC">
        <w:t xml:space="preserve"> from the final index</w:t>
      </w:r>
      <w:r w:rsidR="001158CF" w:rsidRPr="003704AC">
        <w:t>,</w:t>
      </w:r>
      <w:r w:rsidRPr="003704AC">
        <w:t xml:space="preserve"> </w:t>
      </w:r>
      <w:r w:rsidRPr="0058443A">
        <w:t>with higher scores representing greater intention</w:t>
      </w:r>
      <w:r w:rsidR="004858DA" w:rsidRPr="0058443A">
        <w:t xml:space="preserve"> </w:t>
      </w:r>
      <w:r w:rsidRPr="0058443A">
        <w:t>to fulfill the pledge</w:t>
      </w:r>
      <w:r w:rsidRPr="003704AC">
        <w:t xml:space="preserve">. </w:t>
      </w:r>
    </w:p>
    <w:p w14:paraId="3CC00FCD" w14:textId="77777777" w:rsidR="006A0C34" w:rsidRPr="003704AC" w:rsidRDefault="00EB31E1">
      <w:pPr>
        <w:spacing w:line="480" w:lineRule="auto"/>
        <w:rPr>
          <w:b/>
          <w:i/>
        </w:rPr>
      </w:pPr>
      <w:r w:rsidRPr="003704AC">
        <w:rPr>
          <w:b/>
          <w:i/>
        </w:rPr>
        <w:t>2.3.2 Intake, Outtake, and Follow-up Surveys</w:t>
      </w:r>
    </w:p>
    <w:p w14:paraId="5471EAD7" w14:textId="3D278078" w:rsidR="00CB638B" w:rsidRPr="003704AC" w:rsidRDefault="00EB31E1">
      <w:pPr>
        <w:spacing w:line="480" w:lineRule="auto"/>
        <w:ind w:firstLine="720"/>
      </w:pPr>
      <w:r w:rsidRPr="003704AC">
        <w:t>The intake survey gathered baseline data from participants at the beginning of the study</w:t>
      </w:r>
      <w:r w:rsidR="00F6202A" w:rsidRPr="003704AC">
        <w:t>, including</w:t>
      </w:r>
      <w:r w:rsidRPr="003704AC">
        <w:t xml:space="preserve"> basic demographics (</w:t>
      </w:r>
      <w:r w:rsidR="00F6202A" w:rsidRPr="003704AC">
        <w:t xml:space="preserve">e.g., </w:t>
      </w:r>
      <w:r w:rsidRPr="003704AC">
        <w:t xml:space="preserve">age, gender, nationality). The outtake and 1-month follow-up surveys contained the same measures as the intake survey. </w:t>
      </w:r>
    </w:p>
    <w:p w14:paraId="1F5DEC69" w14:textId="2F784D91" w:rsidR="006A0C34" w:rsidRPr="003704AC" w:rsidRDefault="00EB31E1">
      <w:pPr>
        <w:spacing w:line="480" w:lineRule="auto"/>
        <w:ind w:firstLine="720"/>
      </w:pPr>
      <w:r w:rsidRPr="003704AC">
        <w:rPr>
          <w:b/>
        </w:rPr>
        <w:t xml:space="preserve">Classification of Diet. </w:t>
      </w:r>
      <w:r w:rsidRPr="003704AC">
        <w:t xml:space="preserve">This measure, taken from Piazza et al. (2018), was used primarily to identify participants, at intake, who were already omitting meat from their diet. Participants selected from eight categories: (1) meat lover, (2) omnivore, (3) semi-vegetarian, (4) pescatarian, (5) </w:t>
      </w:r>
      <w:proofErr w:type="spellStart"/>
      <w:r w:rsidRPr="003704AC">
        <w:t>lacto</w:t>
      </w:r>
      <w:proofErr w:type="spellEnd"/>
      <w:r w:rsidRPr="003704AC">
        <w:t>- or ovo-vegetarian, (6) strict vegetarian, (7) dietary vegan, and (8) lifestyle vegan. See Supplements for full definitions.</w:t>
      </w:r>
    </w:p>
    <w:p w14:paraId="71433F66" w14:textId="1855B4B2" w:rsidR="006A0C34" w:rsidRPr="003704AC" w:rsidRDefault="00EB31E1">
      <w:pPr>
        <w:spacing w:line="480" w:lineRule="auto"/>
        <w:ind w:firstLine="720"/>
        <w:rPr>
          <w:i/>
        </w:rPr>
      </w:pPr>
      <w:r w:rsidRPr="003704AC">
        <w:rPr>
          <w:b/>
        </w:rPr>
        <w:t>Food Frequency.</w:t>
      </w:r>
      <w:r w:rsidRPr="003704AC">
        <w:t xml:space="preserve"> We used a food frequency questionnaire (Animal Charity Evaluators, 2016) as the baseline measure of meat consumption behavior</w:t>
      </w:r>
      <w:r w:rsidR="00F6202A" w:rsidRPr="003704AC">
        <w:t xml:space="preserve"> </w:t>
      </w:r>
      <w:r w:rsidR="00F6202A" w:rsidRPr="0058443A">
        <w:t xml:space="preserve">to compare at outtake and </w:t>
      </w:r>
      <w:r w:rsidR="0089492B" w:rsidRPr="0058443A">
        <w:t>one</w:t>
      </w:r>
      <w:r w:rsidR="00F6202A" w:rsidRPr="0058443A">
        <w:t>-month post-intervention</w:t>
      </w:r>
      <w:r w:rsidRPr="003704AC">
        <w:t xml:space="preserve">. We measured food frequency two ways: (a) global estimated frequency, and (b) 24-hour recall of the past day’s meals. For the present purposes, we were interested in the </w:t>
      </w:r>
      <w:r w:rsidRPr="003704AC">
        <w:rPr>
          <w:i/>
        </w:rPr>
        <w:t xml:space="preserve">24-hour recall </w:t>
      </w:r>
      <w:r w:rsidRPr="003704AC">
        <w:t>measure, as it corresponded more closely to the format of the daily survey, and it is arguably less susceptible to social-cognitive distortions (</w:t>
      </w:r>
      <w:r w:rsidRPr="0058443A">
        <w:t>e.g., desirable responding) than using frequency estimates (Castell, Serra-</w:t>
      </w:r>
      <w:proofErr w:type="spellStart"/>
      <w:r w:rsidRPr="0058443A">
        <w:t>Majem</w:t>
      </w:r>
      <w:proofErr w:type="spellEnd"/>
      <w:r w:rsidRPr="0058443A">
        <w:t>, &amp; Barba, 2015).</w:t>
      </w:r>
      <w:r w:rsidRPr="0058443A">
        <w:rPr>
          <w:i/>
        </w:rPr>
        <w:t xml:space="preserve"> </w:t>
      </w:r>
      <w:r w:rsidRPr="003704AC">
        <w:t>For the 24-hour recall version, participants were presented a list of 17 food elements (see Supplements for items) and reported “how many meals or snacks contained elements the food category” within the past day, with “past day” defined as “what you ate yesterday from the moment you woke up until the moment you went to sleep”. The 6-point scale ranged from “0” to “5 or more”.</w:t>
      </w:r>
      <w:r w:rsidRPr="003704AC">
        <w:rPr>
          <w:i/>
        </w:rPr>
        <w:t xml:space="preserve"> </w:t>
      </w:r>
      <w:r w:rsidR="00374258" w:rsidRPr="003704AC">
        <w:t>W</w:t>
      </w:r>
      <w:r w:rsidRPr="003704AC">
        <w:t xml:space="preserve">e were mainly interested in meat products, which included </w:t>
      </w:r>
      <w:r w:rsidRPr="003704AC">
        <w:rPr>
          <w:i/>
        </w:rPr>
        <w:t>beef</w:t>
      </w:r>
      <w:r w:rsidRPr="003704AC">
        <w:t xml:space="preserve">, </w:t>
      </w:r>
      <w:r w:rsidRPr="003704AC">
        <w:rPr>
          <w:i/>
        </w:rPr>
        <w:t>pork</w:t>
      </w:r>
      <w:r w:rsidRPr="003704AC">
        <w:t xml:space="preserve">, </w:t>
      </w:r>
      <w:r w:rsidRPr="003704AC">
        <w:rPr>
          <w:i/>
        </w:rPr>
        <w:t>chicken</w:t>
      </w:r>
      <w:r w:rsidRPr="003704AC">
        <w:t xml:space="preserve">, </w:t>
      </w:r>
      <w:r w:rsidRPr="003704AC">
        <w:rPr>
          <w:i/>
        </w:rPr>
        <w:t>turkey</w:t>
      </w:r>
      <w:r w:rsidRPr="003704AC">
        <w:t xml:space="preserve">, and </w:t>
      </w:r>
      <w:r w:rsidRPr="003704AC">
        <w:rPr>
          <w:i/>
        </w:rPr>
        <w:t>other meats</w:t>
      </w:r>
      <w:r w:rsidR="00963715" w:rsidRPr="003704AC">
        <w:t>. S</w:t>
      </w:r>
      <w:r w:rsidRPr="003704AC">
        <w:t>cores obtained for these five products</w:t>
      </w:r>
      <w:r w:rsidR="00963715" w:rsidRPr="003704AC">
        <w:t xml:space="preserve"> were summed</w:t>
      </w:r>
      <w:r w:rsidRPr="003704AC">
        <w:t>.</w:t>
      </w:r>
    </w:p>
    <w:p w14:paraId="3BE4224B" w14:textId="50C5653F" w:rsidR="006A0C34" w:rsidRPr="003704AC" w:rsidRDefault="00EB31E1">
      <w:pPr>
        <w:widowControl w:val="0"/>
        <w:spacing w:line="480" w:lineRule="auto"/>
        <w:ind w:firstLine="720"/>
        <w:rPr>
          <w:b/>
          <w:i/>
        </w:rPr>
      </w:pPr>
      <w:r w:rsidRPr="003704AC">
        <w:rPr>
          <w:b/>
        </w:rPr>
        <w:t>Conflicted Omnivore Scale.</w:t>
      </w:r>
      <w:r w:rsidRPr="003704AC">
        <w:rPr>
          <w:b/>
          <w:i/>
        </w:rPr>
        <w:t xml:space="preserve"> </w:t>
      </w:r>
      <w:r w:rsidRPr="003704AC">
        <w:t xml:space="preserve">To measure </w:t>
      </w:r>
      <w:r w:rsidRPr="0058443A">
        <w:t>conflict about</w:t>
      </w:r>
      <w:r w:rsidRPr="003704AC">
        <w:t xml:space="preserve"> meat, we used the 6-item </w:t>
      </w:r>
      <w:r w:rsidRPr="003704AC">
        <w:lastRenderedPageBreak/>
        <w:t xml:space="preserve">Conflicted Omnivore Scale (Ruby et al., in prep). </w:t>
      </w:r>
      <w:r w:rsidRPr="0058443A">
        <w:t xml:space="preserve">The scale is intended to be used with meat consumers, to assess common concerns about </w:t>
      </w:r>
      <w:r w:rsidR="001158CF" w:rsidRPr="0058443A">
        <w:t xml:space="preserve">eating </w:t>
      </w:r>
      <w:r w:rsidRPr="0058443A">
        <w:t>meat.</w:t>
      </w:r>
      <w:r w:rsidRPr="003704AC">
        <w:t xml:space="preserve"> Participants were presented with the following </w:t>
      </w:r>
      <w:r w:rsidRPr="0058443A">
        <w:t>six statements about meat production or consumption</w:t>
      </w:r>
      <w:r w:rsidRPr="003704AC">
        <w:t xml:space="preserve">: (1) “I feel bad about eating meat”, (2) “I think that eating meat is ethically acceptable”, (3) “I am okay with how animals raised for food are killed”, (4) “I am okay with how animals raised for food are treated”, (5) “I am concerned about the effects of meat production on the environment” and (6) “I am concerned about the effects of meat consumption on my health”. These items were assessed on a 7-point scale of agreement-disagreement (1 = “strongly disagree” to 7 = “strongly agree”). Items 2-4 were reverse-scored, </w:t>
      </w:r>
      <w:r w:rsidR="006769F1" w:rsidRPr="003704AC">
        <w:t xml:space="preserve">and the six items were summed with </w:t>
      </w:r>
      <w:r w:rsidRPr="003704AC">
        <w:t>higher scores indicat</w:t>
      </w:r>
      <w:r w:rsidR="006769F1" w:rsidRPr="003704AC">
        <w:t>ing</w:t>
      </w:r>
      <w:r w:rsidRPr="003704AC">
        <w:t xml:space="preserve"> </w:t>
      </w:r>
      <w:r w:rsidRPr="0058443A">
        <w:t>greater conflict about eating</w:t>
      </w:r>
      <w:r w:rsidRPr="003704AC">
        <w:t xml:space="preserve"> meat. The scale had acceptable reliability </w:t>
      </w:r>
      <w:r w:rsidRPr="0058443A">
        <w:t>at each site and timepoint</w:t>
      </w:r>
      <w:r w:rsidRPr="003704AC">
        <w:t xml:space="preserve"> (Cronbach’s αs at intake = .74 [UK], .70 [Germany], .74 [Australia]; outtake = .78 [UK], .78 [Germany], .75 [Australia], follow-up = .81 [UK], .74 [Germany], .83 [Australia]</w:t>
      </w:r>
      <w:r w:rsidR="00430A37" w:rsidRPr="003704AC">
        <w:t xml:space="preserve">; </w:t>
      </w:r>
      <w:r w:rsidR="00430A37" w:rsidRPr="0058443A">
        <w:t>see Table 1 for sample means at intake</w:t>
      </w:r>
      <w:r w:rsidRPr="003704AC">
        <w:t>).</w:t>
      </w:r>
      <w:r w:rsidR="00C35CA8" w:rsidRPr="003704AC">
        <w:t xml:space="preserve"> </w:t>
      </w:r>
    </w:p>
    <w:p w14:paraId="3A046300" w14:textId="0385F711" w:rsidR="006A0C34" w:rsidRPr="003704AC" w:rsidRDefault="00EB31E1">
      <w:pPr>
        <w:spacing w:line="480" w:lineRule="auto"/>
        <w:ind w:firstLine="720"/>
        <w:rPr>
          <w:b/>
          <w:i/>
        </w:rPr>
      </w:pPr>
      <w:r w:rsidRPr="003704AC">
        <w:rPr>
          <w:b/>
        </w:rPr>
        <w:t>Meat Commitment.</w:t>
      </w:r>
      <w:r w:rsidRPr="003704AC">
        <w:rPr>
          <w:b/>
          <w:i/>
        </w:rPr>
        <w:t xml:space="preserve"> </w:t>
      </w:r>
      <w:r w:rsidRPr="003704AC">
        <w:t xml:space="preserve">Commitment to eating meat was measured with Piazza et al.’s (2015) Meat Commitment Scale, which assesses commitment to eating meat with seven items (e.g., “I don’t want to eat meals without meat”, “I cannot imagine substituting meat from a meal”).  The items were measured on a 7-point scale of agreement-disagreement, ranging from 1 = “strongly disagree” to 7 = “strongly agree”, with higher scores indicating greater levels of meat commitment. At each timepoint, the scale had high levels of reliability (αs at </w:t>
      </w:r>
      <w:r w:rsidRPr="0058443A">
        <w:t>intake = .93 [UK], .90 [Australia]; outtake = .94 [UK], .93 [Australia], follow-up = .94 [UK], .92 [Australia]; data missing for German sample</w:t>
      </w:r>
      <w:r w:rsidRPr="003704AC">
        <w:t>).</w:t>
      </w:r>
    </w:p>
    <w:p w14:paraId="5556C2FA" w14:textId="65F8A038" w:rsidR="006A0C34" w:rsidRPr="003704AC" w:rsidRDefault="00EB31E1">
      <w:pPr>
        <w:spacing w:line="480" w:lineRule="auto"/>
        <w:ind w:firstLine="720"/>
        <w:rPr>
          <w:b/>
          <w:i/>
        </w:rPr>
      </w:pPr>
      <w:r w:rsidRPr="003704AC">
        <w:rPr>
          <w:b/>
        </w:rPr>
        <w:t>4N-Meat Justifications.</w:t>
      </w:r>
      <w:r w:rsidRPr="003704AC">
        <w:rPr>
          <w:b/>
          <w:i/>
        </w:rPr>
        <w:t xml:space="preserve"> </w:t>
      </w:r>
      <w:r w:rsidRPr="003704AC">
        <w:t>Piazza et al.’s (2015) 4N Scale</w:t>
      </w:r>
      <w:r w:rsidR="002A4620" w:rsidRPr="003704AC">
        <w:t xml:space="preserve"> was used to</w:t>
      </w:r>
      <w:r w:rsidRPr="003704AC">
        <w:t xml:space="preserve"> assesses the extent to which people endorse certain claims about the necessity, normalness, naturalness, and niceness of eating meat. The scale is comprised of sixteen items (see Supplements) rated on a 7-point scale of agreement-disagreement, ranging from 1 = “strongly disagree” to 7 = </w:t>
      </w:r>
      <w:r w:rsidRPr="003704AC">
        <w:lastRenderedPageBreak/>
        <w:t xml:space="preserve">“strongly agree”, with higher scores indicating greater </w:t>
      </w:r>
      <w:r w:rsidR="002A4620" w:rsidRPr="003704AC">
        <w:t>meat-eating justification</w:t>
      </w:r>
      <w:r w:rsidRPr="003704AC">
        <w:t xml:space="preserve">. Scale reliabilities were high at all </w:t>
      </w:r>
      <w:r w:rsidRPr="0058443A">
        <w:t>sites and</w:t>
      </w:r>
      <w:r w:rsidRPr="003704AC">
        <w:t xml:space="preserve"> timepoints (αs at intake </w:t>
      </w:r>
      <w:r w:rsidRPr="0058443A">
        <w:t>= .91 [UK], .88 [Germany], .90 [Australia]; outtake = .90 [UK], .90 [Germany], .93 [Australia], follow-up = .91 [UK], .91 [Germany], .93 [Australia</w:t>
      </w:r>
      <w:r w:rsidRPr="003704AC">
        <w:t xml:space="preserve">]). </w:t>
      </w:r>
    </w:p>
    <w:p w14:paraId="7C82D1B3" w14:textId="730481F6" w:rsidR="006A0C34" w:rsidRPr="003704AC" w:rsidRDefault="00EB31E1">
      <w:pPr>
        <w:spacing w:line="480" w:lineRule="auto"/>
        <w:ind w:firstLine="720"/>
      </w:pPr>
      <w:r w:rsidRPr="003704AC">
        <w:rPr>
          <w:b/>
        </w:rPr>
        <w:t>Additional Measures.</w:t>
      </w:r>
      <w:r w:rsidRPr="003704AC">
        <w:rPr>
          <w:b/>
          <w:i/>
        </w:rPr>
        <w:t xml:space="preserve"> </w:t>
      </w:r>
      <w:r w:rsidRPr="003704AC">
        <w:t xml:space="preserve">To help obfuscate from control participants that the main interest was on meat consumption, we included two additional measures, </w:t>
      </w:r>
      <w:r w:rsidR="002A4620" w:rsidRPr="003704AC">
        <w:t>not focused on</w:t>
      </w:r>
      <w:r w:rsidRPr="003704AC">
        <w:t xml:space="preserve"> meat consumption: the Eating Motivation Survey (Renner et al., 2012), which identifies 15 different motivations for </w:t>
      </w:r>
      <w:r w:rsidR="002A4620" w:rsidRPr="003704AC">
        <w:t xml:space="preserve">general </w:t>
      </w:r>
      <w:r w:rsidRPr="003704AC">
        <w:t xml:space="preserve">food choices, </w:t>
      </w:r>
      <w:r w:rsidRPr="0058443A">
        <w:t>and</w:t>
      </w:r>
      <w:r w:rsidRPr="003704AC">
        <w:t xml:space="preserve"> the 10-item version of the Big Five Personality Inventory (</w:t>
      </w:r>
      <w:proofErr w:type="spellStart"/>
      <w:r w:rsidRPr="003704AC">
        <w:t>Rammstedt</w:t>
      </w:r>
      <w:proofErr w:type="spellEnd"/>
      <w:r w:rsidRPr="003704AC">
        <w:t xml:space="preserve"> et al., 2014). Because these scales were unrelated to the research aims, they were not analyzed.</w:t>
      </w:r>
    </w:p>
    <w:p w14:paraId="41B3BAE9" w14:textId="77777777" w:rsidR="006A0C34" w:rsidRPr="003704AC" w:rsidRDefault="00EB31E1">
      <w:pPr>
        <w:spacing w:line="480" w:lineRule="auto"/>
        <w:rPr>
          <w:b/>
          <w:i/>
        </w:rPr>
      </w:pPr>
      <w:r w:rsidRPr="003704AC">
        <w:rPr>
          <w:b/>
          <w:i/>
        </w:rPr>
        <w:t>2.3.3 Daily Experience-Sampling Survey</w:t>
      </w:r>
    </w:p>
    <w:p w14:paraId="1E5FABF7" w14:textId="2589C822" w:rsidR="006A0C34" w:rsidRPr="003704AC" w:rsidRDefault="00EB31E1" w:rsidP="00660CDC">
      <w:pPr>
        <w:widowControl w:val="0"/>
        <w:spacing w:line="480" w:lineRule="auto"/>
        <w:ind w:firstLine="720"/>
      </w:pPr>
      <w:r w:rsidRPr="003704AC">
        <w:t xml:space="preserve">We used the </w:t>
      </w:r>
      <w:proofErr w:type="spellStart"/>
      <w:r w:rsidRPr="003704AC">
        <w:t>MetricWire</w:t>
      </w:r>
      <w:proofErr w:type="spellEnd"/>
      <w:r w:rsidRPr="003704AC">
        <w:t xml:space="preserve"> research tool to design and deliver the daily survey (</w:t>
      </w:r>
      <w:r w:rsidRPr="003704AC">
        <w:rPr>
          <w:color w:val="0D6C9C"/>
        </w:rPr>
        <w:t>https://metricwire.com/</w:t>
      </w:r>
      <w:r w:rsidRPr="003704AC">
        <w:rPr>
          <w:color w:val="000000"/>
        </w:rPr>
        <w:t>).</w:t>
      </w:r>
      <w:r w:rsidRPr="003704AC">
        <w:t xml:space="preserve"> We programed the application to deliver one daily survey to the mobile devices of enrolled participants, one day after enrollment, and then every day at 4 pm for a period of 28 days. A series of </w:t>
      </w:r>
      <w:r w:rsidR="00505758" w:rsidRPr="003704AC">
        <w:t xml:space="preserve">hourly </w:t>
      </w:r>
      <w:r w:rsidRPr="003704AC">
        <w:t>push notifications alerted the participant to the opening of the survey and reminded them to complete it.</w:t>
      </w:r>
      <w:r w:rsidR="001D3603" w:rsidRPr="003704AC">
        <w:t xml:space="preserve"> </w:t>
      </w:r>
      <w:r w:rsidRPr="003704AC">
        <w:t xml:space="preserve">The daily survey contained three elements: a request to upload a photo of the participant’s main meal, a food consumption questionnaire, and a measure of their craving for meat. </w:t>
      </w:r>
    </w:p>
    <w:p w14:paraId="5754D65B" w14:textId="2B01C99C" w:rsidR="006A0C34" w:rsidRPr="003704AC" w:rsidRDefault="00EB31E1">
      <w:pPr>
        <w:spacing w:line="480" w:lineRule="auto"/>
        <w:ind w:firstLine="720"/>
      </w:pPr>
      <w:r w:rsidRPr="003704AC">
        <w:rPr>
          <w:b/>
        </w:rPr>
        <w:t>Photo.</w:t>
      </w:r>
      <w:r w:rsidRPr="003704AC">
        <w:rPr>
          <w:i/>
        </w:rPr>
        <w:t xml:space="preserve"> </w:t>
      </w:r>
      <w:r w:rsidRPr="003704AC">
        <w:t>Participants were asked</w:t>
      </w:r>
      <w:r w:rsidRPr="003704AC">
        <w:rPr>
          <w:i/>
        </w:rPr>
        <w:t xml:space="preserve"> </w:t>
      </w:r>
      <w:r w:rsidRPr="003704AC">
        <w:t>to upload a picture of their main meal (i.e., “most substantial meal of the day”), as it had been plated that day. Participants had the flexibility of taking an image of their main meal at any point in the day, storing this in their camera roll and uploading it to the application when the survey became live. Participants were given the rationale that these images would be used to help develop computer-learning programs. The main purpose for collecting these images was an added deterrence to the temptation of misreporting what they ate.</w:t>
      </w:r>
    </w:p>
    <w:p w14:paraId="6CB040AA" w14:textId="64F65328" w:rsidR="006A0C34" w:rsidRPr="003704AC" w:rsidRDefault="00EB31E1">
      <w:pPr>
        <w:spacing w:line="480" w:lineRule="auto"/>
        <w:ind w:firstLine="720"/>
      </w:pPr>
      <w:r w:rsidRPr="003704AC">
        <w:rPr>
          <w:b/>
        </w:rPr>
        <w:lastRenderedPageBreak/>
        <w:t>Daily Meat Consumption.</w:t>
      </w:r>
      <w:r w:rsidRPr="003704AC">
        <w:t xml:space="preserve"> Participants were asked to indicate, </w:t>
      </w:r>
      <w:r w:rsidRPr="0058443A">
        <w:t>using a binary response (Y/N)</w:t>
      </w:r>
      <w:r w:rsidRPr="003704AC">
        <w:t>, whether they had eaten breakfast (morning meal), lunch (midday meal)</w:t>
      </w:r>
      <w:r w:rsidR="001158CF" w:rsidRPr="003704AC">
        <w:t>,</w:t>
      </w:r>
      <w:r w:rsidRPr="003704AC">
        <w:t xml:space="preserve"> and dinner (evening meal or tea). For each meal that participants confirmed, they were asked to indicate from a list of 17 food elements, all those that the respective meal contained. See the Supplements for the full list of items. As with the food frequency questionnaire, we were mainly interested in </w:t>
      </w:r>
      <w:r w:rsidRPr="003704AC">
        <w:rPr>
          <w:i/>
        </w:rPr>
        <w:t>beef</w:t>
      </w:r>
      <w:r w:rsidRPr="003704AC">
        <w:t xml:space="preserve">, </w:t>
      </w:r>
      <w:r w:rsidRPr="003704AC">
        <w:rPr>
          <w:i/>
        </w:rPr>
        <w:t>pork</w:t>
      </w:r>
      <w:r w:rsidRPr="003704AC">
        <w:t xml:space="preserve">, </w:t>
      </w:r>
      <w:r w:rsidRPr="003704AC">
        <w:rPr>
          <w:i/>
        </w:rPr>
        <w:t>chicken</w:t>
      </w:r>
      <w:r w:rsidRPr="003704AC">
        <w:t xml:space="preserve">, </w:t>
      </w:r>
      <w:r w:rsidRPr="003704AC">
        <w:rPr>
          <w:i/>
        </w:rPr>
        <w:t>turkey</w:t>
      </w:r>
      <w:r w:rsidRPr="003704AC">
        <w:t xml:space="preserve">, and </w:t>
      </w:r>
      <w:r w:rsidRPr="003704AC">
        <w:rPr>
          <w:i/>
        </w:rPr>
        <w:t>other meats</w:t>
      </w:r>
      <w:r w:rsidRPr="003704AC">
        <w:t xml:space="preserve">. An index of </w:t>
      </w:r>
      <w:r w:rsidRPr="003704AC">
        <w:rPr>
          <w:i/>
        </w:rPr>
        <w:t xml:space="preserve">daily meat consumption </w:t>
      </w:r>
      <w:r w:rsidRPr="003704AC">
        <w:t xml:space="preserve">was obtained by summing these items for each day (range = 0-5 [*3 meals]). Since we retained pescatarians in the sample, we also conducted the analyses with an index of meat consumption that included </w:t>
      </w:r>
      <w:r w:rsidRPr="003704AC">
        <w:rPr>
          <w:i/>
        </w:rPr>
        <w:t>fish</w:t>
      </w:r>
      <w:r w:rsidRPr="003704AC">
        <w:t xml:space="preserve"> and </w:t>
      </w:r>
      <w:r w:rsidRPr="003704AC">
        <w:rPr>
          <w:i/>
        </w:rPr>
        <w:t>shellfish</w:t>
      </w:r>
      <w:r w:rsidRPr="003704AC">
        <w:t xml:space="preserve"> (range = 0-7 [*3 meals]). The results were very similar when including these items</w:t>
      </w:r>
      <w:r w:rsidR="003A765B" w:rsidRPr="003704AC">
        <w:t xml:space="preserve">; </w:t>
      </w:r>
      <w:r w:rsidR="00E21DDE" w:rsidRPr="0058443A">
        <w:t xml:space="preserve">the only difference involves the </w:t>
      </w:r>
      <w:r w:rsidR="00926B95" w:rsidRPr="0058443A">
        <w:t xml:space="preserve">interaction of </w:t>
      </w:r>
      <w:r w:rsidR="00A904BC" w:rsidRPr="0058443A">
        <w:t>pledge and omnivore conflict</w:t>
      </w:r>
      <w:r w:rsidR="003A765B" w:rsidRPr="003704AC">
        <w:t xml:space="preserve"> </w:t>
      </w:r>
      <w:r w:rsidR="003A765B" w:rsidRPr="0058443A">
        <w:t>(</w:t>
      </w:r>
      <w:r w:rsidR="00926B95" w:rsidRPr="0058443A">
        <w:t xml:space="preserve">for </w:t>
      </w:r>
      <w:r w:rsidR="00FD799B" w:rsidRPr="0058443A">
        <w:t>details</w:t>
      </w:r>
      <w:r w:rsidR="00926B95" w:rsidRPr="0058443A">
        <w:t>, see Supplementary Materials</w:t>
      </w:r>
      <w:r w:rsidRPr="0058443A">
        <w:t>).</w:t>
      </w:r>
    </w:p>
    <w:p w14:paraId="40ADB145" w14:textId="77777777" w:rsidR="006A0C34" w:rsidRPr="003704AC" w:rsidRDefault="00EB31E1">
      <w:pPr>
        <w:pBdr>
          <w:top w:val="nil"/>
          <w:left w:val="nil"/>
          <w:bottom w:val="nil"/>
          <w:right w:val="nil"/>
          <w:between w:val="nil"/>
        </w:pBdr>
        <w:spacing w:line="480" w:lineRule="auto"/>
        <w:ind w:firstLine="720"/>
        <w:rPr>
          <w:color w:val="000000"/>
        </w:rPr>
      </w:pPr>
      <w:r w:rsidRPr="003704AC">
        <w:rPr>
          <w:b/>
          <w:color w:val="000000"/>
        </w:rPr>
        <w:t>Meat Craving.</w:t>
      </w:r>
      <w:r w:rsidRPr="003704AC">
        <w:rPr>
          <w:b/>
          <w:i/>
          <w:color w:val="000000"/>
        </w:rPr>
        <w:t xml:space="preserve"> </w:t>
      </w:r>
      <w:r w:rsidRPr="003704AC">
        <w:rPr>
          <w:color w:val="000000"/>
        </w:rPr>
        <w:t xml:space="preserve">Participants were asked to state the extent to which they had craved meat that day. Meat craving was assessed on a 3-point scale, ranging from 0 – </w:t>
      </w:r>
      <w:r w:rsidRPr="003704AC">
        <w:rPr>
          <w:i/>
          <w:color w:val="000000"/>
        </w:rPr>
        <w:t xml:space="preserve">“no cravings”, </w:t>
      </w:r>
      <w:r w:rsidRPr="003704AC">
        <w:rPr>
          <w:color w:val="000000"/>
        </w:rPr>
        <w:t xml:space="preserve">1 – </w:t>
      </w:r>
      <w:r w:rsidRPr="003704AC">
        <w:rPr>
          <w:i/>
          <w:color w:val="000000"/>
        </w:rPr>
        <w:t xml:space="preserve">“some cravings” </w:t>
      </w:r>
      <w:r w:rsidRPr="003704AC">
        <w:rPr>
          <w:color w:val="000000"/>
        </w:rPr>
        <w:t xml:space="preserve">and 2 – </w:t>
      </w:r>
      <w:r w:rsidRPr="003704AC">
        <w:rPr>
          <w:i/>
          <w:color w:val="000000"/>
        </w:rPr>
        <w:t>“a lot of cravings”.</w:t>
      </w:r>
      <w:r w:rsidRPr="003704AC">
        <w:rPr>
          <w:color w:val="000000"/>
        </w:rPr>
        <w:t xml:space="preserve"> Once participants completed this final question, they submitted their responses to the server and the survey closed. </w:t>
      </w:r>
    </w:p>
    <w:p w14:paraId="6276731D" w14:textId="77777777" w:rsidR="006A0C34" w:rsidRPr="003704AC" w:rsidRDefault="00EB31E1">
      <w:pPr>
        <w:pBdr>
          <w:top w:val="nil"/>
          <w:left w:val="nil"/>
          <w:bottom w:val="nil"/>
          <w:right w:val="nil"/>
          <w:between w:val="nil"/>
        </w:pBdr>
        <w:spacing w:line="480" w:lineRule="auto"/>
        <w:ind w:firstLine="720"/>
      </w:pPr>
      <w:r w:rsidRPr="0058443A">
        <w:rPr>
          <w:b/>
          <w:color w:val="000000"/>
        </w:rPr>
        <w:t>Completion Rate.</w:t>
      </w:r>
      <w:r w:rsidRPr="0058443A">
        <w:rPr>
          <w:color w:val="000000"/>
        </w:rPr>
        <w:t xml:space="preserve"> </w:t>
      </w:r>
      <w:r w:rsidRPr="003704AC">
        <w:rPr>
          <w:color w:val="000000"/>
        </w:rPr>
        <w:t>On average, participants completed 23.97 (</w:t>
      </w:r>
      <w:r w:rsidRPr="003704AC">
        <w:rPr>
          <w:i/>
          <w:color w:val="000000"/>
        </w:rPr>
        <w:t>SD</w:t>
      </w:r>
      <w:r w:rsidRPr="003704AC">
        <w:rPr>
          <w:color w:val="000000"/>
        </w:rPr>
        <w:t xml:space="preserve"> = 3.01) of the daily surveys.</w:t>
      </w:r>
    </w:p>
    <w:p w14:paraId="444FDC46" w14:textId="77777777" w:rsidR="000459ED" w:rsidRPr="003704AC" w:rsidRDefault="000459ED" w:rsidP="000459ED">
      <w:pPr>
        <w:spacing w:line="480" w:lineRule="auto"/>
        <w:jc w:val="center"/>
      </w:pPr>
      <w:r w:rsidRPr="003704AC">
        <w:rPr>
          <w:b/>
          <w:bCs/>
          <w:color w:val="000000"/>
        </w:rPr>
        <w:t>3. Results</w:t>
      </w:r>
    </w:p>
    <w:p w14:paraId="46C24A29" w14:textId="77777777" w:rsidR="000459ED" w:rsidRPr="003704AC" w:rsidRDefault="000459ED" w:rsidP="000459ED">
      <w:pPr>
        <w:spacing w:line="480" w:lineRule="auto"/>
        <w:rPr>
          <w:b/>
          <w:bCs/>
          <w:color w:val="000000"/>
        </w:rPr>
      </w:pPr>
      <w:r w:rsidRPr="003704AC">
        <w:rPr>
          <w:b/>
          <w:bCs/>
          <w:color w:val="000000"/>
        </w:rPr>
        <w:t>3.1 Analysis Plan </w:t>
      </w:r>
    </w:p>
    <w:p w14:paraId="02B7215E" w14:textId="4D1315C4" w:rsidR="007D26E3" w:rsidRPr="0058443A" w:rsidRDefault="000459ED" w:rsidP="0040678D">
      <w:pPr>
        <w:spacing w:line="480" w:lineRule="auto"/>
        <w:ind w:firstLine="720"/>
        <w:rPr>
          <w:color w:val="000000"/>
        </w:rPr>
      </w:pPr>
      <w:r w:rsidRPr="003704AC">
        <w:rPr>
          <w:color w:val="000000"/>
        </w:rPr>
        <w:t xml:space="preserve">The preregistered plan was to use multilevel modeling for the daily survey data, given its repeated-measures nature. </w:t>
      </w:r>
      <w:r w:rsidRPr="0058443A">
        <w:rPr>
          <w:color w:val="000000"/>
        </w:rPr>
        <w:t xml:space="preserve">In keeping with this plan, we used </w:t>
      </w:r>
      <w:r w:rsidR="00702219" w:rsidRPr="0058443A">
        <w:rPr>
          <w:color w:val="000000"/>
        </w:rPr>
        <w:t>mixed-effect modeling, either for normal or non-normal variables, depending on the distribution patterns of each measure</w:t>
      </w:r>
      <w:r w:rsidR="00F0574B" w:rsidRPr="0058443A">
        <w:rPr>
          <w:color w:val="000000"/>
        </w:rPr>
        <w:t>.</w:t>
      </w:r>
      <w:r w:rsidRPr="0058443A">
        <w:rPr>
          <w:color w:val="000000"/>
        </w:rPr>
        <w:t xml:space="preserve"> </w:t>
      </w:r>
      <w:r w:rsidR="0040678D" w:rsidRPr="0058443A">
        <w:rPr>
          <w:color w:val="000000"/>
        </w:rPr>
        <w:t xml:space="preserve">Mixed-effect </w:t>
      </w:r>
      <w:r w:rsidR="00A95E60" w:rsidRPr="0058443A">
        <w:rPr>
          <w:color w:val="000000"/>
        </w:rPr>
        <w:t xml:space="preserve">modeling </w:t>
      </w:r>
      <w:r w:rsidR="0040678D" w:rsidRPr="0058443A">
        <w:rPr>
          <w:color w:val="000000"/>
        </w:rPr>
        <w:t>allows for the inclusion of random effects, which is needed when handling repeated measures (</w:t>
      </w:r>
      <w:proofErr w:type="spellStart"/>
      <w:r w:rsidR="0040678D" w:rsidRPr="0058443A">
        <w:rPr>
          <w:color w:val="000000"/>
        </w:rPr>
        <w:t>Baayen</w:t>
      </w:r>
      <w:proofErr w:type="spellEnd"/>
      <w:r w:rsidR="0040678D" w:rsidRPr="0058443A">
        <w:rPr>
          <w:color w:val="000000"/>
        </w:rPr>
        <w:t xml:space="preserve"> et al., 2008; </w:t>
      </w:r>
      <w:proofErr w:type="spellStart"/>
      <w:r w:rsidR="0040678D" w:rsidRPr="0058443A">
        <w:rPr>
          <w:color w:val="000000"/>
        </w:rPr>
        <w:t>Kreft</w:t>
      </w:r>
      <w:proofErr w:type="spellEnd"/>
      <w:r w:rsidR="0040678D" w:rsidRPr="0058443A">
        <w:rPr>
          <w:color w:val="000000"/>
        </w:rPr>
        <w:t xml:space="preserve"> &amp; De Leeuw, 1998). The potential for within-participant variability was accommodated with a random intercept over </w:t>
      </w:r>
      <w:r w:rsidR="0040678D" w:rsidRPr="0058443A">
        <w:rPr>
          <w:color w:val="000000"/>
        </w:rPr>
        <w:lastRenderedPageBreak/>
        <w:t xml:space="preserve">Subjects within the model. To examine whether more parsimonious models better fit the data than more complex models, we followed a stepwise procedure of eliminating parameters (Tenenbaum &amp; Filho, 2016). </w:t>
      </w:r>
      <w:r w:rsidR="00963715" w:rsidRPr="003704AC">
        <w:rPr>
          <w:color w:val="000000"/>
        </w:rPr>
        <w:t>W</w:t>
      </w:r>
      <w:r w:rsidRPr="003704AC">
        <w:rPr>
          <w:color w:val="000000"/>
        </w:rPr>
        <w:t xml:space="preserve">e used the lme4 package (Bates et al., 2014) in R (R Core Team, 2014). To compare different models, we used likelihood ratio tests, which tests the improvement of model fit (log-likelihood) of a more complex model with a simpler one (Jaeger, 2008). </w:t>
      </w:r>
      <w:r w:rsidR="007D26E3" w:rsidRPr="0058443A">
        <w:rPr>
          <w:color w:val="000000"/>
        </w:rPr>
        <w:t xml:space="preserve">In all cases, the hypothesized model was </w:t>
      </w:r>
      <w:r w:rsidR="0019704E" w:rsidRPr="0058443A">
        <w:rPr>
          <w:color w:val="000000"/>
        </w:rPr>
        <w:t xml:space="preserve">first </w:t>
      </w:r>
      <w:r w:rsidR="007D26E3" w:rsidRPr="0058443A">
        <w:rPr>
          <w:color w:val="000000"/>
        </w:rPr>
        <w:t xml:space="preserve">tested </w:t>
      </w:r>
      <w:r w:rsidR="0019704E" w:rsidRPr="0058443A">
        <w:rPr>
          <w:color w:val="000000"/>
        </w:rPr>
        <w:t>against</w:t>
      </w:r>
      <w:r w:rsidR="007D26E3" w:rsidRPr="0058443A">
        <w:rPr>
          <w:color w:val="000000"/>
        </w:rPr>
        <w:t xml:space="preserve"> an Intercept-only model. A comparison of models with and without random effects was also performed to examine whether the inclusion of the random effect was justified. The Intraclass Correlation Coefficient (ICC) was used </w:t>
      </w:r>
      <w:r w:rsidR="00D40004" w:rsidRPr="0058443A">
        <w:rPr>
          <w:color w:val="000000"/>
        </w:rPr>
        <w:t xml:space="preserve">as an index of the amount </w:t>
      </w:r>
      <w:r w:rsidR="007D26E3" w:rsidRPr="0058443A">
        <w:rPr>
          <w:color w:val="000000"/>
        </w:rPr>
        <w:t xml:space="preserve">of variation </w:t>
      </w:r>
      <w:r w:rsidR="00D40004" w:rsidRPr="0058443A">
        <w:rPr>
          <w:color w:val="000000"/>
        </w:rPr>
        <w:t>explained by</w:t>
      </w:r>
      <w:r w:rsidR="007D26E3" w:rsidRPr="0058443A">
        <w:rPr>
          <w:color w:val="000000"/>
        </w:rPr>
        <w:t xml:space="preserve"> the random </w:t>
      </w:r>
      <w:r w:rsidR="00D40004" w:rsidRPr="0058443A">
        <w:rPr>
          <w:color w:val="000000"/>
        </w:rPr>
        <w:t>effect of Subjects</w:t>
      </w:r>
      <w:r w:rsidR="007D26E3" w:rsidRPr="0058443A">
        <w:rPr>
          <w:color w:val="000000"/>
        </w:rPr>
        <w:t xml:space="preserve"> (Rabe-</w:t>
      </w:r>
      <w:proofErr w:type="spellStart"/>
      <w:r w:rsidR="007D26E3" w:rsidRPr="0058443A">
        <w:rPr>
          <w:color w:val="000000"/>
        </w:rPr>
        <w:t>Hesketh</w:t>
      </w:r>
      <w:proofErr w:type="spellEnd"/>
      <w:r w:rsidR="007D26E3" w:rsidRPr="0058443A">
        <w:rPr>
          <w:color w:val="000000"/>
        </w:rPr>
        <w:t xml:space="preserve"> &amp; </w:t>
      </w:r>
      <w:proofErr w:type="spellStart"/>
      <w:r w:rsidR="007D26E3" w:rsidRPr="0058443A">
        <w:rPr>
          <w:color w:val="000000"/>
        </w:rPr>
        <w:t>Skrondal</w:t>
      </w:r>
      <w:proofErr w:type="spellEnd"/>
      <w:r w:rsidR="007D26E3" w:rsidRPr="0058443A">
        <w:rPr>
          <w:color w:val="000000"/>
        </w:rPr>
        <w:t>, 2012</w:t>
      </w:r>
      <w:r w:rsidR="00D40004" w:rsidRPr="0058443A">
        <w:rPr>
          <w:color w:val="000000"/>
        </w:rPr>
        <w:t>)</w:t>
      </w:r>
      <w:r w:rsidR="007D26E3" w:rsidRPr="0058443A">
        <w:rPr>
          <w:color w:val="000000"/>
        </w:rPr>
        <w:t>.</w:t>
      </w:r>
    </w:p>
    <w:p w14:paraId="59D2469A" w14:textId="37565E7C" w:rsidR="000459ED" w:rsidRPr="003704AC" w:rsidRDefault="000459ED" w:rsidP="00CF0FD6">
      <w:pPr>
        <w:spacing w:line="480" w:lineRule="auto"/>
        <w:ind w:firstLine="720"/>
      </w:pPr>
      <w:r w:rsidRPr="0058443A">
        <w:rPr>
          <w:color w:val="000000"/>
        </w:rPr>
        <w:t>When modeling, our hypothesized moderator, conflicted omnivore (CO), was treated as a continuous measure with scores centered</w:t>
      </w:r>
      <w:r w:rsidR="0040678D" w:rsidRPr="0058443A">
        <w:rPr>
          <w:color w:val="000000"/>
        </w:rPr>
        <w:t xml:space="preserve"> due to its involvement in interactions</w:t>
      </w:r>
      <w:r w:rsidRPr="0058443A">
        <w:rPr>
          <w:color w:val="000000"/>
        </w:rPr>
        <w:t xml:space="preserve"> (Aiken &amp; West, 1991).</w:t>
      </w:r>
      <w:r w:rsidRPr="003704AC">
        <w:rPr>
          <w:color w:val="000000"/>
        </w:rPr>
        <w:t xml:space="preserve"> Finally, for our exploratory analysis of starting intentions, we correlated the starting intention index with (a) the meat consumption scores (sum of the 28 days), and (b) average meat-craving scores across the 28 days.</w:t>
      </w:r>
    </w:p>
    <w:p w14:paraId="72EB62FA" w14:textId="6BE63A2B" w:rsidR="000459ED" w:rsidRPr="003704AC" w:rsidRDefault="000459ED" w:rsidP="000459ED">
      <w:pPr>
        <w:spacing w:line="480" w:lineRule="auto"/>
      </w:pPr>
      <w:r w:rsidRPr="003704AC">
        <w:rPr>
          <w:b/>
          <w:bCs/>
          <w:color w:val="000000"/>
        </w:rPr>
        <w:t>3.2 Modeling Procedures and Hypothesis Testing</w:t>
      </w:r>
    </w:p>
    <w:p w14:paraId="66DBD935" w14:textId="6604A92C" w:rsidR="000459ED" w:rsidRPr="003704AC" w:rsidRDefault="000459ED" w:rsidP="000459ED">
      <w:pPr>
        <w:spacing w:line="480" w:lineRule="auto"/>
        <w:rPr>
          <w:i/>
          <w:iCs/>
          <w:color w:val="000000"/>
        </w:rPr>
      </w:pPr>
      <w:r w:rsidRPr="003704AC">
        <w:rPr>
          <w:b/>
          <w:bCs/>
          <w:i/>
          <w:iCs/>
          <w:color w:val="000000"/>
        </w:rPr>
        <w:t>3.2.1 Daily Meat Consumption</w:t>
      </w:r>
      <w:r w:rsidRPr="003704AC">
        <w:rPr>
          <w:i/>
          <w:iCs/>
          <w:color w:val="000000"/>
        </w:rPr>
        <w:t xml:space="preserve"> </w:t>
      </w:r>
    </w:p>
    <w:p w14:paraId="4B40F347" w14:textId="07738C20" w:rsidR="000459ED" w:rsidRPr="003704AC" w:rsidRDefault="004D1E8E" w:rsidP="00CF0FD6">
      <w:pPr>
        <w:spacing w:line="480" w:lineRule="auto"/>
        <w:ind w:firstLine="720"/>
        <w:rPr>
          <w:color w:val="000000"/>
        </w:rPr>
      </w:pPr>
      <w:r w:rsidRPr="003704AC">
        <w:rPr>
          <w:color w:val="000000"/>
        </w:rPr>
        <w:t>Participants reported a total of 3,955 instances of meat consumption across a total of 7,809 daily surveys submitted</w:t>
      </w:r>
      <w:r w:rsidR="001E6F86" w:rsidRPr="003704AC">
        <w:rPr>
          <w:color w:val="000000"/>
        </w:rPr>
        <w:t>.</w:t>
      </w:r>
      <w:r w:rsidR="00E74C2E" w:rsidRPr="003704AC">
        <w:rPr>
          <w:color w:val="000000"/>
        </w:rPr>
        <w:t xml:space="preserve"> </w:t>
      </w:r>
      <w:r w:rsidRPr="003704AC">
        <w:rPr>
          <w:color w:val="000000"/>
        </w:rPr>
        <w:t>On average, participants reported eating meat on 12.70 days, across the 28 days (</w:t>
      </w:r>
      <w:r w:rsidRPr="003704AC">
        <w:rPr>
          <w:i/>
          <w:iCs/>
          <w:color w:val="000000"/>
        </w:rPr>
        <w:t>SD</w:t>
      </w:r>
      <w:r w:rsidRPr="003704AC">
        <w:rPr>
          <w:color w:val="000000"/>
        </w:rPr>
        <w:t xml:space="preserve"> = 7.16). </w:t>
      </w:r>
      <w:r w:rsidR="00E74C2E" w:rsidRPr="003704AC">
        <w:rPr>
          <w:color w:val="000000"/>
        </w:rPr>
        <w:t>D</w:t>
      </w:r>
      <w:r w:rsidRPr="003704AC">
        <w:rPr>
          <w:color w:val="000000"/>
        </w:rPr>
        <w:t xml:space="preserve">aily meat consumption was highly positively skewed (Skewness = 1.24, </w:t>
      </w:r>
      <w:r w:rsidRPr="003704AC">
        <w:rPr>
          <w:i/>
          <w:iCs/>
          <w:color w:val="000000"/>
        </w:rPr>
        <w:t>SE</w:t>
      </w:r>
      <w:r w:rsidRPr="003704AC">
        <w:rPr>
          <w:color w:val="000000"/>
        </w:rPr>
        <w:t xml:space="preserve"> = .01). </w:t>
      </w:r>
      <w:r w:rsidRPr="003704AC" w:rsidDel="00A67788">
        <w:rPr>
          <w:color w:val="000000"/>
        </w:rPr>
        <w:t xml:space="preserve"> </w:t>
      </w:r>
      <w:r w:rsidR="00E74C2E" w:rsidRPr="003704AC">
        <w:rPr>
          <w:color w:val="000000"/>
        </w:rPr>
        <w:t xml:space="preserve">To test </w:t>
      </w:r>
      <w:r w:rsidR="00702219" w:rsidRPr="003704AC">
        <w:rPr>
          <w:color w:val="000000"/>
        </w:rPr>
        <w:t xml:space="preserve">the distribution that </w:t>
      </w:r>
      <w:r w:rsidR="00E74C2E" w:rsidRPr="003704AC">
        <w:rPr>
          <w:color w:val="000000"/>
        </w:rPr>
        <w:t>best</w:t>
      </w:r>
      <w:r w:rsidR="00702219" w:rsidRPr="003704AC">
        <w:rPr>
          <w:color w:val="000000"/>
        </w:rPr>
        <w:t xml:space="preserve"> fit daily meat consumption scores</w:t>
      </w:r>
      <w:r w:rsidR="00E74C2E" w:rsidRPr="003704AC">
        <w:rPr>
          <w:color w:val="000000"/>
        </w:rPr>
        <w:t xml:space="preserve"> </w:t>
      </w:r>
      <w:r w:rsidR="00702219" w:rsidRPr="003704AC">
        <w:rPr>
          <w:color w:val="000000"/>
        </w:rPr>
        <w:t>(</w:t>
      </w:r>
      <w:r w:rsidR="00E74C2E" w:rsidRPr="003704AC">
        <w:rPr>
          <w:color w:val="000000"/>
        </w:rPr>
        <w:t xml:space="preserve">i.e., </w:t>
      </w:r>
      <w:r w:rsidR="00702219" w:rsidRPr="003704AC">
        <w:rPr>
          <w:color w:val="000000"/>
        </w:rPr>
        <w:t xml:space="preserve">how many times meat was consumed in the </w:t>
      </w:r>
      <w:r w:rsidR="00CF0FD6" w:rsidRPr="003704AC">
        <w:rPr>
          <w:color w:val="000000"/>
        </w:rPr>
        <w:t>28-day</w:t>
      </w:r>
      <w:r w:rsidR="00702219" w:rsidRPr="003704AC">
        <w:rPr>
          <w:color w:val="000000"/>
        </w:rPr>
        <w:t xml:space="preserve"> interval), we compared the fit of a Poisson, Negative Binomial and Normal distribution using the Akaike Information Criterion (AIC). </w:t>
      </w:r>
      <w:r w:rsidR="000459ED" w:rsidRPr="003704AC">
        <w:rPr>
          <w:color w:val="000000"/>
        </w:rPr>
        <w:t>A Negative Binomial distribution best fit the pattern of daily meat consumption (AIC of Neg. Binomial = 18619.79 &lt; Poisson = 18692.89</w:t>
      </w:r>
      <w:r w:rsidR="000459ED" w:rsidRPr="0058443A">
        <w:rPr>
          <w:color w:val="000000"/>
        </w:rPr>
        <w:t xml:space="preserve"> &lt; Normal = </w:t>
      </w:r>
      <w:r w:rsidR="000459ED" w:rsidRPr="0058443A">
        <w:rPr>
          <w:color w:val="000000"/>
        </w:rPr>
        <w:lastRenderedPageBreak/>
        <w:t>21278.50</w:t>
      </w:r>
      <w:r w:rsidR="000459ED" w:rsidRPr="003704AC">
        <w:rPr>
          <w:color w:val="000000"/>
        </w:rPr>
        <w:t>)</w:t>
      </w:r>
      <w:r w:rsidR="00E74C2E" w:rsidRPr="003704AC">
        <w:rPr>
          <w:color w:val="000000"/>
        </w:rPr>
        <w:t>. For the analysis, we used a generalized linear mixed-effect model (GLMM), which allows for both a negative binomial distribution and the inclusion of random effects.</w:t>
      </w:r>
      <w:r w:rsidR="001E6F86" w:rsidRPr="003704AC">
        <w:rPr>
          <w:color w:val="000000"/>
        </w:rPr>
        <w:t xml:space="preserve"> </w:t>
      </w:r>
      <w:r w:rsidR="001E6F86" w:rsidRPr="0058443A">
        <w:rPr>
          <w:color w:val="000000"/>
        </w:rPr>
        <w:t xml:space="preserve">(See Supplemental Materials and Figure S1, for daily meat consumption </w:t>
      </w:r>
      <w:r w:rsidR="00F923DF" w:rsidRPr="0058443A">
        <w:rPr>
          <w:color w:val="000000"/>
        </w:rPr>
        <w:t>counts</w:t>
      </w:r>
      <w:r w:rsidR="001E6F86" w:rsidRPr="0058443A">
        <w:rPr>
          <w:color w:val="000000"/>
        </w:rPr>
        <w:t xml:space="preserve"> </w:t>
      </w:r>
      <w:r w:rsidR="00842FA0" w:rsidRPr="0058443A">
        <w:rPr>
          <w:color w:val="000000"/>
        </w:rPr>
        <w:t xml:space="preserve">and analysis </w:t>
      </w:r>
      <w:r w:rsidR="001E6F86" w:rsidRPr="0058443A">
        <w:rPr>
          <w:color w:val="000000"/>
        </w:rPr>
        <w:t xml:space="preserve">with </w:t>
      </w:r>
      <w:r w:rsidR="001E6F86" w:rsidRPr="0058443A">
        <w:rPr>
          <w:i/>
          <w:color w:val="000000"/>
        </w:rPr>
        <w:t xml:space="preserve">fish </w:t>
      </w:r>
      <w:r w:rsidR="001E6F86" w:rsidRPr="0058443A">
        <w:rPr>
          <w:color w:val="000000"/>
        </w:rPr>
        <w:t xml:space="preserve">and </w:t>
      </w:r>
      <w:r w:rsidR="001E6F86" w:rsidRPr="0058443A">
        <w:rPr>
          <w:i/>
          <w:color w:val="000000"/>
        </w:rPr>
        <w:t>seafood</w:t>
      </w:r>
      <w:r w:rsidR="001E6F86" w:rsidRPr="0058443A">
        <w:rPr>
          <w:color w:val="000000"/>
        </w:rPr>
        <w:t xml:space="preserve"> included).</w:t>
      </w:r>
    </w:p>
    <w:p w14:paraId="15C1B859" w14:textId="1EE56114" w:rsidR="000459ED" w:rsidRPr="0058443A" w:rsidRDefault="000459ED" w:rsidP="000459ED">
      <w:pPr>
        <w:spacing w:line="480" w:lineRule="auto"/>
        <w:ind w:firstLine="720"/>
      </w:pPr>
      <w:r w:rsidRPr="0058443A">
        <w:rPr>
          <w:color w:val="000000"/>
        </w:rPr>
        <w:t xml:space="preserve">Hypothesis 1 was that meat conflict would moderate success with pledging, and Hypothesis 2a was that pledging would lead to significant reductions in daily meat consumption. To test these hypotheses, we started with a complex model that could test these hypotheses and then used a </w:t>
      </w:r>
      <w:r w:rsidR="00346353" w:rsidRPr="0058443A">
        <w:rPr>
          <w:color w:val="000000"/>
        </w:rPr>
        <w:t>stepwise</w:t>
      </w:r>
      <w:r w:rsidRPr="0058443A">
        <w:rPr>
          <w:color w:val="000000"/>
        </w:rPr>
        <w:t xml:space="preserve"> procedure </w:t>
      </w:r>
      <w:r w:rsidR="00346353" w:rsidRPr="0058443A">
        <w:rPr>
          <w:color w:val="000000"/>
        </w:rPr>
        <w:t xml:space="preserve">as described above </w:t>
      </w:r>
      <w:r w:rsidRPr="0058443A">
        <w:rPr>
          <w:color w:val="000000"/>
        </w:rPr>
        <w:t xml:space="preserve">. </w:t>
      </w:r>
      <w:r w:rsidRPr="003704AC">
        <w:rPr>
          <w:color w:val="000000"/>
        </w:rPr>
        <w:t xml:space="preserve">The first model included fixed effects of Pledge (pledge vs. control), Country (UK, Germany, Australia), Conflicted Omnivore (CO), and the interaction of Pledge x CO (to test Hypothesis 1), and Pledge x Country (to test the generalizability of Pledging). We added Subject as a random effect in the model to account for unexplained variation between subjects. </w:t>
      </w:r>
      <w:r w:rsidRPr="0058443A">
        <w:rPr>
          <w:color w:val="000000"/>
        </w:rPr>
        <w:t xml:space="preserve">This model performed significantly better than a model without this random effect, </w:t>
      </w:r>
      <w:r w:rsidRPr="0058443A">
        <w:rPr>
          <w:i/>
          <w:iCs/>
          <w:lang w:val="el-GR"/>
        </w:rPr>
        <w:t>χ</w:t>
      </w:r>
      <w:r w:rsidRPr="0058443A">
        <w:rPr>
          <w:i/>
          <w:iCs/>
          <w:vertAlign w:val="superscript"/>
        </w:rPr>
        <w:t>2</w:t>
      </w:r>
      <w:r w:rsidRPr="0058443A">
        <w:t>(1) = 1548.9</w:t>
      </w:r>
      <w:r w:rsidR="00C82B23" w:rsidRPr="0058443A">
        <w:t>0</w:t>
      </w:r>
      <w:r w:rsidRPr="0058443A">
        <w:t xml:space="preserve">, </w:t>
      </w:r>
      <w:r w:rsidRPr="0058443A">
        <w:rPr>
          <w:i/>
          <w:iCs/>
        </w:rPr>
        <w:t>p</w:t>
      </w:r>
      <w:r w:rsidRPr="0058443A">
        <w:t xml:space="preserve"> &lt; .001, justifying its inclusion.</w:t>
      </w:r>
      <w:r w:rsidRPr="0058443A">
        <w:rPr>
          <w:color w:val="000000"/>
        </w:rPr>
        <w:t xml:space="preserve"> </w:t>
      </w:r>
      <w:r w:rsidRPr="0058443A">
        <w:t xml:space="preserve">Including Time (28 days) as a random effect did not show improvement on the Intercept-only model, </w:t>
      </w:r>
      <w:r w:rsidRPr="0058443A">
        <w:rPr>
          <w:i/>
          <w:iCs/>
          <w:lang w:val="el-GR"/>
        </w:rPr>
        <w:t>χ</w:t>
      </w:r>
      <w:r w:rsidRPr="0058443A">
        <w:rPr>
          <w:i/>
          <w:iCs/>
          <w:vertAlign w:val="superscript"/>
        </w:rPr>
        <w:t>2</w:t>
      </w:r>
      <w:r w:rsidRPr="0058443A">
        <w:t xml:space="preserve">(27) = 13.94, </w:t>
      </w:r>
      <w:r w:rsidRPr="0058443A">
        <w:rPr>
          <w:i/>
          <w:iCs/>
        </w:rPr>
        <w:t>p</w:t>
      </w:r>
      <w:r w:rsidRPr="0058443A">
        <w:t xml:space="preserve"> = .98, thus, it was excluded from the procedure. Our first model showed improvement on the Intercept-only model, </w:t>
      </w:r>
      <w:r w:rsidRPr="0058443A">
        <w:rPr>
          <w:i/>
          <w:iCs/>
          <w:lang w:val="el-GR"/>
        </w:rPr>
        <w:t>χ</w:t>
      </w:r>
      <w:r w:rsidRPr="0058443A">
        <w:rPr>
          <w:i/>
          <w:iCs/>
          <w:vertAlign w:val="superscript"/>
        </w:rPr>
        <w:t>2</w:t>
      </w:r>
      <w:r w:rsidRPr="0058443A">
        <w:t xml:space="preserve">(7) = 192.12, </w:t>
      </w:r>
      <w:r w:rsidRPr="0058443A">
        <w:rPr>
          <w:i/>
          <w:iCs/>
        </w:rPr>
        <w:t>p</w:t>
      </w:r>
      <w:r w:rsidRPr="0058443A">
        <w:t xml:space="preserve"> &lt; .001. However, the interaction of Pledge x CO did not contribute significantly to the model. When it was removed, the simpler model retained comparable levels of fit, </w:t>
      </w:r>
      <w:r w:rsidRPr="0058443A">
        <w:rPr>
          <w:i/>
          <w:iCs/>
          <w:lang w:val="el-GR"/>
        </w:rPr>
        <w:t>χ</w:t>
      </w:r>
      <w:r w:rsidRPr="0058443A">
        <w:rPr>
          <w:i/>
          <w:iCs/>
          <w:vertAlign w:val="superscript"/>
        </w:rPr>
        <w:t>2</w:t>
      </w:r>
      <w:r w:rsidRPr="0058443A">
        <w:t xml:space="preserve">(1) = 0.74, </w:t>
      </w:r>
      <w:r w:rsidRPr="0058443A">
        <w:rPr>
          <w:i/>
          <w:iCs/>
        </w:rPr>
        <w:t>p</w:t>
      </w:r>
      <w:r w:rsidRPr="0058443A">
        <w:t xml:space="preserve"> = .39. </w:t>
      </w:r>
      <w:r w:rsidRPr="0058443A">
        <w:rPr>
          <w:color w:val="000000"/>
        </w:rPr>
        <w:t xml:space="preserve">Removing the interaction of Pledge x Country led to worse performance than a model that retained the interaction, </w:t>
      </w:r>
      <w:r w:rsidRPr="0058443A">
        <w:rPr>
          <w:i/>
          <w:iCs/>
          <w:lang w:val="el-GR"/>
        </w:rPr>
        <w:t>χ</w:t>
      </w:r>
      <w:r w:rsidRPr="0058443A">
        <w:rPr>
          <w:i/>
          <w:iCs/>
          <w:vertAlign w:val="superscript"/>
        </w:rPr>
        <w:t>2</w:t>
      </w:r>
      <w:r w:rsidRPr="0058443A">
        <w:t xml:space="preserve">(2) = 29.48, </w:t>
      </w:r>
      <w:r w:rsidRPr="0058443A">
        <w:rPr>
          <w:i/>
          <w:iCs/>
        </w:rPr>
        <w:t>p</w:t>
      </w:r>
      <w:r w:rsidRPr="0058443A">
        <w:t xml:space="preserve"> &lt; .001. Thus, the final model retained Pledge x Country, along with the main effects of Pledge, Country, and CO, and Subjects as a random effect.</w:t>
      </w:r>
      <w:r w:rsidRPr="0058443A">
        <w:rPr>
          <w:rStyle w:val="FootnoteReference"/>
        </w:rPr>
        <w:footnoteReference w:id="5"/>
      </w:r>
      <w:r w:rsidRPr="0058443A">
        <w:t xml:space="preserve"> </w:t>
      </w:r>
    </w:p>
    <w:p w14:paraId="31374183" w14:textId="77777777" w:rsidR="000459ED" w:rsidRPr="003704AC" w:rsidRDefault="000459ED" w:rsidP="000459ED">
      <w:pPr>
        <w:sectPr w:rsidR="000459ED" w:rsidRPr="003704AC" w:rsidSect="008D6316">
          <w:headerReference w:type="even" r:id="rId8"/>
          <w:headerReference w:type="default" r:id="rId9"/>
          <w:pgSz w:w="11900" w:h="16840"/>
          <w:pgMar w:top="1440" w:right="1440" w:bottom="1440" w:left="1440" w:header="708" w:footer="708" w:gutter="0"/>
          <w:cols w:space="708"/>
          <w:titlePg/>
          <w:docGrid w:linePitch="360"/>
        </w:sectPr>
      </w:pPr>
    </w:p>
    <w:p w14:paraId="34BF1A53" w14:textId="77777777" w:rsidR="000459ED" w:rsidRPr="003704AC" w:rsidRDefault="000459ED" w:rsidP="000459ED">
      <w:pPr>
        <w:spacing w:line="480" w:lineRule="auto"/>
        <w:rPr>
          <w:b/>
          <w:bCs/>
          <w:color w:val="000000"/>
        </w:rPr>
      </w:pPr>
      <w:r w:rsidRPr="0058443A">
        <w:rPr>
          <w:b/>
          <w:bCs/>
          <w:color w:val="000000"/>
        </w:rPr>
        <w:lastRenderedPageBreak/>
        <w:t>Table 2</w:t>
      </w:r>
    </w:p>
    <w:p w14:paraId="2261C2BD" w14:textId="77777777" w:rsidR="000459ED" w:rsidRPr="003704AC" w:rsidRDefault="000459ED" w:rsidP="000459ED">
      <w:pPr>
        <w:spacing w:line="480" w:lineRule="auto"/>
      </w:pPr>
      <w:r w:rsidRPr="003704AC">
        <w:rPr>
          <w:i/>
        </w:rPr>
        <w:t>Model Estimates of Fixed and Random Effects on Daily Meat Consumption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045"/>
        <w:gridCol w:w="505"/>
        <w:gridCol w:w="1043"/>
        <w:gridCol w:w="749"/>
        <w:gridCol w:w="1431"/>
        <w:gridCol w:w="1045"/>
        <w:gridCol w:w="627"/>
        <w:gridCol w:w="700"/>
        <w:gridCol w:w="1043"/>
        <w:gridCol w:w="1431"/>
      </w:tblGrid>
      <w:tr w:rsidR="000459ED" w:rsidRPr="003704AC" w14:paraId="3082CC7A" w14:textId="77777777" w:rsidTr="002A14A1">
        <w:tc>
          <w:tcPr>
            <w:tcW w:w="0" w:type="auto"/>
            <w:gridSpan w:val="5"/>
            <w:vMerge w:val="restart"/>
            <w:tcBorders>
              <w:top w:val="single" w:sz="4" w:space="0" w:color="auto"/>
              <w:left w:val="nil"/>
              <w:right w:val="nil"/>
            </w:tcBorders>
          </w:tcPr>
          <w:p w14:paraId="1B78854F" w14:textId="77777777" w:rsidR="000459ED" w:rsidRPr="003704AC" w:rsidRDefault="000459ED" w:rsidP="002A14A1">
            <w:pPr>
              <w:jc w:val="center"/>
              <w:rPr>
                <w:rFonts w:ascii="Times New Roman" w:hAnsi="Times New Roman" w:cs="Times New Roman"/>
                <w:sz w:val="24"/>
                <w:szCs w:val="24"/>
              </w:rPr>
            </w:pPr>
            <w:r w:rsidRPr="003704AC">
              <w:t xml:space="preserve">        Model 0</w:t>
            </w:r>
          </w:p>
        </w:tc>
        <w:tc>
          <w:tcPr>
            <w:tcW w:w="0" w:type="auto"/>
            <w:tcBorders>
              <w:top w:val="single" w:sz="4" w:space="0" w:color="auto"/>
              <w:left w:val="nil"/>
              <w:bottom w:val="nil"/>
              <w:right w:val="nil"/>
            </w:tcBorders>
          </w:tcPr>
          <w:p w14:paraId="799EE77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02289CF" w14:textId="77777777" w:rsidR="000459ED" w:rsidRPr="003704AC" w:rsidRDefault="000459ED" w:rsidP="002A14A1">
            <w:pPr>
              <w:jc w:val="center"/>
              <w:rPr>
                <w:rFonts w:ascii="Times New Roman" w:hAnsi="Times New Roman" w:cs="Times New Roman"/>
                <w:sz w:val="24"/>
                <w:szCs w:val="24"/>
              </w:rPr>
            </w:pPr>
          </w:p>
        </w:tc>
        <w:tc>
          <w:tcPr>
            <w:tcW w:w="0" w:type="auto"/>
            <w:gridSpan w:val="4"/>
            <w:tcBorders>
              <w:top w:val="single" w:sz="4" w:space="0" w:color="auto"/>
              <w:left w:val="nil"/>
              <w:bottom w:val="nil"/>
              <w:right w:val="nil"/>
            </w:tcBorders>
          </w:tcPr>
          <w:p w14:paraId="280DB26D" w14:textId="77777777" w:rsidR="000459ED" w:rsidRPr="003704AC" w:rsidRDefault="000459ED" w:rsidP="002A14A1">
            <w:pPr>
              <w:jc w:val="center"/>
              <w:rPr>
                <w:rFonts w:ascii="Times New Roman" w:hAnsi="Times New Roman" w:cs="Times New Roman"/>
                <w:sz w:val="24"/>
                <w:szCs w:val="24"/>
              </w:rPr>
            </w:pPr>
            <w:r w:rsidRPr="003704AC">
              <w:t>Model 1</w:t>
            </w:r>
          </w:p>
        </w:tc>
      </w:tr>
      <w:tr w:rsidR="000459ED" w:rsidRPr="003704AC" w14:paraId="0F959036" w14:textId="77777777" w:rsidTr="002A14A1">
        <w:tc>
          <w:tcPr>
            <w:tcW w:w="0" w:type="auto"/>
            <w:gridSpan w:val="5"/>
            <w:vMerge/>
            <w:tcBorders>
              <w:left w:val="nil"/>
              <w:bottom w:val="single" w:sz="4" w:space="0" w:color="auto"/>
              <w:right w:val="nil"/>
            </w:tcBorders>
          </w:tcPr>
          <w:p w14:paraId="24EB25BC" w14:textId="77777777" w:rsidR="000459ED" w:rsidRPr="003704AC" w:rsidRDefault="000459ED" w:rsidP="002A14A1">
            <w:pPr>
              <w:jc w:val="center"/>
              <w:rPr>
                <w:rFonts w:ascii="Times New Roman" w:hAnsi="Times New Roman" w:cs="Times New Roman"/>
                <w:i/>
                <w:sz w:val="24"/>
                <w:szCs w:val="24"/>
              </w:rPr>
            </w:pPr>
          </w:p>
        </w:tc>
        <w:tc>
          <w:tcPr>
            <w:tcW w:w="0" w:type="auto"/>
            <w:tcBorders>
              <w:top w:val="nil"/>
              <w:left w:val="nil"/>
              <w:bottom w:val="single" w:sz="4" w:space="0" w:color="auto"/>
              <w:right w:val="nil"/>
            </w:tcBorders>
          </w:tcPr>
          <w:p w14:paraId="6C1366B9"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3F58C7B6"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4BF25860" w14:textId="77777777" w:rsidR="000459ED" w:rsidRPr="003704AC" w:rsidRDefault="000459ED" w:rsidP="002A14A1">
            <w:pPr>
              <w:jc w:val="center"/>
              <w:rPr>
                <w:rFonts w:ascii="Times New Roman" w:hAnsi="Times New Roman" w:cs="Times New Roman"/>
                <w:i/>
                <w:sz w:val="24"/>
                <w:szCs w:val="24"/>
              </w:rPr>
            </w:pPr>
          </w:p>
        </w:tc>
        <w:tc>
          <w:tcPr>
            <w:tcW w:w="0" w:type="auto"/>
            <w:tcBorders>
              <w:top w:val="nil"/>
              <w:left w:val="nil"/>
              <w:bottom w:val="single" w:sz="4" w:space="0" w:color="auto"/>
              <w:right w:val="nil"/>
            </w:tcBorders>
          </w:tcPr>
          <w:p w14:paraId="2B352AC0" w14:textId="77777777" w:rsidR="000459ED" w:rsidRPr="003704AC" w:rsidRDefault="000459ED" w:rsidP="002A14A1">
            <w:pPr>
              <w:jc w:val="center"/>
              <w:rPr>
                <w:rFonts w:ascii="Times New Roman" w:hAnsi="Times New Roman" w:cs="Times New Roman"/>
                <w:i/>
                <w:sz w:val="24"/>
                <w:szCs w:val="24"/>
              </w:rPr>
            </w:pPr>
          </w:p>
        </w:tc>
        <w:tc>
          <w:tcPr>
            <w:tcW w:w="0" w:type="auto"/>
            <w:tcBorders>
              <w:top w:val="nil"/>
              <w:left w:val="nil"/>
              <w:bottom w:val="single" w:sz="4" w:space="0" w:color="auto"/>
              <w:right w:val="nil"/>
            </w:tcBorders>
          </w:tcPr>
          <w:p w14:paraId="31B5D35B" w14:textId="77777777" w:rsidR="000459ED" w:rsidRPr="003704AC" w:rsidRDefault="000459ED" w:rsidP="002A14A1">
            <w:pPr>
              <w:jc w:val="center"/>
              <w:rPr>
                <w:rFonts w:ascii="Times New Roman" w:hAnsi="Times New Roman" w:cs="Times New Roman"/>
                <w:i/>
                <w:sz w:val="24"/>
                <w:szCs w:val="24"/>
              </w:rPr>
            </w:pPr>
          </w:p>
        </w:tc>
        <w:tc>
          <w:tcPr>
            <w:tcW w:w="0" w:type="auto"/>
            <w:tcBorders>
              <w:top w:val="nil"/>
              <w:left w:val="nil"/>
              <w:bottom w:val="single" w:sz="4" w:space="0" w:color="auto"/>
              <w:right w:val="nil"/>
            </w:tcBorders>
          </w:tcPr>
          <w:p w14:paraId="277A081A" w14:textId="77777777" w:rsidR="000459ED" w:rsidRPr="003704AC" w:rsidRDefault="000459ED" w:rsidP="002A14A1">
            <w:pPr>
              <w:jc w:val="center"/>
              <w:rPr>
                <w:rFonts w:ascii="Times New Roman" w:hAnsi="Times New Roman" w:cs="Times New Roman"/>
                <w:sz w:val="24"/>
                <w:szCs w:val="24"/>
              </w:rPr>
            </w:pPr>
          </w:p>
        </w:tc>
      </w:tr>
      <w:tr w:rsidR="000459ED" w:rsidRPr="003704AC" w14:paraId="4B2B6EDE" w14:textId="77777777" w:rsidTr="002A14A1">
        <w:tc>
          <w:tcPr>
            <w:tcW w:w="0" w:type="auto"/>
            <w:tcBorders>
              <w:top w:val="nil"/>
              <w:left w:val="nil"/>
              <w:bottom w:val="single" w:sz="4" w:space="0" w:color="auto"/>
              <w:right w:val="nil"/>
            </w:tcBorders>
          </w:tcPr>
          <w:p w14:paraId="77CA1505" w14:textId="77777777" w:rsidR="000459ED" w:rsidRPr="003704AC" w:rsidRDefault="000459ED" w:rsidP="002A14A1">
            <w:pPr>
              <w:jc w:val="center"/>
              <w:rPr>
                <w:rFonts w:ascii="Times New Roman" w:hAnsi="Times New Roman" w:cs="Times New Roman"/>
                <w:sz w:val="24"/>
                <w:szCs w:val="24"/>
              </w:rPr>
            </w:pPr>
            <w:r w:rsidRPr="003704AC">
              <w:t>Fixed Effects</w:t>
            </w:r>
          </w:p>
        </w:tc>
        <w:tc>
          <w:tcPr>
            <w:tcW w:w="0" w:type="auto"/>
            <w:tcBorders>
              <w:top w:val="nil"/>
              <w:left w:val="nil"/>
              <w:bottom w:val="single" w:sz="4" w:space="0" w:color="auto"/>
              <w:right w:val="nil"/>
            </w:tcBorders>
          </w:tcPr>
          <w:p w14:paraId="1E9563DE" w14:textId="77777777" w:rsidR="000459ED" w:rsidRPr="003704AC" w:rsidRDefault="000459ED" w:rsidP="002A14A1">
            <w:pPr>
              <w:jc w:val="center"/>
              <w:rPr>
                <w:rFonts w:ascii="Times New Roman" w:hAnsi="Times New Roman" w:cs="Times New Roman"/>
                <w:sz w:val="24"/>
                <w:szCs w:val="24"/>
              </w:rPr>
            </w:pPr>
            <w:r w:rsidRPr="003704AC">
              <w:t>Estimate</w:t>
            </w:r>
          </w:p>
          <w:p w14:paraId="642509A6"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hideMark/>
          </w:tcPr>
          <w:p w14:paraId="7BF00283" w14:textId="77777777" w:rsidR="000459ED" w:rsidRPr="003704AC" w:rsidRDefault="000459ED" w:rsidP="002A14A1">
            <w:pPr>
              <w:jc w:val="center"/>
              <w:rPr>
                <w:rFonts w:ascii="Times New Roman" w:hAnsi="Times New Roman" w:cs="Times New Roman"/>
                <w:i/>
                <w:sz w:val="24"/>
                <w:szCs w:val="24"/>
              </w:rPr>
            </w:pPr>
            <w:r w:rsidRPr="003704AC">
              <w:rPr>
                <w:i/>
              </w:rPr>
              <w:t>SE</w:t>
            </w:r>
          </w:p>
        </w:tc>
        <w:tc>
          <w:tcPr>
            <w:tcW w:w="0" w:type="auto"/>
            <w:tcBorders>
              <w:top w:val="nil"/>
              <w:left w:val="nil"/>
              <w:bottom w:val="single" w:sz="4" w:space="0" w:color="auto"/>
              <w:right w:val="nil"/>
            </w:tcBorders>
            <w:hideMark/>
          </w:tcPr>
          <w:p w14:paraId="419D5A4B" w14:textId="77777777" w:rsidR="000459ED" w:rsidRPr="003704AC" w:rsidRDefault="000459ED" w:rsidP="002A14A1">
            <w:pPr>
              <w:jc w:val="center"/>
              <w:rPr>
                <w:rFonts w:ascii="Times New Roman" w:hAnsi="Times New Roman" w:cs="Times New Roman"/>
                <w:i/>
                <w:sz w:val="24"/>
                <w:szCs w:val="24"/>
              </w:rPr>
            </w:pPr>
            <w:r w:rsidRPr="003704AC">
              <w:rPr>
                <w:i/>
              </w:rPr>
              <w:t>Z</w:t>
            </w:r>
          </w:p>
        </w:tc>
        <w:tc>
          <w:tcPr>
            <w:tcW w:w="0" w:type="auto"/>
            <w:tcBorders>
              <w:top w:val="nil"/>
              <w:left w:val="nil"/>
              <w:bottom w:val="single" w:sz="4" w:space="0" w:color="auto"/>
              <w:right w:val="nil"/>
            </w:tcBorders>
            <w:hideMark/>
          </w:tcPr>
          <w:p w14:paraId="4C9DCF14" w14:textId="77777777" w:rsidR="000459ED" w:rsidRPr="003704AC" w:rsidRDefault="000459ED" w:rsidP="002A14A1">
            <w:pPr>
              <w:jc w:val="center"/>
              <w:rPr>
                <w:rFonts w:ascii="Times New Roman" w:hAnsi="Times New Roman" w:cs="Times New Roman"/>
                <w:i/>
                <w:sz w:val="24"/>
                <w:szCs w:val="24"/>
              </w:rPr>
            </w:pPr>
            <w:r w:rsidRPr="003704AC">
              <w:rPr>
                <w:i/>
              </w:rPr>
              <w:t>p</w:t>
            </w:r>
          </w:p>
        </w:tc>
        <w:tc>
          <w:tcPr>
            <w:tcW w:w="0" w:type="auto"/>
            <w:tcBorders>
              <w:top w:val="nil"/>
              <w:left w:val="nil"/>
              <w:bottom w:val="single" w:sz="4" w:space="0" w:color="auto"/>
              <w:right w:val="nil"/>
            </w:tcBorders>
            <w:hideMark/>
          </w:tcPr>
          <w:p w14:paraId="5D1E1851" w14:textId="77777777" w:rsidR="000459ED" w:rsidRPr="003704AC" w:rsidRDefault="000459ED" w:rsidP="002A14A1">
            <w:pPr>
              <w:jc w:val="center"/>
              <w:rPr>
                <w:rFonts w:ascii="Times New Roman" w:hAnsi="Times New Roman" w:cs="Times New Roman"/>
                <w:sz w:val="24"/>
                <w:szCs w:val="24"/>
              </w:rPr>
            </w:pPr>
            <w:r w:rsidRPr="003704AC">
              <w:t>95%CI</w:t>
            </w:r>
          </w:p>
        </w:tc>
        <w:tc>
          <w:tcPr>
            <w:tcW w:w="0" w:type="auto"/>
            <w:tcBorders>
              <w:top w:val="nil"/>
              <w:left w:val="nil"/>
              <w:bottom w:val="single" w:sz="4" w:space="0" w:color="auto"/>
              <w:right w:val="nil"/>
            </w:tcBorders>
          </w:tcPr>
          <w:p w14:paraId="6697C466" w14:textId="77777777" w:rsidR="000459ED" w:rsidRPr="003704AC" w:rsidRDefault="000459ED" w:rsidP="002A14A1">
            <w:pPr>
              <w:jc w:val="center"/>
              <w:rPr>
                <w:rFonts w:ascii="Times New Roman" w:hAnsi="Times New Roman" w:cs="Times New Roman"/>
                <w:sz w:val="24"/>
                <w:szCs w:val="24"/>
              </w:rPr>
            </w:pPr>
            <w:r w:rsidRPr="003704AC">
              <w:t>Estimate</w:t>
            </w:r>
          </w:p>
          <w:p w14:paraId="67566940"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7910A12D" w14:textId="77777777" w:rsidR="000459ED" w:rsidRPr="003704AC" w:rsidRDefault="000459ED" w:rsidP="002A14A1">
            <w:pPr>
              <w:jc w:val="center"/>
              <w:rPr>
                <w:rFonts w:ascii="Times New Roman" w:hAnsi="Times New Roman" w:cs="Times New Roman"/>
                <w:sz w:val="24"/>
                <w:szCs w:val="24"/>
              </w:rPr>
            </w:pPr>
            <w:r w:rsidRPr="003704AC">
              <w:rPr>
                <w:i/>
              </w:rPr>
              <w:t>SE</w:t>
            </w:r>
          </w:p>
        </w:tc>
        <w:tc>
          <w:tcPr>
            <w:tcW w:w="0" w:type="auto"/>
            <w:tcBorders>
              <w:top w:val="nil"/>
              <w:left w:val="nil"/>
              <w:bottom w:val="single" w:sz="4" w:space="0" w:color="auto"/>
              <w:right w:val="nil"/>
            </w:tcBorders>
          </w:tcPr>
          <w:p w14:paraId="0E042EE4" w14:textId="77777777" w:rsidR="000459ED" w:rsidRPr="003704AC" w:rsidRDefault="000459ED" w:rsidP="002A14A1">
            <w:pPr>
              <w:jc w:val="center"/>
              <w:rPr>
                <w:rFonts w:ascii="Times New Roman" w:hAnsi="Times New Roman" w:cs="Times New Roman"/>
                <w:sz w:val="24"/>
                <w:szCs w:val="24"/>
              </w:rPr>
            </w:pPr>
            <w:r w:rsidRPr="003704AC">
              <w:rPr>
                <w:i/>
              </w:rPr>
              <w:t>Z</w:t>
            </w:r>
          </w:p>
        </w:tc>
        <w:tc>
          <w:tcPr>
            <w:tcW w:w="0" w:type="auto"/>
            <w:tcBorders>
              <w:top w:val="nil"/>
              <w:left w:val="nil"/>
              <w:bottom w:val="single" w:sz="4" w:space="0" w:color="auto"/>
              <w:right w:val="nil"/>
            </w:tcBorders>
          </w:tcPr>
          <w:p w14:paraId="518797E6" w14:textId="77777777" w:rsidR="000459ED" w:rsidRPr="003704AC" w:rsidRDefault="000459ED" w:rsidP="002A14A1">
            <w:pPr>
              <w:jc w:val="center"/>
              <w:rPr>
                <w:rFonts w:ascii="Times New Roman" w:hAnsi="Times New Roman" w:cs="Times New Roman"/>
                <w:sz w:val="24"/>
                <w:szCs w:val="24"/>
              </w:rPr>
            </w:pPr>
            <w:r w:rsidRPr="003704AC">
              <w:rPr>
                <w:i/>
              </w:rPr>
              <w:t>P</w:t>
            </w:r>
          </w:p>
        </w:tc>
        <w:tc>
          <w:tcPr>
            <w:tcW w:w="0" w:type="auto"/>
            <w:tcBorders>
              <w:top w:val="nil"/>
              <w:left w:val="nil"/>
              <w:bottom w:val="single" w:sz="4" w:space="0" w:color="auto"/>
              <w:right w:val="nil"/>
            </w:tcBorders>
          </w:tcPr>
          <w:p w14:paraId="59DB3FCD" w14:textId="77777777" w:rsidR="000459ED" w:rsidRPr="003704AC" w:rsidRDefault="000459ED" w:rsidP="002A14A1">
            <w:pPr>
              <w:jc w:val="center"/>
              <w:rPr>
                <w:rFonts w:ascii="Times New Roman" w:hAnsi="Times New Roman" w:cs="Times New Roman"/>
                <w:sz w:val="24"/>
                <w:szCs w:val="24"/>
              </w:rPr>
            </w:pPr>
            <w:r w:rsidRPr="003704AC">
              <w:t>95%CI</w:t>
            </w:r>
          </w:p>
        </w:tc>
      </w:tr>
      <w:tr w:rsidR="000459ED" w:rsidRPr="003704AC" w14:paraId="15D8B6DA" w14:textId="77777777" w:rsidTr="002A14A1">
        <w:tc>
          <w:tcPr>
            <w:tcW w:w="0" w:type="auto"/>
            <w:tcBorders>
              <w:top w:val="single" w:sz="4" w:space="0" w:color="auto"/>
              <w:left w:val="nil"/>
              <w:bottom w:val="nil"/>
              <w:right w:val="nil"/>
            </w:tcBorders>
          </w:tcPr>
          <w:p w14:paraId="5C491ADB" w14:textId="77777777" w:rsidR="000459ED" w:rsidRPr="003704AC" w:rsidRDefault="000459ED" w:rsidP="002A14A1">
            <w:pPr>
              <w:jc w:val="center"/>
              <w:rPr>
                <w:rFonts w:ascii="Times New Roman" w:hAnsi="Times New Roman" w:cs="Times New Roman"/>
                <w:sz w:val="24"/>
                <w:szCs w:val="24"/>
              </w:rPr>
            </w:pPr>
            <w:r w:rsidRPr="003704AC">
              <w:t>(Intercept)</w:t>
            </w:r>
          </w:p>
          <w:p w14:paraId="7B98261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16FA14BA" w14:textId="47E066DF" w:rsidR="000459ED" w:rsidRPr="003704AC" w:rsidRDefault="000459ED" w:rsidP="002A14A1">
            <w:pPr>
              <w:jc w:val="center"/>
              <w:rPr>
                <w:rFonts w:ascii="Times New Roman" w:hAnsi="Times New Roman" w:cs="Times New Roman"/>
                <w:sz w:val="24"/>
                <w:szCs w:val="24"/>
              </w:rPr>
            </w:pPr>
            <w:r w:rsidRPr="003704AC">
              <w:t>-</w:t>
            </w:r>
            <w:r w:rsidR="00012BDA" w:rsidRPr="003704AC">
              <w:t>0</w:t>
            </w:r>
            <w:r w:rsidRPr="003704AC">
              <w:t>.76</w:t>
            </w:r>
          </w:p>
        </w:tc>
        <w:tc>
          <w:tcPr>
            <w:tcW w:w="0" w:type="auto"/>
            <w:tcBorders>
              <w:top w:val="single" w:sz="4" w:space="0" w:color="auto"/>
              <w:left w:val="nil"/>
              <w:bottom w:val="nil"/>
              <w:right w:val="nil"/>
            </w:tcBorders>
            <w:hideMark/>
          </w:tcPr>
          <w:p w14:paraId="12F9EB6E" w14:textId="77777777" w:rsidR="000459ED" w:rsidRPr="003704AC" w:rsidRDefault="000459ED" w:rsidP="002A14A1">
            <w:pPr>
              <w:jc w:val="center"/>
              <w:rPr>
                <w:rFonts w:ascii="Times New Roman" w:hAnsi="Times New Roman" w:cs="Times New Roman"/>
                <w:sz w:val="24"/>
                <w:szCs w:val="24"/>
              </w:rPr>
            </w:pPr>
            <w:r w:rsidRPr="003704AC">
              <w:t>.07</w:t>
            </w:r>
          </w:p>
        </w:tc>
        <w:tc>
          <w:tcPr>
            <w:tcW w:w="0" w:type="auto"/>
            <w:tcBorders>
              <w:top w:val="single" w:sz="4" w:space="0" w:color="auto"/>
              <w:left w:val="nil"/>
              <w:bottom w:val="nil"/>
              <w:right w:val="nil"/>
            </w:tcBorders>
            <w:hideMark/>
          </w:tcPr>
          <w:p w14:paraId="18C995DB" w14:textId="77777777" w:rsidR="000459ED" w:rsidRPr="003704AC" w:rsidRDefault="000459ED" w:rsidP="002A14A1">
            <w:pPr>
              <w:jc w:val="center"/>
              <w:rPr>
                <w:rFonts w:ascii="Times New Roman" w:hAnsi="Times New Roman" w:cs="Times New Roman"/>
                <w:sz w:val="24"/>
                <w:szCs w:val="24"/>
              </w:rPr>
            </w:pPr>
            <w:r w:rsidRPr="003704AC">
              <w:t>-10.44</w:t>
            </w:r>
          </w:p>
        </w:tc>
        <w:tc>
          <w:tcPr>
            <w:tcW w:w="0" w:type="auto"/>
            <w:tcBorders>
              <w:top w:val="single" w:sz="4" w:space="0" w:color="auto"/>
              <w:left w:val="nil"/>
              <w:bottom w:val="nil"/>
              <w:right w:val="nil"/>
            </w:tcBorders>
            <w:hideMark/>
          </w:tcPr>
          <w:p w14:paraId="0886C38F"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top w:val="single" w:sz="4" w:space="0" w:color="auto"/>
              <w:left w:val="nil"/>
              <w:bottom w:val="nil"/>
              <w:right w:val="nil"/>
            </w:tcBorders>
            <w:hideMark/>
          </w:tcPr>
          <w:p w14:paraId="350905FD" w14:textId="77777777" w:rsidR="000459ED" w:rsidRPr="003704AC" w:rsidRDefault="000459ED" w:rsidP="002A14A1">
            <w:pPr>
              <w:jc w:val="center"/>
              <w:rPr>
                <w:rFonts w:ascii="Times New Roman" w:hAnsi="Times New Roman" w:cs="Times New Roman"/>
                <w:sz w:val="24"/>
                <w:szCs w:val="24"/>
              </w:rPr>
            </w:pPr>
            <w:r w:rsidRPr="003704AC">
              <w:t>[-0.91, -0.62]</w:t>
            </w:r>
          </w:p>
        </w:tc>
        <w:tc>
          <w:tcPr>
            <w:tcW w:w="0" w:type="auto"/>
            <w:tcBorders>
              <w:top w:val="single" w:sz="4" w:space="0" w:color="auto"/>
              <w:left w:val="nil"/>
              <w:bottom w:val="nil"/>
              <w:right w:val="nil"/>
            </w:tcBorders>
          </w:tcPr>
          <w:p w14:paraId="363787DD" w14:textId="77777777" w:rsidR="000459ED" w:rsidRPr="003704AC" w:rsidRDefault="000459ED" w:rsidP="002A14A1">
            <w:pPr>
              <w:jc w:val="center"/>
              <w:rPr>
                <w:rFonts w:ascii="Times New Roman" w:hAnsi="Times New Roman" w:cs="Times New Roman"/>
                <w:sz w:val="24"/>
                <w:szCs w:val="24"/>
              </w:rPr>
            </w:pPr>
            <w:r w:rsidRPr="003704AC">
              <w:t>-0.63</w:t>
            </w:r>
          </w:p>
        </w:tc>
        <w:tc>
          <w:tcPr>
            <w:tcW w:w="0" w:type="auto"/>
            <w:tcBorders>
              <w:top w:val="single" w:sz="4" w:space="0" w:color="auto"/>
              <w:left w:val="nil"/>
              <w:bottom w:val="nil"/>
              <w:right w:val="nil"/>
            </w:tcBorders>
          </w:tcPr>
          <w:p w14:paraId="0B63F1AB" w14:textId="77777777" w:rsidR="000459ED" w:rsidRPr="003704AC" w:rsidRDefault="000459ED" w:rsidP="002A14A1">
            <w:pPr>
              <w:jc w:val="center"/>
              <w:rPr>
                <w:rFonts w:ascii="Times New Roman" w:hAnsi="Times New Roman" w:cs="Times New Roman"/>
                <w:sz w:val="24"/>
                <w:szCs w:val="24"/>
              </w:rPr>
            </w:pPr>
            <w:r w:rsidRPr="003704AC">
              <w:t>0.10</w:t>
            </w:r>
          </w:p>
        </w:tc>
        <w:tc>
          <w:tcPr>
            <w:tcW w:w="0" w:type="auto"/>
            <w:tcBorders>
              <w:top w:val="single" w:sz="4" w:space="0" w:color="auto"/>
              <w:left w:val="nil"/>
              <w:bottom w:val="nil"/>
              <w:right w:val="nil"/>
            </w:tcBorders>
          </w:tcPr>
          <w:p w14:paraId="143AF26F" w14:textId="77777777" w:rsidR="000459ED" w:rsidRPr="003704AC" w:rsidRDefault="000459ED" w:rsidP="002A14A1">
            <w:pPr>
              <w:jc w:val="center"/>
              <w:rPr>
                <w:rFonts w:ascii="Times New Roman" w:hAnsi="Times New Roman" w:cs="Times New Roman"/>
                <w:sz w:val="24"/>
                <w:szCs w:val="24"/>
              </w:rPr>
            </w:pPr>
            <w:r w:rsidRPr="003704AC">
              <w:t>-6.47</w:t>
            </w:r>
          </w:p>
        </w:tc>
        <w:tc>
          <w:tcPr>
            <w:tcW w:w="0" w:type="auto"/>
            <w:tcBorders>
              <w:top w:val="single" w:sz="4" w:space="0" w:color="auto"/>
              <w:left w:val="nil"/>
              <w:bottom w:val="nil"/>
              <w:right w:val="nil"/>
            </w:tcBorders>
          </w:tcPr>
          <w:p w14:paraId="3473407A"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top w:val="single" w:sz="4" w:space="0" w:color="auto"/>
              <w:left w:val="nil"/>
              <w:bottom w:val="nil"/>
              <w:right w:val="nil"/>
            </w:tcBorders>
          </w:tcPr>
          <w:p w14:paraId="447D4BFB" w14:textId="77777777" w:rsidR="000459ED" w:rsidRPr="003704AC" w:rsidRDefault="000459ED" w:rsidP="002A14A1">
            <w:pPr>
              <w:jc w:val="center"/>
              <w:rPr>
                <w:rFonts w:ascii="Times New Roman" w:hAnsi="Times New Roman" w:cs="Times New Roman"/>
                <w:sz w:val="24"/>
                <w:szCs w:val="24"/>
              </w:rPr>
            </w:pPr>
            <w:r w:rsidRPr="003704AC">
              <w:t>[-0.82, -0.44]</w:t>
            </w:r>
          </w:p>
        </w:tc>
      </w:tr>
      <w:tr w:rsidR="000459ED" w:rsidRPr="003704AC" w14:paraId="63EAA291" w14:textId="77777777" w:rsidTr="002A14A1">
        <w:tc>
          <w:tcPr>
            <w:tcW w:w="0" w:type="auto"/>
          </w:tcPr>
          <w:p w14:paraId="35EB746E" w14:textId="77777777" w:rsidR="000459ED" w:rsidRPr="003704AC" w:rsidRDefault="000459ED" w:rsidP="002A14A1">
            <w:pPr>
              <w:jc w:val="center"/>
              <w:rPr>
                <w:rFonts w:ascii="Times New Roman" w:hAnsi="Times New Roman" w:cs="Times New Roman"/>
                <w:sz w:val="24"/>
                <w:szCs w:val="24"/>
              </w:rPr>
            </w:pPr>
            <w:r w:rsidRPr="003704AC">
              <w:t>Pledge</w:t>
            </w:r>
          </w:p>
          <w:p w14:paraId="24DE7262" w14:textId="77777777" w:rsidR="000459ED" w:rsidRPr="003704AC" w:rsidRDefault="000459ED" w:rsidP="002A14A1">
            <w:pPr>
              <w:jc w:val="center"/>
              <w:rPr>
                <w:rFonts w:ascii="Times New Roman" w:hAnsi="Times New Roman" w:cs="Times New Roman"/>
                <w:sz w:val="24"/>
                <w:szCs w:val="24"/>
              </w:rPr>
            </w:pPr>
          </w:p>
        </w:tc>
        <w:tc>
          <w:tcPr>
            <w:tcW w:w="0" w:type="auto"/>
          </w:tcPr>
          <w:p w14:paraId="04D6EBF4" w14:textId="77777777" w:rsidR="000459ED" w:rsidRPr="003704AC" w:rsidRDefault="000459ED" w:rsidP="002A14A1">
            <w:pPr>
              <w:jc w:val="center"/>
              <w:rPr>
                <w:rFonts w:ascii="Times New Roman" w:hAnsi="Times New Roman" w:cs="Times New Roman"/>
                <w:sz w:val="24"/>
                <w:szCs w:val="24"/>
              </w:rPr>
            </w:pPr>
          </w:p>
        </w:tc>
        <w:tc>
          <w:tcPr>
            <w:tcW w:w="0" w:type="auto"/>
          </w:tcPr>
          <w:p w14:paraId="442694A8" w14:textId="77777777" w:rsidR="000459ED" w:rsidRPr="003704AC" w:rsidRDefault="000459ED" w:rsidP="002A14A1">
            <w:pPr>
              <w:jc w:val="center"/>
              <w:rPr>
                <w:rFonts w:ascii="Times New Roman" w:hAnsi="Times New Roman" w:cs="Times New Roman"/>
                <w:sz w:val="24"/>
                <w:szCs w:val="24"/>
              </w:rPr>
            </w:pPr>
          </w:p>
        </w:tc>
        <w:tc>
          <w:tcPr>
            <w:tcW w:w="0" w:type="auto"/>
          </w:tcPr>
          <w:p w14:paraId="1721C088" w14:textId="77777777" w:rsidR="000459ED" w:rsidRPr="003704AC" w:rsidRDefault="000459ED" w:rsidP="002A14A1">
            <w:pPr>
              <w:jc w:val="center"/>
              <w:rPr>
                <w:rFonts w:ascii="Times New Roman" w:hAnsi="Times New Roman" w:cs="Times New Roman"/>
                <w:sz w:val="24"/>
                <w:szCs w:val="24"/>
              </w:rPr>
            </w:pPr>
          </w:p>
        </w:tc>
        <w:tc>
          <w:tcPr>
            <w:tcW w:w="0" w:type="auto"/>
          </w:tcPr>
          <w:p w14:paraId="04E3F089" w14:textId="77777777" w:rsidR="000459ED" w:rsidRPr="003704AC" w:rsidRDefault="000459ED" w:rsidP="002A14A1">
            <w:pPr>
              <w:jc w:val="center"/>
              <w:rPr>
                <w:rFonts w:ascii="Times New Roman" w:hAnsi="Times New Roman" w:cs="Times New Roman"/>
                <w:sz w:val="24"/>
                <w:szCs w:val="24"/>
              </w:rPr>
            </w:pPr>
          </w:p>
        </w:tc>
        <w:tc>
          <w:tcPr>
            <w:tcW w:w="0" w:type="auto"/>
          </w:tcPr>
          <w:p w14:paraId="378F640E" w14:textId="77777777" w:rsidR="000459ED" w:rsidRPr="003704AC" w:rsidRDefault="000459ED" w:rsidP="002A14A1">
            <w:pPr>
              <w:jc w:val="center"/>
              <w:rPr>
                <w:rFonts w:ascii="Times New Roman" w:hAnsi="Times New Roman" w:cs="Times New Roman"/>
                <w:sz w:val="24"/>
                <w:szCs w:val="24"/>
              </w:rPr>
            </w:pPr>
          </w:p>
        </w:tc>
        <w:tc>
          <w:tcPr>
            <w:tcW w:w="0" w:type="auto"/>
          </w:tcPr>
          <w:p w14:paraId="12FE2DFA" w14:textId="77777777" w:rsidR="000459ED" w:rsidRPr="003704AC" w:rsidRDefault="000459ED" w:rsidP="002A14A1">
            <w:pPr>
              <w:jc w:val="center"/>
              <w:rPr>
                <w:rFonts w:ascii="Times New Roman" w:hAnsi="Times New Roman" w:cs="Times New Roman"/>
                <w:sz w:val="24"/>
                <w:szCs w:val="24"/>
              </w:rPr>
            </w:pPr>
            <w:r w:rsidRPr="003704AC">
              <w:t>-1.52</w:t>
            </w:r>
          </w:p>
        </w:tc>
        <w:tc>
          <w:tcPr>
            <w:tcW w:w="0" w:type="auto"/>
          </w:tcPr>
          <w:p w14:paraId="3C368ED6" w14:textId="77777777" w:rsidR="000459ED" w:rsidRPr="003704AC" w:rsidRDefault="000459ED" w:rsidP="002A14A1">
            <w:pPr>
              <w:jc w:val="center"/>
              <w:rPr>
                <w:rFonts w:ascii="Times New Roman" w:hAnsi="Times New Roman" w:cs="Times New Roman"/>
                <w:sz w:val="24"/>
                <w:szCs w:val="24"/>
              </w:rPr>
            </w:pPr>
            <w:r w:rsidRPr="003704AC">
              <w:t>0.16</w:t>
            </w:r>
          </w:p>
        </w:tc>
        <w:tc>
          <w:tcPr>
            <w:tcW w:w="0" w:type="auto"/>
          </w:tcPr>
          <w:p w14:paraId="1412785E" w14:textId="77777777" w:rsidR="000459ED" w:rsidRPr="003704AC" w:rsidRDefault="000459ED" w:rsidP="002A14A1">
            <w:pPr>
              <w:jc w:val="center"/>
              <w:rPr>
                <w:rFonts w:ascii="Times New Roman" w:hAnsi="Times New Roman" w:cs="Times New Roman"/>
                <w:sz w:val="24"/>
                <w:szCs w:val="24"/>
              </w:rPr>
            </w:pPr>
            <w:r w:rsidRPr="003704AC">
              <w:t>-9.61</w:t>
            </w:r>
          </w:p>
        </w:tc>
        <w:tc>
          <w:tcPr>
            <w:tcW w:w="0" w:type="auto"/>
          </w:tcPr>
          <w:p w14:paraId="23A072B6"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Pr>
          <w:p w14:paraId="5D5D6B4F" w14:textId="77777777" w:rsidR="000459ED" w:rsidRPr="003704AC" w:rsidRDefault="000459ED" w:rsidP="002A14A1">
            <w:pPr>
              <w:jc w:val="center"/>
              <w:rPr>
                <w:rFonts w:ascii="Times New Roman" w:hAnsi="Times New Roman" w:cs="Times New Roman"/>
                <w:sz w:val="24"/>
                <w:szCs w:val="24"/>
              </w:rPr>
            </w:pPr>
            <w:r w:rsidRPr="003704AC">
              <w:t>[-1.84, -1.21]</w:t>
            </w:r>
          </w:p>
        </w:tc>
      </w:tr>
      <w:tr w:rsidR="000459ED" w:rsidRPr="003704AC" w14:paraId="33360359" w14:textId="77777777" w:rsidTr="002A14A1">
        <w:tc>
          <w:tcPr>
            <w:tcW w:w="0" w:type="auto"/>
          </w:tcPr>
          <w:p w14:paraId="3B6B91F5" w14:textId="77777777" w:rsidR="000459ED" w:rsidRPr="003704AC" w:rsidRDefault="000459ED" w:rsidP="002A14A1">
            <w:pPr>
              <w:jc w:val="center"/>
              <w:rPr>
                <w:rFonts w:ascii="Times New Roman" w:hAnsi="Times New Roman" w:cs="Times New Roman"/>
                <w:sz w:val="24"/>
                <w:szCs w:val="24"/>
              </w:rPr>
            </w:pPr>
            <w:r w:rsidRPr="003704AC">
              <w:t>UK</w:t>
            </w:r>
          </w:p>
          <w:p w14:paraId="28CB3275" w14:textId="77777777" w:rsidR="000459ED" w:rsidRPr="003704AC" w:rsidRDefault="000459ED" w:rsidP="002A14A1">
            <w:pPr>
              <w:jc w:val="center"/>
              <w:rPr>
                <w:rFonts w:ascii="Times New Roman" w:hAnsi="Times New Roman" w:cs="Times New Roman"/>
                <w:sz w:val="24"/>
                <w:szCs w:val="24"/>
              </w:rPr>
            </w:pPr>
          </w:p>
        </w:tc>
        <w:tc>
          <w:tcPr>
            <w:tcW w:w="0" w:type="auto"/>
          </w:tcPr>
          <w:p w14:paraId="165B6CCD" w14:textId="77777777" w:rsidR="000459ED" w:rsidRPr="003704AC" w:rsidRDefault="000459ED" w:rsidP="002A14A1">
            <w:pPr>
              <w:jc w:val="center"/>
              <w:rPr>
                <w:rFonts w:ascii="Times New Roman" w:hAnsi="Times New Roman" w:cs="Times New Roman"/>
                <w:sz w:val="24"/>
                <w:szCs w:val="24"/>
              </w:rPr>
            </w:pPr>
          </w:p>
        </w:tc>
        <w:tc>
          <w:tcPr>
            <w:tcW w:w="0" w:type="auto"/>
          </w:tcPr>
          <w:p w14:paraId="4C69B416" w14:textId="77777777" w:rsidR="000459ED" w:rsidRPr="003704AC" w:rsidRDefault="000459ED" w:rsidP="002A14A1">
            <w:pPr>
              <w:jc w:val="center"/>
              <w:rPr>
                <w:rFonts w:ascii="Times New Roman" w:hAnsi="Times New Roman" w:cs="Times New Roman"/>
                <w:sz w:val="24"/>
                <w:szCs w:val="24"/>
              </w:rPr>
            </w:pPr>
          </w:p>
        </w:tc>
        <w:tc>
          <w:tcPr>
            <w:tcW w:w="0" w:type="auto"/>
          </w:tcPr>
          <w:p w14:paraId="0E2E9200" w14:textId="77777777" w:rsidR="000459ED" w:rsidRPr="003704AC" w:rsidRDefault="000459ED" w:rsidP="002A14A1">
            <w:pPr>
              <w:jc w:val="center"/>
              <w:rPr>
                <w:rFonts w:ascii="Times New Roman" w:hAnsi="Times New Roman" w:cs="Times New Roman"/>
                <w:sz w:val="24"/>
                <w:szCs w:val="24"/>
              </w:rPr>
            </w:pPr>
          </w:p>
        </w:tc>
        <w:tc>
          <w:tcPr>
            <w:tcW w:w="0" w:type="auto"/>
          </w:tcPr>
          <w:p w14:paraId="2BA3D3F5" w14:textId="77777777" w:rsidR="000459ED" w:rsidRPr="003704AC" w:rsidRDefault="000459ED" w:rsidP="002A14A1">
            <w:pPr>
              <w:jc w:val="center"/>
              <w:rPr>
                <w:rFonts w:ascii="Times New Roman" w:hAnsi="Times New Roman" w:cs="Times New Roman"/>
                <w:sz w:val="24"/>
                <w:szCs w:val="24"/>
              </w:rPr>
            </w:pPr>
          </w:p>
        </w:tc>
        <w:tc>
          <w:tcPr>
            <w:tcW w:w="0" w:type="auto"/>
          </w:tcPr>
          <w:p w14:paraId="47071C32" w14:textId="77777777" w:rsidR="000459ED" w:rsidRPr="003704AC" w:rsidRDefault="000459ED" w:rsidP="002A14A1">
            <w:pPr>
              <w:jc w:val="center"/>
              <w:rPr>
                <w:rFonts w:ascii="Times New Roman" w:hAnsi="Times New Roman" w:cs="Times New Roman"/>
                <w:sz w:val="24"/>
                <w:szCs w:val="24"/>
              </w:rPr>
            </w:pPr>
          </w:p>
        </w:tc>
        <w:tc>
          <w:tcPr>
            <w:tcW w:w="0" w:type="auto"/>
          </w:tcPr>
          <w:p w14:paraId="76D17ADC" w14:textId="77777777" w:rsidR="000459ED" w:rsidRPr="003704AC" w:rsidRDefault="000459ED" w:rsidP="002A14A1">
            <w:pPr>
              <w:jc w:val="center"/>
              <w:rPr>
                <w:rFonts w:ascii="Times New Roman" w:hAnsi="Times New Roman" w:cs="Times New Roman"/>
                <w:sz w:val="24"/>
                <w:szCs w:val="24"/>
              </w:rPr>
            </w:pPr>
            <w:r w:rsidRPr="003704AC">
              <w:t>0.56</w:t>
            </w:r>
          </w:p>
        </w:tc>
        <w:tc>
          <w:tcPr>
            <w:tcW w:w="0" w:type="auto"/>
          </w:tcPr>
          <w:p w14:paraId="5D633BD0" w14:textId="77777777" w:rsidR="000459ED" w:rsidRPr="003704AC" w:rsidRDefault="000459ED" w:rsidP="002A14A1">
            <w:pPr>
              <w:jc w:val="center"/>
              <w:rPr>
                <w:rFonts w:ascii="Times New Roman" w:hAnsi="Times New Roman" w:cs="Times New Roman"/>
                <w:sz w:val="24"/>
                <w:szCs w:val="24"/>
              </w:rPr>
            </w:pPr>
            <w:r w:rsidRPr="003704AC">
              <w:t>0.15</w:t>
            </w:r>
          </w:p>
        </w:tc>
        <w:tc>
          <w:tcPr>
            <w:tcW w:w="0" w:type="auto"/>
          </w:tcPr>
          <w:p w14:paraId="42FA7800" w14:textId="77777777" w:rsidR="000459ED" w:rsidRPr="003704AC" w:rsidRDefault="000459ED" w:rsidP="002A14A1">
            <w:pPr>
              <w:jc w:val="center"/>
              <w:rPr>
                <w:rFonts w:ascii="Times New Roman" w:hAnsi="Times New Roman" w:cs="Times New Roman"/>
                <w:sz w:val="24"/>
                <w:szCs w:val="24"/>
              </w:rPr>
            </w:pPr>
            <w:r w:rsidRPr="003704AC">
              <w:t>3.77</w:t>
            </w:r>
          </w:p>
        </w:tc>
        <w:tc>
          <w:tcPr>
            <w:tcW w:w="0" w:type="auto"/>
          </w:tcPr>
          <w:p w14:paraId="1DDA5EE2" w14:textId="77777777" w:rsidR="000459ED" w:rsidRPr="003704AC" w:rsidRDefault="000459ED" w:rsidP="002A14A1">
            <w:pPr>
              <w:jc w:val="center"/>
              <w:rPr>
                <w:rFonts w:ascii="Times New Roman" w:hAnsi="Times New Roman" w:cs="Times New Roman"/>
                <w:sz w:val="24"/>
                <w:szCs w:val="24"/>
              </w:rPr>
            </w:pPr>
            <w:r w:rsidRPr="003704AC">
              <w:t xml:space="preserve"> &lt;.001</w:t>
            </w:r>
          </w:p>
        </w:tc>
        <w:tc>
          <w:tcPr>
            <w:tcW w:w="0" w:type="auto"/>
          </w:tcPr>
          <w:p w14:paraId="5D76D77F" w14:textId="77777777" w:rsidR="000459ED" w:rsidRPr="003704AC" w:rsidRDefault="000459ED" w:rsidP="002A14A1">
            <w:pPr>
              <w:jc w:val="center"/>
              <w:rPr>
                <w:rFonts w:ascii="Times New Roman" w:hAnsi="Times New Roman" w:cs="Times New Roman"/>
                <w:sz w:val="24"/>
                <w:szCs w:val="24"/>
              </w:rPr>
            </w:pPr>
            <w:r w:rsidRPr="003704AC">
              <w:t>[0.27, 0.85]</w:t>
            </w:r>
          </w:p>
        </w:tc>
      </w:tr>
      <w:tr w:rsidR="000459ED" w:rsidRPr="003704AC" w14:paraId="6A5320C5" w14:textId="77777777" w:rsidTr="002A14A1">
        <w:tc>
          <w:tcPr>
            <w:tcW w:w="0" w:type="auto"/>
          </w:tcPr>
          <w:p w14:paraId="3A2B2980" w14:textId="77777777" w:rsidR="000459ED" w:rsidRPr="003704AC" w:rsidRDefault="000459ED" w:rsidP="002A14A1">
            <w:pPr>
              <w:jc w:val="center"/>
              <w:rPr>
                <w:rFonts w:ascii="Times New Roman" w:hAnsi="Times New Roman" w:cs="Times New Roman"/>
                <w:sz w:val="24"/>
                <w:szCs w:val="24"/>
              </w:rPr>
            </w:pPr>
            <w:r w:rsidRPr="003704AC">
              <w:t>Australia</w:t>
            </w:r>
          </w:p>
          <w:p w14:paraId="24E3E7DF" w14:textId="77777777" w:rsidR="000459ED" w:rsidRPr="003704AC" w:rsidRDefault="000459ED" w:rsidP="002A14A1">
            <w:pPr>
              <w:jc w:val="center"/>
              <w:rPr>
                <w:rFonts w:ascii="Times New Roman" w:hAnsi="Times New Roman" w:cs="Times New Roman"/>
                <w:sz w:val="24"/>
                <w:szCs w:val="24"/>
              </w:rPr>
            </w:pPr>
          </w:p>
        </w:tc>
        <w:tc>
          <w:tcPr>
            <w:tcW w:w="0" w:type="auto"/>
          </w:tcPr>
          <w:p w14:paraId="56431DB8" w14:textId="77777777" w:rsidR="000459ED" w:rsidRPr="003704AC" w:rsidRDefault="000459ED" w:rsidP="002A14A1">
            <w:pPr>
              <w:jc w:val="center"/>
              <w:rPr>
                <w:rFonts w:ascii="Times New Roman" w:hAnsi="Times New Roman" w:cs="Times New Roman"/>
                <w:sz w:val="24"/>
                <w:szCs w:val="24"/>
              </w:rPr>
            </w:pPr>
          </w:p>
        </w:tc>
        <w:tc>
          <w:tcPr>
            <w:tcW w:w="0" w:type="auto"/>
          </w:tcPr>
          <w:p w14:paraId="67D7EF29" w14:textId="77777777" w:rsidR="000459ED" w:rsidRPr="003704AC" w:rsidRDefault="000459ED" w:rsidP="002A14A1">
            <w:pPr>
              <w:jc w:val="center"/>
              <w:rPr>
                <w:rFonts w:ascii="Times New Roman" w:hAnsi="Times New Roman" w:cs="Times New Roman"/>
                <w:sz w:val="24"/>
                <w:szCs w:val="24"/>
              </w:rPr>
            </w:pPr>
          </w:p>
        </w:tc>
        <w:tc>
          <w:tcPr>
            <w:tcW w:w="0" w:type="auto"/>
          </w:tcPr>
          <w:p w14:paraId="61FEF77F" w14:textId="77777777" w:rsidR="000459ED" w:rsidRPr="003704AC" w:rsidRDefault="000459ED" w:rsidP="002A14A1">
            <w:pPr>
              <w:jc w:val="center"/>
              <w:rPr>
                <w:rFonts w:ascii="Times New Roman" w:hAnsi="Times New Roman" w:cs="Times New Roman"/>
                <w:sz w:val="24"/>
                <w:szCs w:val="24"/>
              </w:rPr>
            </w:pPr>
          </w:p>
        </w:tc>
        <w:tc>
          <w:tcPr>
            <w:tcW w:w="0" w:type="auto"/>
          </w:tcPr>
          <w:p w14:paraId="0D69A9CB" w14:textId="77777777" w:rsidR="000459ED" w:rsidRPr="003704AC" w:rsidRDefault="000459ED" w:rsidP="002A14A1">
            <w:pPr>
              <w:jc w:val="center"/>
              <w:rPr>
                <w:rFonts w:ascii="Times New Roman" w:hAnsi="Times New Roman" w:cs="Times New Roman"/>
                <w:sz w:val="24"/>
                <w:szCs w:val="24"/>
              </w:rPr>
            </w:pPr>
          </w:p>
        </w:tc>
        <w:tc>
          <w:tcPr>
            <w:tcW w:w="0" w:type="auto"/>
          </w:tcPr>
          <w:p w14:paraId="29A37E61" w14:textId="77777777" w:rsidR="000459ED" w:rsidRPr="003704AC" w:rsidRDefault="000459ED" w:rsidP="002A14A1">
            <w:pPr>
              <w:jc w:val="center"/>
              <w:rPr>
                <w:rFonts w:ascii="Times New Roman" w:hAnsi="Times New Roman" w:cs="Times New Roman"/>
                <w:sz w:val="24"/>
                <w:szCs w:val="24"/>
              </w:rPr>
            </w:pPr>
          </w:p>
        </w:tc>
        <w:tc>
          <w:tcPr>
            <w:tcW w:w="0" w:type="auto"/>
          </w:tcPr>
          <w:p w14:paraId="00341A78" w14:textId="77777777" w:rsidR="000459ED" w:rsidRPr="003704AC" w:rsidRDefault="000459ED" w:rsidP="002A14A1">
            <w:pPr>
              <w:jc w:val="center"/>
              <w:rPr>
                <w:rFonts w:ascii="Times New Roman" w:hAnsi="Times New Roman" w:cs="Times New Roman"/>
                <w:sz w:val="24"/>
                <w:szCs w:val="24"/>
              </w:rPr>
            </w:pPr>
            <w:r w:rsidRPr="003704AC">
              <w:t>0.37</w:t>
            </w:r>
          </w:p>
        </w:tc>
        <w:tc>
          <w:tcPr>
            <w:tcW w:w="0" w:type="auto"/>
          </w:tcPr>
          <w:p w14:paraId="69E82F27" w14:textId="77777777" w:rsidR="000459ED" w:rsidRPr="003704AC" w:rsidRDefault="000459ED" w:rsidP="002A14A1">
            <w:pPr>
              <w:jc w:val="center"/>
              <w:rPr>
                <w:rFonts w:ascii="Times New Roman" w:hAnsi="Times New Roman" w:cs="Times New Roman"/>
                <w:sz w:val="24"/>
                <w:szCs w:val="24"/>
              </w:rPr>
            </w:pPr>
            <w:r w:rsidRPr="003704AC">
              <w:t>0.17</w:t>
            </w:r>
          </w:p>
        </w:tc>
        <w:tc>
          <w:tcPr>
            <w:tcW w:w="0" w:type="auto"/>
          </w:tcPr>
          <w:p w14:paraId="0B65E8E7" w14:textId="77777777" w:rsidR="000459ED" w:rsidRPr="003704AC" w:rsidRDefault="000459ED" w:rsidP="002A14A1">
            <w:pPr>
              <w:jc w:val="center"/>
              <w:rPr>
                <w:rFonts w:ascii="Times New Roman" w:hAnsi="Times New Roman" w:cs="Times New Roman"/>
                <w:sz w:val="24"/>
                <w:szCs w:val="24"/>
              </w:rPr>
            </w:pPr>
            <w:r w:rsidRPr="003704AC">
              <w:t>2.22</w:t>
            </w:r>
          </w:p>
        </w:tc>
        <w:tc>
          <w:tcPr>
            <w:tcW w:w="0" w:type="auto"/>
          </w:tcPr>
          <w:p w14:paraId="5FA49FD6" w14:textId="77777777" w:rsidR="000459ED" w:rsidRPr="003704AC" w:rsidRDefault="000459ED" w:rsidP="002A14A1">
            <w:pPr>
              <w:jc w:val="center"/>
              <w:rPr>
                <w:rFonts w:ascii="Times New Roman" w:hAnsi="Times New Roman" w:cs="Times New Roman"/>
                <w:sz w:val="24"/>
                <w:szCs w:val="24"/>
              </w:rPr>
            </w:pPr>
            <w:r w:rsidRPr="003704AC">
              <w:t>.03</w:t>
            </w:r>
          </w:p>
        </w:tc>
        <w:tc>
          <w:tcPr>
            <w:tcW w:w="0" w:type="auto"/>
          </w:tcPr>
          <w:p w14:paraId="4994BE3E" w14:textId="77777777" w:rsidR="000459ED" w:rsidRPr="003704AC" w:rsidRDefault="000459ED" w:rsidP="002A14A1">
            <w:pPr>
              <w:jc w:val="center"/>
              <w:rPr>
                <w:rFonts w:ascii="Times New Roman" w:hAnsi="Times New Roman" w:cs="Times New Roman"/>
                <w:sz w:val="24"/>
                <w:szCs w:val="24"/>
              </w:rPr>
            </w:pPr>
            <w:r w:rsidRPr="003704AC">
              <w:t>[0.04, 0.70]</w:t>
            </w:r>
          </w:p>
        </w:tc>
      </w:tr>
      <w:tr w:rsidR="000459ED" w:rsidRPr="003704AC" w14:paraId="4CF6209E" w14:textId="77777777" w:rsidTr="002A14A1">
        <w:tc>
          <w:tcPr>
            <w:tcW w:w="0" w:type="auto"/>
          </w:tcPr>
          <w:p w14:paraId="121D1404" w14:textId="77777777" w:rsidR="000459ED" w:rsidRPr="003704AC" w:rsidRDefault="000459ED" w:rsidP="002A14A1">
            <w:pPr>
              <w:jc w:val="center"/>
              <w:rPr>
                <w:rFonts w:ascii="Times New Roman" w:hAnsi="Times New Roman" w:cs="Times New Roman"/>
                <w:sz w:val="24"/>
                <w:szCs w:val="24"/>
              </w:rPr>
            </w:pPr>
            <w:r w:rsidRPr="003704AC">
              <w:t>CO</w:t>
            </w:r>
          </w:p>
          <w:p w14:paraId="009586E5" w14:textId="77777777" w:rsidR="000459ED" w:rsidRPr="003704AC" w:rsidRDefault="000459ED" w:rsidP="002A14A1">
            <w:pPr>
              <w:jc w:val="center"/>
              <w:rPr>
                <w:rFonts w:ascii="Times New Roman" w:hAnsi="Times New Roman" w:cs="Times New Roman"/>
                <w:sz w:val="24"/>
                <w:szCs w:val="24"/>
              </w:rPr>
            </w:pPr>
          </w:p>
        </w:tc>
        <w:tc>
          <w:tcPr>
            <w:tcW w:w="0" w:type="auto"/>
          </w:tcPr>
          <w:p w14:paraId="03649D77" w14:textId="77777777" w:rsidR="000459ED" w:rsidRPr="003704AC" w:rsidRDefault="000459ED" w:rsidP="002A14A1">
            <w:pPr>
              <w:jc w:val="center"/>
              <w:rPr>
                <w:rFonts w:ascii="Times New Roman" w:hAnsi="Times New Roman" w:cs="Times New Roman"/>
                <w:sz w:val="24"/>
                <w:szCs w:val="24"/>
              </w:rPr>
            </w:pPr>
          </w:p>
        </w:tc>
        <w:tc>
          <w:tcPr>
            <w:tcW w:w="0" w:type="auto"/>
          </w:tcPr>
          <w:p w14:paraId="45F9A065" w14:textId="77777777" w:rsidR="000459ED" w:rsidRPr="003704AC" w:rsidRDefault="000459ED" w:rsidP="002A14A1">
            <w:pPr>
              <w:jc w:val="center"/>
              <w:rPr>
                <w:rFonts w:ascii="Times New Roman" w:hAnsi="Times New Roman" w:cs="Times New Roman"/>
                <w:sz w:val="24"/>
                <w:szCs w:val="24"/>
              </w:rPr>
            </w:pPr>
          </w:p>
        </w:tc>
        <w:tc>
          <w:tcPr>
            <w:tcW w:w="0" w:type="auto"/>
          </w:tcPr>
          <w:p w14:paraId="148B1094" w14:textId="77777777" w:rsidR="000459ED" w:rsidRPr="003704AC" w:rsidRDefault="000459ED" w:rsidP="002A14A1">
            <w:pPr>
              <w:jc w:val="center"/>
              <w:rPr>
                <w:rFonts w:ascii="Times New Roman" w:hAnsi="Times New Roman" w:cs="Times New Roman"/>
                <w:sz w:val="24"/>
                <w:szCs w:val="24"/>
              </w:rPr>
            </w:pPr>
          </w:p>
        </w:tc>
        <w:tc>
          <w:tcPr>
            <w:tcW w:w="0" w:type="auto"/>
          </w:tcPr>
          <w:p w14:paraId="3607B5BD" w14:textId="77777777" w:rsidR="000459ED" w:rsidRPr="003704AC" w:rsidRDefault="000459ED" w:rsidP="002A14A1">
            <w:pPr>
              <w:jc w:val="center"/>
              <w:rPr>
                <w:rFonts w:ascii="Times New Roman" w:hAnsi="Times New Roman" w:cs="Times New Roman"/>
                <w:sz w:val="24"/>
                <w:szCs w:val="24"/>
              </w:rPr>
            </w:pPr>
          </w:p>
        </w:tc>
        <w:tc>
          <w:tcPr>
            <w:tcW w:w="0" w:type="auto"/>
          </w:tcPr>
          <w:p w14:paraId="60D3E16F" w14:textId="77777777" w:rsidR="000459ED" w:rsidRPr="003704AC" w:rsidRDefault="000459ED" w:rsidP="002A14A1">
            <w:pPr>
              <w:jc w:val="center"/>
              <w:rPr>
                <w:rFonts w:ascii="Times New Roman" w:hAnsi="Times New Roman" w:cs="Times New Roman"/>
                <w:sz w:val="24"/>
                <w:szCs w:val="24"/>
              </w:rPr>
            </w:pPr>
          </w:p>
        </w:tc>
        <w:tc>
          <w:tcPr>
            <w:tcW w:w="0" w:type="auto"/>
          </w:tcPr>
          <w:p w14:paraId="3B7C4DFE" w14:textId="77777777" w:rsidR="000459ED" w:rsidRPr="003704AC" w:rsidRDefault="000459ED" w:rsidP="002A14A1">
            <w:pPr>
              <w:jc w:val="center"/>
              <w:rPr>
                <w:rFonts w:ascii="Times New Roman" w:hAnsi="Times New Roman" w:cs="Times New Roman"/>
                <w:sz w:val="24"/>
                <w:szCs w:val="24"/>
              </w:rPr>
            </w:pPr>
            <w:r w:rsidRPr="003704AC">
              <w:t>-0.05</w:t>
            </w:r>
          </w:p>
        </w:tc>
        <w:tc>
          <w:tcPr>
            <w:tcW w:w="0" w:type="auto"/>
          </w:tcPr>
          <w:p w14:paraId="2AC8EDFB" w14:textId="77777777" w:rsidR="000459ED" w:rsidRPr="003704AC" w:rsidRDefault="000459ED" w:rsidP="002A14A1">
            <w:pPr>
              <w:jc w:val="center"/>
              <w:rPr>
                <w:rFonts w:ascii="Times New Roman" w:hAnsi="Times New Roman" w:cs="Times New Roman"/>
                <w:sz w:val="24"/>
                <w:szCs w:val="24"/>
              </w:rPr>
            </w:pPr>
            <w:r w:rsidRPr="003704AC">
              <w:t>0.01</w:t>
            </w:r>
          </w:p>
        </w:tc>
        <w:tc>
          <w:tcPr>
            <w:tcW w:w="0" w:type="auto"/>
          </w:tcPr>
          <w:p w14:paraId="795E6E74" w14:textId="77777777" w:rsidR="000459ED" w:rsidRPr="003704AC" w:rsidRDefault="000459ED" w:rsidP="002A14A1">
            <w:pPr>
              <w:jc w:val="center"/>
              <w:rPr>
                <w:rFonts w:ascii="Times New Roman" w:hAnsi="Times New Roman" w:cs="Times New Roman"/>
                <w:sz w:val="24"/>
                <w:szCs w:val="24"/>
              </w:rPr>
            </w:pPr>
            <w:r w:rsidRPr="003704AC">
              <w:t>-5.93</w:t>
            </w:r>
          </w:p>
        </w:tc>
        <w:tc>
          <w:tcPr>
            <w:tcW w:w="0" w:type="auto"/>
          </w:tcPr>
          <w:p w14:paraId="36C041CA"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Pr>
          <w:p w14:paraId="08A8C0B9" w14:textId="77777777" w:rsidR="000459ED" w:rsidRPr="003704AC" w:rsidRDefault="000459ED" w:rsidP="002A14A1">
            <w:pPr>
              <w:jc w:val="center"/>
              <w:rPr>
                <w:rFonts w:ascii="Times New Roman" w:hAnsi="Times New Roman" w:cs="Times New Roman"/>
                <w:sz w:val="24"/>
                <w:szCs w:val="24"/>
              </w:rPr>
            </w:pPr>
            <w:r w:rsidRPr="003704AC">
              <w:t>[-0.07,-0.04]</w:t>
            </w:r>
          </w:p>
        </w:tc>
      </w:tr>
      <w:tr w:rsidR="000459ED" w:rsidRPr="003704AC" w14:paraId="2BAD6340" w14:textId="77777777" w:rsidTr="002A14A1">
        <w:tc>
          <w:tcPr>
            <w:tcW w:w="0" w:type="auto"/>
          </w:tcPr>
          <w:p w14:paraId="194E3C12" w14:textId="77777777" w:rsidR="000459ED" w:rsidRPr="003704AC" w:rsidRDefault="000459ED" w:rsidP="002A14A1">
            <w:pPr>
              <w:jc w:val="center"/>
              <w:rPr>
                <w:rFonts w:ascii="Times New Roman" w:hAnsi="Times New Roman" w:cs="Times New Roman"/>
                <w:sz w:val="24"/>
                <w:szCs w:val="24"/>
              </w:rPr>
            </w:pPr>
            <w:r w:rsidRPr="003704AC">
              <w:t>Pledge x UK</w:t>
            </w:r>
          </w:p>
          <w:p w14:paraId="69633CE1" w14:textId="77777777" w:rsidR="000459ED" w:rsidRPr="003704AC" w:rsidRDefault="000459ED" w:rsidP="002A14A1">
            <w:pPr>
              <w:rPr>
                <w:rFonts w:ascii="Times New Roman" w:hAnsi="Times New Roman" w:cs="Times New Roman"/>
                <w:sz w:val="24"/>
                <w:szCs w:val="24"/>
              </w:rPr>
            </w:pPr>
          </w:p>
        </w:tc>
        <w:tc>
          <w:tcPr>
            <w:tcW w:w="0" w:type="auto"/>
          </w:tcPr>
          <w:p w14:paraId="1F236260" w14:textId="77777777" w:rsidR="000459ED" w:rsidRPr="003704AC" w:rsidRDefault="000459ED" w:rsidP="002A14A1">
            <w:pPr>
              <w:jc w:val="center"/>
              <w:rPr>
                <w:rFonts w:ascii="Times New Roman" w:hAnsi="Times New Roman" w:cs="Times New Roman"/>
                <w:sz w:val="24"/>
                <w:szCs w:val="24"/>
              </w:rPr>
            </w:pPr>
          </w:p>
        </w:tc>
        <w:tc>
          <w:tcPr>
            <w:tcW w:w="0" w:type="auto"/>
          </w:tcPr>
          <w:p w14:paraId="2B81C02A" w14:textId="77777777" w:rsidR="000459ED" w:rsidRPr="003704AC" w:rsidRDefault="000459ED" w:rsidP="002A14A1">
            <w:pPr>
              <w:jc w:val="center"/>
              <w:rPr>
                <w:rFonts w:ascii="Times New Roman" w:hAnsi="Times New Roman" w:cs="Times New Roman"/>
                <w:sz w:val="24"/>
                <w:szCs w:val="24"/>
              </w:rPr>
            </w:pPr>
          </w:p>
        </w:tc>
        <w:tc>
          <w:tcPr>
            <w:tcW w:w="0" w:type="auto"/>
          </w:tcPr>
          <w:p w14:paraId="2BB5C315" w14:textId="77777777" w:rsidR="000459ED" w:rsidRPr="003704AC" w:rsidRDefault="000459ED" w:rsidP="002A14A1">
            <w:pPr>
              <w:jc w:val="center"/>
              <w:rPr>
                <w:rFonts w:ascii="Times New Roman" w:hAnsi="Times New Roman" w:cs="Times New Roman"/>
                <w:sz w:val="24"/>
                <w:szCs w:val="24"/>
              </w:rPr>
            </w:pPr>
          </w:p>
        </w:tc>
        <w:tc>
          <w:tcPr>
            <w:tcW w:w="0" w:type="auto"/>
          </w:tcPr>
          <w:p w14:paraId="7709BC77" w14:textId="77777777" w:rsidR="000459ED" w:rsidRPr="003704AC" w:rsidRDefault="000459ED" w:rsidP="002A14A1">
            <w:pPr>
              <w:jc w:val="center"/>
              <w:rPr>
                <w:rFonts w:ascii="Times New Roman" w:hAnsi="Times New Roman" w:cs="Times New Roman"/>
                <w:sz w:val="24"/>
                <w:szCs w:val="24"/>
              </w:rPr>
            </w:pPr>
          </w:p>
        </w:tc>
        <w:tc>
          <w:tcPr>
            <w:tcW w:w="0" w:type="auto"/>
          </w:tcPr>
          <w:p w14:paraId="4B901824" w14:textId="77777777" w:rsidR="000459ED" w:rsidRPr="003704AC" w:rsidRDefault="000459ED" w:rsidP="002A14A1">
            <w:pPr>
              <w:jc w:val="center"/>
              <w:rPr>
                <w:rFonts w:ascii="Times New Roman" w:hAnsi="Times New Roman" w:cs="Times New Roman"/>
                <w:sz w:val="24"/>
                <w:szCs w:val="24"/>
              </w:rPr>
            </w:pPr>
          </w:p>
        </w:tc>
        <w:tc>
          <w:tcPr>
            <w:tcW w:w="0" w:type="auto"/>
          </w:tcPr>
          <w:p w14:paraId="71FB011B" w14:textId="77777777" w:rsidR="000459ED" w:rsidRPr="003704AC" w:rsidRDefault="000459ED" w:rsidP="002A14A1">
            <w:pPr>
              <w:jc w:val="center"/>
              <w:rPr>
                <w:rFonts w:ascii="Times New Roman" w:hAnsi="Times New Roman" w:cs="Times New Roman"/>
                <w:sz w:val="24"/>
                <w:szCs w:val="24"/>
              </w:rPr>
            </w:pPr>
            <w:r w:rsidRPr="003704AC">
              <w:t>1.26</w:t>
            </w:r>
          </w:p>
        </w:tc>
        <w:tc>
          <w:tcPr>
            <w:tcW w:w="0" w:type="auto"/>
          </w:tcPr>
          <w:p w14:paraId="45665574" w14:textId="77777777" w:rsidR="000459ED" w:rsidRPr="003704AC" w:rsidRDefault="000459ED" w:rsidP="002A14A1">
            <w:pPr>
              <w:jc w:val="center"/>
              <w:rPr>
                <w:rFonts w:ascii="Times New Roman" w:hAnsi="Times New Roman" w:cs="Times New Roman"/>
                <w:sz w:val="24"/>
                <w:szCs w:val="24"/>
              </w:rPr>
            </w:pPr>
            <w:r w:rsidRPr="003704AC">
              <w:t>0.22</w:t>
            </w:r>
          </w:p>
        </w:tc>
        <w:tc>
          <w:tcPr>
            <w:tcW w:w="0" w:type="auto"/>
          </w:tcPr>
          <w:p w14:paraId="01E92BAB" w14:textId="77777777" w:rsidR="000459ED" w:rsidRPr="003704AC" w:rsidRDefault="000459ED" w:rsidP="002A14A1">
            <w:pPr>
              <w:jc w:val="center"/>
              <w:rPr>
                <w:rFonts w:ascii="Times New Roman" w:hAnsi="Times New Roman" w:cs="Times New Roman"/>
                <w:sz w:val="24"/>
                <w:szCs w:val="24"/>
              </w:rPr>
            </w:pPr>
            <w:r w:rsidRPr="003704AC">
              <w:t>5.71</w:t>
            </w:r>
          </w:p>
        </w:tc>
        <w:tc>
          <w:tcPr>
            <w:tcW w:w="0" w:type="auto"/>
          </w:tcPr>
          <w:p w14:paraId="693D0181"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Pr>
          <w:p w14:paraId="646FAF85" w14:textId="77777777" w:rsidR="000459ED" w:rsidRPr="003704AC" w:rsidRDefault="000459ED" w:rsidP="002A14A1">
            <w:pPr>
              <w:jc w:val="center"/>
              <w:rPr>
                <w:rFonts w:ascii="Times New Roman" w:hAnsi="Times New Roman" w:cs="Times New Roman"/>
                <w:sz w:val="24"/>
                <w:szCs w:val="24"/>
              </w:rPr>
            </w:pPr>
            <w:r w:rsidRPr="003704AC">
              <w:t>[0.83, 1.69]</w:t>
            </w:r>
          </w:p>
        </w:tc>
      </w:tr>
      <w:tr w:rsidR="000459ED" w:rsidRPr="003704AC" w14:paraId="41D1AD22" w14:textId="77777777" w:rsidTr="002A14A1">
        <w:tc>
          <w:tcPr>
            <w:tcW w:w="0" w:type="auto"/>
            <w:tcBorders>
              <w:top w:val="nil"/>
              <w:left w:val="nil"/>
              <w:bottom w:val="single" w:sz="4" w:space="0" w:color="auto"/>
              <w:right w:val="nil"/>
            </w:tcBorders>
          </w:tcPr>
          <w:p w14:paraId="35C5513D" w14:textId="77777777" w:rsidR="000459ED" w:rsidRPr="003704AC" w:rsidRDefault="000459ED" w:rsidP="002A14A1">
            <w:pPr>
              <w:jc w:val="center"/>
              <w:rPr>
                <w:rFonts w:ascii="Times New Roman" w:hAnsi="Times New Roman" w:cs="Times New Roman"/>
                <w:sz w:val="24"/>
                <w:szCs w:val="24"/>
              </w:rPr>
            </w:pPr>
            <w:r w:rsidRPr="003704AC">
              <w:t>Pledge x Australia</w:t>
            </w:r>
          </w:p>
          <w:p w14:paraId="6DCA5378"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05F11949"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0D63AE36"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441EF2EE"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725A7FD5"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14E6F363"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7B13CABE" w14:textId="77777777" w:rsidR="000459ED" w:rsidRPr="003704AC" w:rsidRDefault="000459ED" w:rsidP="002A14A1">
            <w:pPr>
              <w:jc w:val="center"/>
              <w:rPr>
                <w:rFonts w:ascii="Times New Roman" w:hAnsi="Times New Roman" w:cs="Times New Roman"/>
                <w:sz w:val="24"/>
                <w:szCs w:val="24"/>
              </w:rPr>
            </w:pPr>
            <w:r w:rsidRPr="003704AC">
              <w:t>0.89</w:t>
            </w:r>
          </w:p>
        </w:tc>
        <w:tc>
          <w:tcPr>
            <w:tcW w:w="0" w:type="auto"/>
            <w:tcBorders>
              <w:top w:val="nil"/>
              <w:left w:val="nil"/>
              <w:bottom w:val="single" w:sz="4" w:space="0" w:color="auto"/>
              <w:right w:val="nil"/>
            </w:tcBorders>
          </w:tcPr>
          <w:p w14:paraId="4155DA8D" w14:textId="77777777" w:rsidR="000459ED" w:rsidRPr="003704AC" w:rsidRDefault="000459ED" w:rsidP="002A14A1">
            <w:pPr>
              <w:jc w:val="center"/>
              <w:rPr>
                <w:rFonts w:ascii="Times New Roman" w:hAnsi="Times New Roman" w:cs="Times New Roman"/>
                <w:sz w:val="24"/>
                <w:szCs w:val="24"/>
              </w:rPr>
            </w:pPr>
            <w:r w:rsidRPr="003704AC">
              <w:t>0.28</w:t>
            </w:r>
          </w:p>
        </w:tc>
        <w:tc>
          <w:tcPr>
            <w:tcW w:w="0" w:type="auto"/>
            <w:tcBorders>
              <w:top w:val="nil"/>
              <w:left w:val="nil"/>
              <w:bottom w:val="single" w:sz="4" w:space="0" w:color="auto"/>
              <w:right w:val="nil"/>
            </w:tcBorders>
          </w:tcPr>
          <w:p w14:paraId="15AE330F" w14:textId="77777777" w:rsidR="000459ED" w:rsidRPr="003704AC" w:rsidRDefault="000459ED" w:rsidP="002A14A1">
            <w:pPr>
              <w:jc w:val="center"/>
              <w:rPr>
                <w:rFonts w:ascii="Times New Roman" w:hAnsi="Times New Roman" w:cs="Times New Roman"/>
                <w:sz w:val="24"/>
                <w:szCs w:val="24"/>
              </w:rPr>
            </w:pPr>
            <w:r w:rsidRPr="003704AC">
              <w:t>3.21</w:t>
            </w:r>
          </w:p>
        </w:tc>
        <w:tc>
          <w:tcPr>
            <w:tcW w:w="0" w:type="auto"/>
            <w:tcBorders>
              <w:top w:val="nil"/>
              <w:left w:val="nil"/>
              <w:bottom w:val="single" w:sz="4" w:space="0" w:color="auto"/>
              <w:right w:val="nil"/>
            </w:tcBorders>
          </w:tcPr>
          <w:p w14:paraId="56E98623"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top w:val="nil"/>
              <w:left w:val="nil"/>
              <w:bottom w:val="single" w:sz="4" w:space="0" w:color="auto"/>
              <w:right w:val="nil"/>
            </w:tcBorders>
          </w:tcPr>
          <w:p w14:paraId="57CBD5B0" w14:textId="77777777" w:rsidR="000459ED" w:rsidRPr="003704AC" w:rsidRDefault="000459ED" w:rsidP="002A14A1">
            <w:pPr>
              <w:jc w:val="center"/>
              <w:rPr>
                <w:rFonts w:ascii="Times New Roman" w:hAnsi="Times New Roman" w:cs="Times New Roman"/>
                <w:sz w:val="24"/>
                <w:szCs w:val="24"/>
              </w:rPr>
            </w:pPr>
            <w:r w:rsidRPr="003704AC">
              <w:t>[0.35, 1.43]</w:t>
            </w:r>
          </w:p>
        </w:tc>
      </w:tr>
      <w:tr w:rsidR="000459ED" w:rsidRPr="003704AC" w14:paraId="536FB883" w14:textId="77777777" w:rsidTr="002A14A1">
        <w:tc>
          <w:tcPr>
            <w:tcW w:w="0" w:type="auto"/>
            <w:tcBorders>
              <w:top w:val="single" w:sz="4" w:space="0" w:color="auto"/>
              <w:left w:val="nil"/>
              <w:bottom w:val="nil"/>
              <w:right w:val="nil"/>
            </w:tcBorders>
          </w:tcPr>
          <w:p w14:paraId="23EBD648" w14:textId="77777777" w:rsidR="000459ED" w:rsidRPr="003704AC" w:rsidRDefault="000459ED" w:rsidP="002A14A1">
            <w:pPr>
              <w:jc w:val="center"/>
              <w:rPr>
                <w:rFonts w:ascii="Times New Roman" w:hAnsi="Times New Roman" w:cs="Times New Roman"/>
                <w:sz w:val="24"/>
                <w:szCs w:val="24"/>
              </w:rPr>
            </w:pPr>
            <w:r w:rsidRPr="003704AC">
              <w:t>Random Effects</w:t>
            </w:r>
          </w:p>
          <w:p w14:paraId="2988555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E3E7B2A"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E07D990"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3E326B50"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2F4BBB99"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768A6C4"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54D259EF"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24D1108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373B15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866DCC1"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D2F878A" w14:textId="77777777" w:rsidR="000459ED" w:rsidRPr="003704AC" w:rsidRDefault="000459ED" w:rsidP="002A14A1">
            <w:pPr>
              <w:jc w:val="center"/>
              <w:rPr>
                <w:rFonts w:ascii="Times New Roman" w:hAnsi="Times New Roman" w:cs="Times New Roman"/>
                <w:sz w:val="24"/>
                <w:szCs w:val="24"/>
              </w:rPr>
            </w:pPr>
          </w:p>
        </w:tc>
      </w:tr>
      <w:tr w:rsidR="000459ED" w:rsidRPr="003704AC" w14:paraId="32B0FC2F" w14:textId="77777777" w:rsidTr="002A14A1">
        <w:tc>
          <w:tcPr>
            <w:tcW w:w="0" w:type="auto"/>
            <w:tcBorders>
              <w:top w:val="nil"/>
              <w:left w:val="nil"/>
              <w:bottom w:val="single" w:sz="4" w:space="0" w:color="auto"/>
              <w:right w:val="nil"/>
            </w:tcBorders>
          </w:tcPr>
          <w:p w14:paraId="00064B57" w14:textId="77777777" w:rsidR="000459ED" w:rsidRPr="003704AC" w:rsidRDefault="000459ED" w:rsidP="002A14A1">
            <w:pPr>
              <w:jc w:val="center"/>
              <w:rPr>
                <w:rFonts w:ascii="Times New Roman" w:hAnsi="Times New Roman" w:cs="Times New Roman"/>
                <w:sz w:val="24"/>
                <w:szCs w:val="24"/>
              </w:rPr>
            </w:pPr>
            <w:r w:rsidRPr="003704AC">
              <w:t>Groups</w:t>
            </w:r>
          </w:p>
          <w:p w14:paraId="0C85029A"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65C1980C"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4EF30481"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hideMark/>
          </w:tcPr>
          <w:p w14:paraId="5C00B210" w14:textId="77777777" w:rsidR="000459ED" w:rsidRPr="003704AC" w:rsidRDefault="000459ED" w:rsidP="002A14A1">
            <w:pPr>
              <w:jc w:val="center"/>
              <w:rPr>
                <w:rFonts w:ascii="Times New Roman" w:hAnsi="Times New Roman" w:cs="Times New Roman"/>
                <w:sz w:val="24"/>
                <w:szCs w:val="24"/>
              </w:rPr>
            </w:pPr>
            <w:r w:rsidRPr="003704AC">
              <w:t>Variance</w:t>
            </w:r>
          </w:p>
        </w:tc>
        <w:tc>
          <w:tcPr>
            <w:tcW w:w="0" w:type="auto"/>
            <w:tcBorders>
              <w:top w:val="nil"/>
              <w:left w:val="nil"/>
              <w:bottom w:val="single" w:sz="4" w:space="0" w:color="auto"/>
              <w:right w:val="nil"/>
            </w:tcBorders>
            <w:hideMark/>
          </w:tcPr>
          <w:p w14:paraId="21BBEA8E" w14:textId="77777777" w:rsidR="000459ED" w:rsidRPr="003704AC" w:rsidRDefault="000459ED" w:rsidP="002A14A1">
            <w:pPr>
              <w:jc w:val="center"/>
              <w:rPr>
                <w:rFonts w:ascii="Times New Roman" w:hAnsi="Times New Roman" w:cs="Times New Roman"/>
                <w:sz w:val="24"/>
                <w:szCs w:val="24"/>
              </w:rPr>
            </w:pPr>
            <w:r w:rsidRPr="003704AC">
              <w:rPr>
                <w:i/>
              </w:rPr>
              <w:t>SD</w:t>
            </w:r>
          </w:p>
        </w:tc>
        <w:tc>
          <w:tcPr>
            <w:tcW w:w="0" w:type="auto"/>
            <w:tcBorders>
              <w:top w:val="nil"/>
              <w:left w:val="nil"/>
              <w:bottom w:val="single" w:sz="4" w:space="0" w:color="auto"/>
              <w:right w:val="nil"/>
            </w:tcBorders>
          </w:tcPr>
          <w:p w14:paraId="4121FBCA" w14:textId="77777777" w:rsidR="000459ED" w:rsidRPr="003704AC" w:rsidRDefault="000459ED" w:rsidP="002A14A1">
            <w:pPr>
              <w:rPr>
                <w:rFonts w:ascii="Times New Roman" w:hAnsi="Times New Roman" w:cs="Times New Roman"/>
                <w:i/>
                <w:sz w:val="24"/>
                <w:szCs w:val="24"/>
              </w:rPr>
            </w:pPr>
          </w:p>
        </w:tc>
        <w:tc>
          <w:tcPr>
            <w:tcW w:w="0" w:type="auto"/>
            <w:tcBorders>
              <w:top w:val="nil"/>
              <w:left w:val="nil"/>
              <w:bottom w:val="single" w:sz="4" w:space="0" w:color="auto"/>
              <w:right w:val="nil"/>
            </w:tcBorders>
          </w:tcPr>
          <w:p w14:paraId="4FC542AF" w14:textId="77777777" w:rsidR="000459ED" w:rsidRPr="003704AC" w:rsidRDefault="000459ED" w:rsidP="002A14A1">
            <w:pPr>
              <w:rPr>
                <w:rFonts w:ascii="Times New Roman" w:hAnsi="Times New Roman" w:cs="Times New Roman"/>
                <w:i/>
                <w:sz w:val="24"/>
                <w:szCs w:val="24"/>
              </w:rPr>
            </w:pPr>
          </w:p>
        </w:tc>
        <w:tc>
          <w:tcPr>
            <w:tcW w:w="0" w:type="auto"/>
            <w:tcBorders>
              <w:top w:val="nil"/>
              <w:left w:val="nil"/>
              <w:bottom w:val="single" w:sz="4" w:space="0" w:color="auto"/>
              <w:right w:val="nil"/>
            </w:tcBorders>
          </w:tcPr>
          <w:p w14:paraId="5D9C064B" w14:textId="77777777" w:rsidR="000459ED" w:rsidRPr="003704AC" w:rsidRDefault="000459ED" w:rsidP="002A14A1">
            <w:pPr>
              <w:rPr>
                <w:rFonts w:ascii="Times New Roman" w:hAnsi="Times New Roman" w:cs="Times New Roman"/>
                <w:i/>
                <w:sz w:val="24"/>
                <w:szCs w:val="24"/>
              </w:rPr>
            </w:pPr>
          </w:p>
        </w:tc>
        <w:tc>
          <w:tcPr>
            <w:tcW w:w="0" w:type="auto"/>
            <w:tcBorders>
              <w:top w:val="nil"/>
              <w:left w:val="nil"/>
              <w:bottom w:val="single" w:sz="4" w:space="0" w:color="auto"/>
              <w:right w:val="nil"/>
            </w:tcBorders>
          </w:tcPr>
          <w:p w14:paraId="45AA5977" w14:textId="77777777" w:rsidR="000459ED" w:rsidRPr="003704AC" w:rsidRDefault="000459ED" w:rsidP="002A14A1">
            <w:pPr>
              <w:rPr>
                <w:rFonts w:ascii="Times New Roman" w:hAnsi="Times New Roman" w:cs="Times New Roman"/>
                <w:i/>
                <w:sz w:val="24"/>
                <w:szCs w:val="24"/>
              </w:rPr>
            </w:pPr>
          </w:p>
        </w:tc>
        <w:tc>
          <w:tcPr>
            <w:tcW w:w="0" w:type="auto"/>
            <w:tcBorders>
              <w:top w:val="nil"/>
              <w:left w:val="nil"/>
              <w:bottom w:val="single" w:sz="4" w:space="0" w:color="auto"/>
              <w:right w:val="nil"/>
            </w:tcBorders>
          </w:tcPr>
          <w:p w14:paraId="33370B7D" w14:textId="77777777" w:rsidR="000459ED" w:rsidRPr="003704AC" w:rsidRDefault="000459ED" w:rsidP="002A14A1">
            <w:pPr>
              <w:rPr>
                <w:rFonts w:ascii="Times New Roman" w:hAnsi="Times New Roman" w:cs="Times New Roman"/>
                <w:i/>
                <w:sz w:val="24"/>
                <w:szCs w:val="24"/>
              </w:rPr>
            </w:pPr>
            <w:r w:rsidRPr="003704AC">
              <w:t>Variance</w:t>
            </w:r>
          </w:p>
        </w:tc>
        <w:tc>
          <w:tcPr>
            <w:tcW w:w="0" w:type="auto"/>
            <w:tcBorders>
              <w:top w:val="nil"/>
              <w:left w:val="nil"/>
              <w:bottom w:val="single" w:sz="4" w:space="0" w:color="auto"/>
              <w:right w:val="nil"/>
            </w:tcBorders>
          </w:tcPr>
          <w:p w14:paraId="61C08B68" w14:textId="77777777" w:rsidR="000459ED" w:rsidRPr="003704AC" w:rsidRDefault="000459ED" w:rsidP="002A14A1">
            <w:pPr>
              <w:rPr>
                <w:rFonts w:ascii="Times New Roman" w:hAnsi="Times New Roman" w:cs="Times New Roman"/>
                <w:i/>
                <w:sz w:val="24"/>
                <w:szCs w:val="24"/>
              </w:rPr>
            </w:pPr>
            <w:r w:rsidRPr="003704AC">
              <w:rPr>
                <w:i/>
              </w:rPr>
              <w:t>SD</w:t>
            </w:r>
          </w:p>
        </w:tc>
      </w:tr>
      <w:tr w:rsidR="000459ED" w:rsidRPr="003704AC" w14:paraId="16A892B0" w14:textId="77777777" w:rsidTr="002A14A1">
        <w:tc>
          <w:tcPr>
            <w:tcW w:w="0" w:type="auto"/>
            <w:tcBorders>
              <w:top w:val="single" w:sz="4" w:space="0" w:color="auto"/>
              <w:left w:val="nil"/>
              <w:bottom w:val="single" w:sz="4" w:space="0" w:color="auto"/>
              <w:right w:val="nil"/>
            </w:tcBorders>
          </w:tcPr>
          <w:p w14:paraId="4AC76406" w14:textId="77777777" w:rsidR="000459ED" w:rsidRPr="003704AC" w:rsidRDefault="000459ED" w:rsidP="002A14A1">
            <w:pPr>
              <w:jc w:val="center"/>
              <w:rPr>
                <w:rFonts w:ascii="Times New Roman" w:hAnsi="Times New Roman" w:cs="Times New Roman"/>
                <w:sz w:val="24"/>
                <w:szCs w:val="24"/>
              </w:rPr>
            </w:pPr>
            <w:r w:rsidRPr="003704AC">
              <w:t>Subjects</w:t>
            </w:r>
          </w:p>
          <w:p w14:paraId="5E5528EC"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040FD169"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6DE15D4B"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hideMark/>
          </w:tcPr>
          <w:p w14:paraId="79C4F044" w14:textId="77777777" w:rsidR="000459ED" w:rsidRPr="003704AC" w:rsidRDefault="000459ED" w:rsidP="002A14A1">
            <w:pPr>
              <w:jc w:val="center"/>
              <w:rPr>
                <w:rFonts w:ascii="Times New Roman" w:hAnsi="Times New Roman" w:cs="Times New Roman"/>
                <w:sz w:val="24"/>
                <w:szCs w:val="24"/>
              </w:rPr>
            </w:pPr>
            <w:r w:rsidRPr="003704AC">
              <w:t>1.55</w:t>
            </w:r>
          </w:p>
        </w:tc>
        <w:tc>
          <w:tcPr>
            <w:tcW w:w="0" w:type="auto"/>
            <w:tcBorders>
              <w:top w:val="single" w:sz="4" w:space="0" w:color="auto"/>
              <w:left w:val="nil"/>
              <w:bottom w:val="single" w:sz="4" w:space="0" w:color="auto"/>
              <w:right w:val="nil"/>
            </w:tcBorders>
            <w:hideMark/>
          </w:tcPr>
          <w:p w14:paraId="134261CF" w14:textId="77777777" w:rsidR="000459ED" w:rsidRPr="003704AC" w:rsidRDefault="000459ED" w:rsidP="002A14A1">
            <w:pPr>
              <w:jc w:val="center"/>
              <w:rPr>
                <w:rFonts w:ascii="Times New Roman" w:hAnsi="Times New Roman" w:cs="Times New Roman"/>
                <w:sz w:val="24"/>
                <w:szCs w:val="24"/>
              </w:rPr>
            </w:pPr>
            <w:r w:rsidRPr="003704AC">
              <w:t>1.24</w:t>
            </w:r>
          </w:p>
        </w:tc>
        <w:tc>
          <w:tcPr>
            <w:tcW w:w="0" w:type="auto"/>
            <w:tcBorders>
              <w:top w:val="single" w:sz="4" w:space="0" w:color="auto"/>
              <w:left w:val="nil"/>
              <w:bottom w:val="single" w:sz="4" w:space="0" w:color="auto"/>
              <w:right w:val="nil"/>
            </w:tcBorders>
          </w:tcPr>
          <w:p w14:paraId="74AEF479"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76E5C19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67408C9A"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325EEC8D"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7EA5B9AE" w14:textId="77777777" w:rsidR="000459ED" w:rsidRPr="003704AC" w:rsidRDefault="000459ED" w:rsidP="002A14A1">
            <w:pPr>
              <w:jc w:val="center"/>
              <w:rPr>
                <w:rFonts w:ascii="Times New Roman" w:hAnsi="Times New Roman" w:cs="Times New Roman"/>
                <w:sz w:val="24"/>
                <w:szCs w:val="24"/>
              </w:rPr>
            </w:pPr>
            <w:r w:rsidRPr="003704AC">
              <w:t>0.71</w:t>
            </w:r>
          </w:p>
        </w:tc>
        <w:tc>
          <w:tcPr>
            <w:tcW w:w="0" w:type="auto"/>
            <w:tcBorders>
              <w:top w:val="single" w:sz="4" w:space="0" w:color="auto"/>
              <w:left w:val="nil"/>
              <w:bottom w:val="single" w:sz="4" w:space="0" w:color="auto"/>
              <w:right w:val="nil"/>
            </w:tcBorders>
          </w:tcPr>
          <w:p w14:paraId="36D14DF5" w14:textId="77777777" w:rsidR="000459ED" w:rsidRPr="003704AC" w:rsidRDefault="000459ED" w:rsidP="002A14A1">
            <w:pPr>
              <w:rPr>
                <w:rFonts w:ascii="Times New Roman" w:hAnsi="Times New Roman" w:cs="Times New Roman"/>
                <w:sz w:val="24"/>
                <w:szCs w:val="24"/>
              </w:rPr>
            </w:pPr>
            <w:r w:rsidRPr="003704AC">
              <w:t>0.84</w:t>
            </w:r>
          </w:p>
        </w:tc>
      </w:tr>
    </w:tbl>
    <w:p w14:paraId="5C1025E1" w14:textId="0EEA10E8" w:rsidR="000459ED" w:rsidRPr="003704AC" w:rsidRDefault="000459ED" w:rsidP="00660CDC">
      <w:pPr>
        <w:spacing w:line="480" w:lineRule="auto"/>
      </w:pPr>
      <w:r w:rsidRPr="003704AC">
        <w:rPr>
          <w:i/>
          <w:iCs/>
        </w:rPr>
        <w:t>Notes</w:t>
      </w:r>
      <w:r w:rsidRPr="003704AC">
        <w:t xml:space="preserve">. 7809 observations, 322 Subjects. Reference level = Germany. </w:t>
      </w:r>
      <w:r w:rsidR="004B2001" w:rsidRPr="003704AC">
        <w:t>Conflicted Omnivore (</w:t>
      </w:r>
      <w:r w:rsidRPr="003704AC">
        <w:t>CO</w:t>
      </w:r>
      <w:r w:rsidR="004B2001" w:rsidRPr="003704AC">
        <w:t>)</w:t>
      </w:r>
      <w:r w:rsidRPr="003704AC">
        <w:t xml:space="preserve"> is </w:t>
      </w:r>
      <w:proofErr w:type="spellStart"/>
      <w:r w:rsidRPr="003704AC">
        <w:t>centred</w:t>
      </w:r>
      <w:proofErr w:type="spellEnd"/>
      <w:r w:rsidRPr="003704AC">
        <w:t xml:space="preserve">. </w:t>
      </w:r>
      <w:r w:rsidRPr="003704AC">
        <w:rPr>
          <w:i/>
          <w:iCs/>
        </w:rPr>
        <w:t>Pseudo-R</w:t>
      </w:r>
      <w:r w:rsidRPr="003704AC">
        <w:rPr>
          <w:i/>
          <w:iCs/>
          <w:vertAlign w:val="superscript"/>
        </w:rPr>
        <w:t>2</w:t>
      </w:r>
      <w:r w:rsidRPr="003704AC">
        <w:t xml:space="preserve"> (Model 1) = .54.</w:t>
      </w:r>
      <w:r w:rsidR="004B2001" w:rsidRPr="003704AC">
        <w:t xml:space="preserve"> </w:t>
      </w:r>
      <w:r w:rsidR="004B2001" w:rsidRPr="0058443A">
        <w:t>The random effect had an ICC of 0.44.</w:t>
      </w:r>
    </w:p>
    <w:p w14:paraId="355DA4BF" w14:textId="77777777" w:rsidR="000459ED" w:rsidRPr="003704AC" w:rsidRDefault="000459ED" w:rsidP="000459ED">
      <w:pPr>
        <w:spacing w:line="480" w:lineRule="auto"/>
        <w:sectPr w:rsidR="000459ED" w:rsidRPr="003704AC" w:rsidSect="002A14A1">
          <w:pgSz w:w="16840" w:h="11900" w:orient="landscape"/>
          <w:pgMar w:top="1440" w:right="1440" w:bottom="1440" w:left="1440" w:header="708" w:footer="708" w:gutter="0"/>
          <w:cols w:space="708"/>
          <w:docGrid w:linePitch="360"/>
        </w:sectPr>
      </w:pPr>
    </w:p>
    <w:p w14:paraId="0496C8AE" w14:textId="77777777" w:rsidR="000459ED" w:rsidRPr="003704AC" w:rsidRDefault="000459ED" w:rsidP="000459ED"/>
    <w:p w14:paraId="279D6459" w14:textId="77777777" w:rsidR="000459ED" w:rsidRPr="003704AC" w:rsidRDefault="000459ED" w:rsidP="000459ED"/>
    <w:p w14:paraId="12461358" w14:textId="7C91E10A" w:rsidR="00356816" w:rsidRPr="003704AC" w:rsidRDefault="00356816" w:rsidP="00356816">
      <w:pPr>
        <w:spacing w:line="480" w:lineRule="auto"/>
        <w:ind w:firstLine="720"/>
        <w:rPr>
          <w:color w:val="000000"/>
        </w:rPr>
      </w:pPr>
      <w:r w:rsidRPr="0058443A">
        <w:t xml:space="preserve">Table 2 presents the estimates for the Intercept-only model and the best-fit model. </w:t>
      </w:r>
      <w:r w:rsidRPr="0058443A">
        <w:rPr>
          <w:color w:val="000000"/>
        </w:rPr>
        <w:t>Because the interaction of Pledge x CO did not improve model fit, and was eliminated, we can conclude that Hypothesis 1, regarding the moderating influence of CO on the effect of pledging for daily meat consumption, was not supported</w:t>
      </w:r>
      <w:r w:rsidR="00466609" w:rsidRPr="0058443A">
        <w:rPr>
          <w:rStyle w:val="FootnoteReference"/>
          <w:color w:val="000000"/>
        </w:rPr>
        <w:footnoteReference w:id="6"/>
      </w:r>
      <w:r w:rsidRPr="0058443A">
        <w:rPr>
          <w:color w:val="000000"/>
        </w:rPr>
        <w:t>. However, CO did have a main effect on daily meat consumption, with highly conflicted participants consuming less meat than less conflicted participants. As depicted in Table 2, there was a main effect of Pledge in the predicted direction (Hypothesis 2a). Participants assigned to the Pledge condition consumed less meat across the 28 days than control participants. Thus, Hypothesis 2a was supported.</w:t>
      </w:r>
      <w:r w:rsidRPr="003704AC">
        <w:rPr>
          <w:color w:val="000000"/>
        </w:rPr>
        <w:t xml:space="preserve"> </w:t>
      </w:r>
    </w:p>
    <w:p w14:paraId="29701B6C" w14:textId="0504C5E0" w:rsidR="00356816" w:rsidRPr="003704AC" w:rsidRDefault="005B49E6" w:rsidP="00356816">
      <w:pPr>
        <w:spacing w:line="480" w:lineRule="auto"/>
        <w:ind w:firstLine="720"/>
        <w:rPr>
          <w:color w:val="242729"/>
          <w:shd w:val="clear" w:color="auto" w:fill="FFFFFF"/>
        </w:rPr>
      </w:pPr>
      <w:r w:rsidRPr="0058443A">
        <w:t>T</w:t>
      </w:r>
      <w:r w:rsidR="00356816" w:rsidRPr="003704AC">
        <w:t xml:space="preserve">he Pledge x Country interaction </w:t>
      </w:r>
      <w:r w:rsidRPr="003704AC">
        <w:rPr>
          <w:color w:val="242729"/>
          <w:shd w:val="clear" w:color="auto" w:fill="FFFFFF"/>
        </w:rPr>
        <w:t xml:space="preserve">is </w:t>
      </w:r>
      <w:r w:rsidR="00356816" w:rsidRPr="003704AC">
        <w:rPr>
          <w:color w:val="242729"/>
          <w:shd w:val="clear" w:color="auto" w:fill="FFFFFF"/>
        </w:rPr>
        <w:t xml:space="preserve">depicted in Figure 1. </w:t>
      </w:r>
      <w:r w:rsidRPr="003704AC">
        <w:rPr>
          <w:color w:val="242729"/>
          <w:shd w:val="clear" w:color="auto" w:fill="FFFFFF"/>
        </w:rPr>
        <w:t>Simple slope tests</w:t>
      </w:r>
      <w:r w:rsidR="00356816" w:rsidRPr="003704AC">
        <w:rPr>
          <w:color w:val="242729"/>
          <w:shd w:val="clear" w:color="auto" w:fill="FFFFFF"/>
        </w:rPr>
        <w:t xml:space="preserve"> revealed that participants in the Pledge condition consumed less meat than control participants for all three samples: Germany, </w:t>
      </w:r>
      <w:r w:rsidR="00356816" w:rsidRPr="003704AC">
        <w:rPr>
          <w:i/>
          <w:iCs/>
          <w:color w:val="242729"/>
          <w:shd w:val="clear" w:color="auto" w:fill="FFFFFF"/>
          <w:lang w:val="el-GR"/>
        </w:rPr>
        <w:t>β</w:t>
      </w:r>
      <w:r w:rsidR="00356816" w:rsidRPr="003704AC">
        <w:rPr>
          <w:color w:val="242729"/>
          <w:shd w:val="clear" w:color="auto" w:fill="FFFFFF"/>
        </w:rPr>
        <w:t xml:space="preserve"> = -1.53, </w:t>
      </w:r>
      <w:r w:rsidR="00356816" w:rsidRPr="003704AC">
        <w:rPr>
          <w:i/>
          <w:iCs/>
          <w:color w:val="242729"/>
          <w:shd w:val="clear" w:color="auto" w:fill="FFFFFF"/>
        </w:rPr>
        <w:t>SE</w:t>
      </w:r>
      <w:r w:rsidR="00356816" w:rsidRPr="003704AC">
        <w:rPr>
          <w:color w:val="242729"/>
          <w:shd w:val="clear" w:color="auto" w:fill="FFFFFF"/>
        </w:rPr>
        <w:t xml:space="preserve"> = .16, </w:t>
      </w:r>
      <w:r w:rsidR="00356816" w:rsidRPr="003704AC">
        <w:rPr>
          <w:i/>
          <w:iCs/>
          <w:color w:val="242729"/>
          <w:shd w:val="clear" w:color="auto" w:fill="FFFFFF"/>
        </w:rPr>
        <w:t>t</w:t>
      </w:r>
      <w:r w:rsidR="00356816" w:rsidRPr="003704AC">
        <w:rPr>
          <w:color w:val="242729"/>
          <w:shd w:val="clear" w:color="auto" w:fill="FFFFFF"/>
        </w:rPr>
        <w:t xml:space="preserve"> = -9.37, Australia, </w:t>
      </w:r>
      <w:r w:rsidR="00356816" w:rsidRPr="003704AC">
        <w:rPr>
          <w:i/>
          <w:iCs/>
          <w:color w:val="242729"/>
          <w:shd w:val="clear" w:color="auto" w:fill="FFFFFF"/>
          <w:lang w:val="el-GR"/>
        </w:rPr>
        <w:t>β</w:t>
      </w:r>
      <w:r w:rsidR="00356816" w:rsidRPr="003704AC">
        <w:rPr>
          <w:color w:val="242729"/>
          <w:shd w:val="clear" w:color="auto" w:fill="FFFFFF"/>
        </w:rPr>
        <w:t xml:space="preserve"> = -</w:t>
      </w:r>
      <w:r w:rsidR="00012BDA" w:rsidRPr="003704AC">
        <w:rPr>
          <w:color w:val="242729"/>
          <w:shd w:val="clear" w:color="auto" w:fill="FFFFFF"/>
        </w:rPr>
        <w:t>0</w:t>
      </w:r>
      <w:r w:rsidR="00356816" w:rsidRPr="003704AC">
        <w:rPr>
          <w:color w:val="242729"/>
          <w:shd w:val="clear" w:color="auto" w:fill="FFFFFF"/>
        </w:rPr>
        <w:t xml:space="preserve">.64, </w:t>
      </w:r>
      <w:r w:rsidR="00356816" w:rsidRPr="003704AC">
        <w:rPr>
          <w:i/>
          <w:iCs/>
          <w:color w:val="242729"/>
          <w:shd w:val="clear" w:color="auto" w:fill="FFFFFF"/>
        </w:rPr>
        <w:t>SE</w:t>
      </w:r>
      <w:r w:rsidR="00356816" w:rsidRPr="003704AC">
        <w:rPr>
          <w:color w:val="242729"/>
          <w:shd w:val="clear" w:color="auto" w:fill="FFFFFF"/>
        </w:rPr>
        <w:t xml:space="preserve"> = .24, </w:t>
      </w:r>
      <w:r w:rsidR="00356816" w:rsidRPr="003704AC">
        <w:rPr>
          <w:i/>
          <w:iCs/>
          <w:color w:val="242729"/>
          <w:shd w:val="clear" w:color="auto" w:fill="FFFFFF"/>
        </w:rPr>
        <w:t>t</w:t>
      </w:r>
      <w:r w:rsidR="00356816" w:rsidRPr="003704AC">
        <w:rPr>
          <w:color w:val="242729"/>
          <w:shd w:val="clear" w:color="auto" w:fill="FFFFFF"/>
        </w:rPr>
        <w:t xml:space="preserve"> = -2.66, UK, </w:t>
      </w:r>
      <w:r w:rsidR="00356816" w:rsidRPr="003704AC">
        <w:rPr>
          <w:i/>
          <w:iCs/>
          <w:color w:val="242729"/>
          <w:shd w:val="clear" w:color="auto" w:fill="FFFFFF"/>
          <w:lang w:val="el-GR"/>
        </w:rPr>
        <w:t>β</w:t>
      </w:r>
      <w:r w:rsidR="00356816" w:rsidRPr="003704AC">
        <w:rPr>
          <w:color w:val="242729"/>
          <w:shd w:val="clear" w:color="auto" w:fill="FFFFFF"/>
        </w:rPr>
        <w:t xml:space="preserve"> = -</w:t>
      </w:r>
      <w:r w:rsidR="00012BDA" w:rsidRPr="003704AC">
        <w:rPr>
          <w:color w:val="242729"/>
          <w:shd w:val="clear" w:color="auto" w:fill="FFFFFF"/>
        </w:rPr>
        <w:t>0</w:t>
      </w:r>
      <w:r w:rsidR="00356816" w:rsidRPr="003704AC">
        <w:rPr>
          <w:color w:val="242729"/>
          <w:shd w:val="clear" w:color="auto" w:fill="FFFFFF"/>
        </w:rPr>
        <w:t xml:space="preserve">.31, </w:t>
      </w:r>
      <w:r w:rsidR="00356816" w:rsidRPr="003704AC">
        <w:rPr>
          <w:i/>
          <w:iCs/>
          <w:color w:val="242729"/>
          <w:shd w:val="clear" w:color="auto" w:fill="FFFFFF"/>
        </w:rPr>
        <w:t>SE</w:t>
      </w:r>
      <w:r w:rsidR="00356816" w:rsidRPr="003704AC">
        <w:rPr>
          <w:color w:val="242729"/>
          <w:shd w:val="clear" w:color="auto" w:fill="FFFFFF"/>
        </w:rPr>
        <w:t xml:space="preserve"> = .15, </w:t>
      </w:r>
      <w:r w:rsidR="00356816" w:rsidRPr="003704AC">
        <w:rPr>
          <w:i/>
          <w:iCs/>
          <w:color w:val="242729"/>
          <w:shd w:val="clear" w:color="auto" w:fill="FFFFFF"/>
        </w:rPr>
        <w:t>t</w:t>
      </w:r>
      <w:r w:rsidR="00356816" w:rsidRPr="003704AC">
        <w:rPr>
          <w:color w:val="242729"/>
          <w:shd w:val="clear" w:color="auto" w:fill="FFFFFF"/>
        </w:rPr>
        <w:t xml:space="preserve"> = -2.18. </w:t>
      </w:r>
      <w:r w:rsidR="00356816" w:rsidRPr="0058443A">
        <w:rPr>
          <w:color w:val="242729"/>
          <w:shd w:val="clear" w:color="auto" w:fill="FFFFFF"/>
        </w:rPr>
        <w:t xml:space="preserve">Note that the </w:t>
      </w:r>
      <w:r w:rsidRPr="0058443A">
        <w:rPr>
          <w:color w:val="242729"/>
          <w:shd w:val="clear" w:color="auto" w:fill="FFFFFF"/>
        </w:rPr>
        <w:t>“</w:t>
      </w:r>
      <w:proofErr w:type="spellStart"/>
      <w:r w:rsidRPr="0058443A">
        <w:rPr>
          <w:color w:val="242729"/>
          <w:shd w:val="clear" w:color="auto" w:fill="FFFFFF"/>
        </w:rPr>
        <w:t>reghelper</w:t>
      </w:r>
      <w:proofErr w:type="spellEnd"/>
      <w:r w:rsidRPr="0058443A">
        <w:rPr>
          <w:color w:val="242729"/>
          <w:shd w:val="clear" w:color="auto" w:fill="FFFFFF"/>
        </w:rPr>
        <w:t xml:space="preserve">” </w:t>
      </w:r>
      <w:r w:rsidR="00356816" w:rsidRPr="0058443A">
        <w:rPr>
          <w:color w:val="242729"/>
          <w:shd w:val="clear" w:color="auto" w:fill="FFFFFF"/>
        </w:rPr>
        <w:t xml:space="preserve">R package </w:t>
      </w:r>
      <w:r w:rsidR="007D15BA" w:rsidRPr="0058443A">
        <w:rPr>
          <w:color w:val="242729"/>
          <w:shd w:val="clear" w:color="auto" w:fill="FFFFFF"/>
        </w:rPr>
        <w:t xml:space="preserve">that we used </w:t>
      </w:r>
      <w:r w:rsidR="00356816" w:rsidRPr="0058443A">
        <w:rPr>
          <w:color w:val="242729"/>
          <w:shd w:val="clear" w:color="auto" w:fill="FFFFFF"/>
        </w:rPr>
        <w:t xml:space="preserve">does not generate </w:t>
      </w:r>
      <w:r w:rsidR="00356816" w:rsidRPr="0058443A">
        <w:rPr>
          <w:i/>
          <w:color w:val="242729"/>
          <w:shd w:val="clear" w:color="auto" w:fill="FFFFFF"/>
        </w:rPr>
        <w:t>p</w:t>
      </w:r>
      <w:r w:rsidR="00356816" w:rsidRPr="0058443A">
        <w:rPr>
          <w:color w:val="242729"/>
          <w:shd w:val="clear" w:color="auto" w:fill="FFFFFF"/>
        </w:rPr>
        <w:t xml:space="preserve">-values for simple slopes </w:t>
      </w:r>
      <w:r w:rsidR="00290092" w:rsidRPr="0058443A">
        <w:rPr>
          <w:color w:val="242729"/>
          <w:shd w:val="clear" w:color="auto" w:fill="FFFFFF"/>
        </w:rPr>
        <w:t>that result for a fitted</w:t>
      </w:r>
      <w:r w:rsidR="00356816" w:rsidRPr="0058443A">
        <w:rPr>
          <w:color w:val="242729"/>
          <w:shd w:val="clear" w:color="auto" w:fill="FFFFFF"/>
        </w:rPr>
        <w:t xml:space="preserve"> GLMM negative binomial</w:t>
      </w:r>
      <w:r w:rsidR="008742D8" w:rsidRPr="0058443A">
        <w:rPr>
          <w:color w:val="242729"/>
          <w:shd w:val="clear" w:color="auto" w:fill="FFFFFF"/>
        </w:rPr>
        <w:t>.</w:t>
      </w:r>
      <w:r w:rsidRPr="0058443A">
        <w:rPr>
          <w:color w:val="242729"/>
          <w:shd w:val="clear" w:color="auto" w:fill="FFFFFF"/>
        </w:rPr>
        <w:t xml:space="preserve"> </w:t>
      </w:r>
      <w:r w:rsidR="008742D8" w:rsidRPr="0058443A">
        <w:rPr>
          <w:color w:val="242729"/>
          <w:shd w:val="clear" w:color="auto" w:fill="FFFFFF"/>
        </w:rPr>
        <w:t>H</w:t>
      </w:r>
      <w:r w:rsidRPr="0058443A">
        <w:rPr>
          <w:color w:val="242729"/>
          <w:shd w:val="clear" w:color="auto" w:fill="FFFFFF"/>
        </w:rPr>
        <w:t>owever, it does provide test statistics (Hughes, 2021)</w:t>
      </w:r>
      <w:r w:rsidR="00356816" w:rsidRPr="003704AC">
        <w:rPr>
          <w:color w:val="242729"/>
          <w:shd w:val="clear" w:color="auto" w:fill="FFFFFF"/>
        </w:rPr>
        <w:t xml:space="preserve">. </w:t>
      </w:r>
      <w:r w:rsidRPr="0058443A">
        <w:rPr>
          <w:color w:val="242729"/>
          <w:shd w:val="clear" w:color="auto" w:fill="FFFFFF"/>
        </w:rPr>
        <w:t>More extreme test statistics (</w:t>
      </w:r>
      <w:r w:rsidRPr="0058443A">
        <w:rPr>
          <w:i/>
          <w:color w:val="242729"/>
          <w:shd w:val="clear" w:color="auto" w:fill="FFFFFF"/>
        </w:rPr>
        <w:t xml:space="preserve">t </w:t>
      </w:r>
      <w:r w:rsidRPr="0058443A">
        <w:rPr>
          <w:color w:val="242729"/>
          <w:shd w:val="clear" w:color="auto" w:fill="FFFFFF"/>
        </w:rPr>
        <w:t xml:space="preserve">&gt; 2) return lower </w:t>
      </w:r>
      <w:r w:rsidRPr="0058443A">
        <w:rPr>
          <w:i/>
          <w:color w:val="242729"/>
          <w:shd w:val="clear" w:color="auto" w:fill="FFFFFF"/>
        </w:rPr>
        <w:t>p</w:t>
      </w:r>
      <w:r w:rsidRPr="0058443A">
        <w:rPr>
          <w:color w:val="242729"/>
          <w:shd w:val="clear" w:color="auto" w:fill="FFFFFF"/>
        </w:rPr>
        <w:t>-values giving greater indication that the null hypothesis is false</w:t>
      </w:r>
      <w:r w:rsidR="00356816" w:rsidRPr="0058443A">
        <w:rPr>
          <w:color w:val="242729"/>
          <w:shd w:val="clear" w:color="auto" w:fill="FFFFFF"/>
        </w:rPr>
        <w:t>.</w:t>
      </w:r>
      <w:r w:rsidR="00356816" w:rsidRPr="003704AC">
        <w:rPr>
          <w:color w:val="242729"/>
          <w:shd w:val="clear" w:color="auto" w:fill="FFFFFF"/>
        </w:rPr>
        <w:t xml:space="preserve"> </w:t>
      </w:r>
      <w:r w:rsidR="00DE5760" w:rsidRPr="003704AC">
        <w:rPr>
          <w:color w:val="242729"/>
          <w:shd w:val="clear" w:color="auto" w:fill="FFFFFF"/>
        </w:rPr>
        <w:t>P</w:t>
      </w:r>
      <w:r w:rsidR="00356816" w:rsidRPr="003704AC">
        <w:rPr>
          <w:color w:val="242729"/>
          <w:shd w:val="clear" w:color="auto" w:fill="FFFFFF"/>
        </w:rPr>
        <w:t xml:space="preserve">ledging produced the greatest meat reductions in the German sample, followed by Australia and the UK. Between country comparisons showed that pledgers in the UK consumed more meat than pledgers in Germany, </w:t>
      </w:r>
      <w:r w:rsidR="00356816" w:rsidRPr="003704AC">
        <w:rPr>
          <w:i/>
          <w:iCs/>
          <w:color w:val="242729"/>
          <w:shd w:val="clear" w:color="auto" w:fill="FFFFFF"/>
          <w:lang w:val="el-GR"/>
        </w:rPr>
        <w:t>β</w:t>
      </w:r>
      <w:r w:rsidR="00356816" w:rsidRPr="003704AC">
        <w:rPr>
          <w:color w:val="242729"/>
          <w:shd w:val="clear" w:color="auto" w:fill="FFFFFF"/>
        </w:rPr>
        <w:t xml:space="preserve"> = 1.86, </w:t>
      </w:r>
      <w:r w:rsidR="00356816" w:rsidRPr="003704AC">
        <w:rPr>
          <w:i/>
          <w:iCs/>
          <w:color w:val="242729"/>
          <w:shd w:val="clear" w:color="auto" w:fill="FFFFFF"/>
        </w:rPr>
        <w:t>SE</w:t>
      </w:r>
      <w:r w:rsidR="00356816" w:rsidRPr="003704AC">
        <w:rPr>
          <w:color w:val="242729"/>
          <w:shd w:val="clear" w:color="auto" w:fill="FFFFFF"/>
        </w:rPr>
        <w:t xml:space="preserve"> = .17, </w:t>
      </w:r>
      <w:r w:rsidR="00356816" w:rsidRPr="003704AC">
        <w:rPr>
          <w:i/>
          <w:iCs/>
          <w:color w:val="242729"/>
          <w:shd w:val="clear" w:color="auto" w:fill="FFFFFF"/>
        </w:rPr>
        <w:t>t</w:t>
      </w:r>
      <w:r w:rsidR="00356816" w:rsidRPr="003704AC">
        <w:rPr>
          <w:color w:val="242729"/>
          <w:shd w:val="clear" w:color="auto" w:fill="FFFFFF"/>
        </w:rPr>
        <w:t xml:space="preserve"> = 10.69, and pledgers in Australia,  </w:t>
      </w:r>
      <w:r w:rsidR="00356816" w:rsidRPr="003704AC">
        <w:rPr>
          <w:i/>
          <w:iCs/>
          <w:color w:val="242729"/>
          <w:shd w:val="clear" w:color="auto" w:fill="FFFFFF"/>
          <w:lang w:val="el-GR"/>
        </w:rPr>
        <w:t>β</w:t>
      </w:r>
      <w:r w:rsidR="00356816" w:rsidRPr="003704AC">
        <w:rPr>
          <w:color w:val="242729"/>
          <w:shd w:val="clear" w:color="auto" w:fill="FFFFFF"/>
        </w:rPr>
        <w:t xml:space="preserve"> = </w:t>
      </w:r>
      <w:r w:rsidR="00734028" w:rsidRPr="003704AC">
        <w:rPr>
          <w:color w:val="242729"/>
          <w:shd w:val="clear" w:color="auto" w:fill="FFFFFF"/>
        </w:rPr>
        <w:t>0</w:t>
      </w:r>
      <w:r w:rsidR="00356816" w:rsidRPr="003704AC">
        <w:rPr>
          <w:color w:val="242729"/>
          <w:shd w:val="clear" w:color="auto" w:fill="FFFFFF"/>
        </w:rPr>
        <w:t xml:space="preserve">.50, </w:t>
      </w:r>
      <w:r w:rsidR="00356816" w:rsidRPr="003704AC">
        <w:rPr>
          <w:i/>
          <w:iCs/>
          <w:color w:val="242729"/>
          <w:shd w:val="clear" w:color="auto" w:fill="FFFFFF"/>
        </w:rPr>
        <w:t>SE</w:t>
      </w:r>
      <w:r w:rsidR="00356816" w:rsidRPr="003704AC">
        <w:rPr>
          <w:color w:val="242729"/>
          <w:shd w:val="clear" w:color="auto" w:fill="FFFFFF"/>
        </w:rPr>
        <w:t xml:space="preserve"> = .22, </w:t>
      </w:r>
      <w:r w:rsidR="00356816" w:rsidRPr="003704AC">
        <w:rPr>
          <w:i/>
          <w:iCs/>
          <w:color w:val="242729"/>
          <w:shd w:val="clear" w:color="auto" w:fill="FFFFFF"/>
        </w:rPr>
        <w:t>t</w:t>
      </w:r>
      <w:r w:rsidR="00356816" w:rsidRPr="003704AC">
        <w:rPr>
          <w:color w:val="242729"/>
          <w:shd w:val="clear" w:color="auto" w:fill="FFFFFF"/>
        </w:rPr>
        <w:t xml:space="preserve"> = 2.30. Pledgers in Australia also consumed more meat compared to Germany, </w:t>
      </w:r>
      <w:r w:rsidR="00356816" w:rsidRPr="003704AC">
        <w:rPr>
          <w:i/>
          <w:iCs/>
          <w:color w:val="242729"/>
          <w:shd w:val="clear" w:color="auto" w:fill="FFFFFF"/>
          <w:lang w:val="el-GR"/>
        </w:rPr>
        <w:t>β</w:t>
      </w:r>
      <w:r w:rsidR="00356816" w:rsidRPr="003704AC">
        <w:rPr>
          <w:color w:val="242729"/>
          <w:shd w:val="clear" w:color="auto" w:fill="FFFFFF"/>
        </w:rPr>
        <w:t xml:space="preserve"> = 1.36, </w:t>
      </w:r>
      <w:r w:rsidR="00356816" w:rsidRPr="003704AC">
        <w:rPr>
          <w:i/>
          <w:iCs/>
          <w:color w:val="242729"/>
          <w:shd w:val="clear" w:color="auto" w:fill="FFFFFF"/>
        </w:rPr>
        <w:t>SE</w:t>
      </w:r>
      <w:r w:rsidR="00356816" w:rsidRPr="003704AC">
        <w:rPr>
          <w:color w:val="242729"/>
          <w:shd w:val="clear" w:color="auto" w:fill="FFFFFF"/>
        </w:rPr>
        <w:t xml:space="preserve"> = .21, </w:t>
      </w:r>
      <w:r w:rsidR="00356816" w:rsidRPr="003704AC">
        <w:rPr>
          <w:i/>
          <w:iCs/>
          <w:color w:val="242729"/>
          <w:shd w:val="clear" w:color="auto" w:fill="FFFFFF"/>
        </w:rPr>
        <w:t>t</w:t>
      </w:r>
      <w:r w:rsidR="00356816" w:rsidRPr="003704AC">
        <w:rPr>
          <w:color w:val="242729"/>
          <w:shd w:val="clear" w:color="auto" w:fill="FFFFFF"/>
        </w:rPr>
        <w:t xml:space="preserve"> = 6.68. </w:t>
      </w:r>
    </w:p>
    <w:p w14:paraId="30B144B6" w14:textId="77777777" w:rsidR="00356816" w:rsidRPr="003704AC" w:rsidRDefault="00356816" w:rsidP="007D1D8F">
      <w:pPr>
        <w:spacing w:line="480" w:lineRule="auto"/>
        <w:rPr>
          <w:color w:val="242729"/>
          <w:shd w:val="clear" w:color="auto" w:fill="FFFFFF"/>
        </w:rPr>
      </w:pPr>
    </w:p>
    <w:p w14:paraId="51785B53" w14:textId="77777777" w:rsidR="00356816" w:rsidRPr="0058443A" w:rsidRDefault="00356816" w:rsidP="00356816">
      <w:pPr>
        <w:spacing w:line="480" w:lineRule="auto"/>
        <w:rPr>
          <w:color w:val="000000"/>
        </w:rPr>
      </w:pPr>
      <w:r w:rsidRPr="0058443A">
        <w:rPr>
          <w:b/>
          <w:bCs/>
          <w:iCs/>
          <w:color w:val="000000"/>
        </w:rPr>
        <w:lastRenderedPageBreak/>
        <w:t>Figure 1</w:t>
      </w:r>
    </w:p>
    <w:p w14:paraId="11546A74" w14:textId="5C892264" w:rsidR="00356816" w:rsidRPr="003704AC" w:rsidRDefault="008742D8" w:rsidP="00356816">
      <w:pPr>
        <w:spacing w:line="480" w:lineRule="auto"/>
        <w:rPr>
          <w:i/>
        </w:rPr>
      </w:pPr>
      <w:r w:rsidRPr="003704AC">
        <w:rPr>
          <w:i/>
          <w:color w:val="000000"/>
        </w:rPr>
        <w:t>Interactive</w:t>
      </w:r>
      <w:r w:rsidR="00356816" w:rsidRPr="003704AC">
        <w:rPr>
          <w:i/>
          <w:color w:val="000000"/>
        </w:rPr>
        <w:t xml:space="preserve"> effects of Pledge and Country on Daily Meat Consumption. </w:t>
      </w:r>
      <w:r w:rsidRPr="003704AC">
        <w:rPr>
          <w:i/>
          <w:color w:val="242729"/>
          <w:shd w:val="clear" w:color="auto" w:fill="FFFFFF"/>
        </w:rPr>
        <w:t xml:space="preserve">Zero </w:t>
      </w:r>
      <w:r w:rsidR="00E36EED">
        <w:rPr>
          <w:i/>
          <w:color w:val="242729"/>
          <w:shd w:val="clear" w:color="auto" w:fill="FFFFFF"/>
        </w:rPr>
        <w:t xml:space="preserve">(bottom of y-axis) </w:t>
      </w:r>
      <w:r w:rsidRPr="003704AC">
        <w:rPr>
          <w:i/>
          <w:color w:val="242729"/>
          <w:shd w:val="clear" w:color="auto" w:fill="FFFFFF"/>
        </w:rPr>
        <w:t>represents</w:t>
      </w:r>
      <w:r w:rsidR="00356816" w:rsidRPr="003704AC">
        <w:rPr>
          <w:i/>
          <w:color w:val="242729"/>
          <w:shd w:val="clear" w:color="auto" w:fill="FFFFFF"/>
        </w:rPr>
        <w:t xml:space="preserve"> a tendency to consume </w:t>
      </w:r>
      <w:r w:rsidR="007D15BA" w:rsidRPr="003704AC">
        <w:rPr>
          <w:i/>
          <w:color w:val="242729"/>
          <w:shd w:val="clear" w:color="auto" w:fill="FFFFFF"/>
        </w:rPr>
        <w:t xml:space="preserve">no </w:t>
      </w:r>
      <w:r w:rsidR="00356816" w:rsidRPr="003704AC">
        <w:rPr>
          <w:i/>
          <w:color w:val="242729"/>
          <w:shd w:val="clear" w:color="auto" w:fill="FFFFFF"/>
        </w:rPr>
        <w:t>meat</w:t>
      </w:r>
      <w:r w:rsidR="00D0788E" w:rsidRPr="003704AC">
        <w:rPr>
          <w:i/>
          <w:color w:val="242729"/>
          <w:shd w:val="clear" w:color="auto" w:fill="FFFFFF"/>
        </w:rPr>
        <w:t xml:space="preserve"> </w:t>
      </w:r>
      <w:r w:rsidR="00356816" w:rsidRPr="003704AC">
        <w:rPr>
          <w:i/>
          <w:color w:val="242729"/>
          <w:shd w:val="clear" w:color="auto" w:fill="FFFFFF"/>
        </w:rPr>
        <w:t xml:space="preserve">on a given day. </w:t>
      </w:r>
      <w:r w:rsidR="00356816" w:rsidRPr="003704AC">
        <w:rPr>
          <w:i/>
          <w:color w:val="000000"/>
        </w:rPr>
        <w:t xml:space="preserve"> Error bars ±1 SD</w:t>
      </w:r>
    </w:p>
    <w:p w14:paraId="4EA6A90E" w14:textId="13F93424" w:rsidR="000459ED" w:rsidRPr="003704AC" w:rsidRDefault="008742D8" w:rsidP="000459ED">
      <w:r w:rsidRPr="003704AC">
        <w:rPr>
          <w:noProof/>
        </w:rPr>
        <w:drawing>
          <wp:inline distT="0" distB="0" distL="0" distR="0" wp14:anchorId="3AEA01B2" wp14:editId="21BCACF8">
            <wp:extent cx="5727700" cy="3575050"/>
            <wp:effectExtent l="0" t="0" r="0" b="635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27700" cy="3575050"/>
                    </a:xfrm>
                    <a:prstGeom prst="rect">
                      <a:avLst/>
                    </a:prstGeom>
                  </pic:spPr>
                </pic:pic>
              </a:graphicData>
            </a:graphic>
          </wp:inline>
        </w:drawing>
      </w:r>
    </w:p>
    <w:p w14:paraId="5C62421E" w14:textId="331A5E3C" w:rsidR="000459ED" w:rsidRPr="003704AC" w:rsidRDefault="000459ED" w:rsidP="00356816"/>
    <w:p w14:paraId="408F5A75" w14:textId="77777777" w:rsidR="000459ED" w:rsidRPr="003704AC" w:rsidRDefault="000459ED" w:rsidP="000459ED">
      <w:pPr>
        <w:spacing w:after="240"/>
      </w:pPr>
    </w:p>
    <w:p w14:paraId="0A9BBC5B" w14:textId="4A1BEC9C" w:rsidR="000459ED" w:rsidRPr="003704AC" w:rsidRDefault="00897D6C" w:rsidP="00660CDC">
      <w:pPr>
        <w:spacing w:line="480" w:lineRule="auto"/>
        <w:ind w:firstLine="720"/>
        <w:rPr>
          <w:color w:val="242729"/>
          <w:shd w:val="clear" w:color="auto" w:fill="FFFFFF"/>
        </w:rPr>
      </w:pPr>
      <w:r w:rsidRPr="0058443A">
        <w:rPr>
          <w:color w:val="242729"/>
          <w:shd w:val="clear" w:color="auto" w:fill="FFFFFF"/>
        </w:rPr>
        <w:t xml:space="preserve">In sum, </w:t>
      </w:r>
      <w:r w:rsidR="00EE3287" w:rsidRPr="0058443A">
        <w:rPr>
          <w:color w:val="242729"/>
          <w:shd w:val="clear" w:color="auto" w:fill="FFFFFF"/>
        </w:rPr>
        <w:t>the</w:t>
      </w:r>
      <w:r w:rsidRPr="0058443A">
        <w:rPr>
          <w:color w:val="242729"/>
          <w:shd w:val="clear" w:color="auto" w:fill="FFFFFF"/>
        </w:rPr>
        <w:t xml:space="preserve"> </w:t>
      </w:r>
      <w:r w:rsidR="00EE3287" w:rsidRPr="0058443A">
        <w:rPr>
          <w:color w:val="242729"/>
          <w:shd w:val="clear" w:color="auto" w:fill="FFFFFF"/>
        </w:rPr>
        <w:t>pledge intervention produced significant reductions in meat consumption in all three samples, compared to control, though the German site showed the greatest levels of reduction</w:t>
      </w:r>
      <w:r w:rsidR="00EE3287" w:rsidRPr="003704AC">
        <w:rPr>
          <w:color w:val="242729"/>
          <w:shd w:val="clear" w:color="auto" w:fill="FFFFFF"/>
        </w:rPr>
        <w:t xml:space="preserve">. </w:t>
      </w:r>
    </w:p>
    <w:p w14:paraId="3A7C2180" w14:textId="41CB1061" w:rsidR="000459ED" w:rsidRPr="003704AC" w:rsidRDefault="000459ED" w:rsidP="000459ED">
      <w:pPr>
        <w:spacing w:line="480" w:lineRule="auto"/>
        <w:rPr>
          <w:b/>
          <w:bCs/>
          <w:i/>
          <w:iCs/>
          <w:color w:val="000000"/>
        </w:rPr>
      </w:pPr>
      <w:r w:rsidRPr="003704AC">
        <w:rPr>
          <w:b/>
          <w:bCs/>
          <w:i/>
          <w:iCs/>
          <w:color w:val="000000"/>
        </w:rPr>
        <w:t xml:space="preserve">3.2.2 Changes in Meat Consumption </w:t>
      </w:r>
    </w:p>
    <w:p w14:paraId="0C4EB01F" w14:textId="79EF3237" w:rsidR="003E6449" w:rsidRPr="003704AC" w:rsidRDefault="000459ED" w:rsidP="000459ED">
      <w:pPr>
        <w:spacing w:line="480" w:lineRule="auto"/>
        <w:ind w:firstLine="720"/>
        <w:rPr>
          <w:color w:val="000000"/>
        </w:rPr>
      </w:pPr>
      <w:r w:rsidRPr="0058443A">
        <w:rPr>
          <w:color w:val="000000"/>
        </w:rPr>
        <w:t>Hypothesis 2a was also tested in terms of changes in meat consumption, comparing 24-hour meat consumption levels at intake, outtake and 1-month follow-up.</w:t>
      </w:r>
      <w:r w:rsidRPr="003704AC">
        <w:rPr>
          <w:color w:val="000000"/>
        </w:rPr>
        <w:t xml:space="preserve"> Because 24-hour meat consumption was positively skewed</w:t>
      </w:r>
      <w:r w:rsidR="00D005FF" w:rsidRPr="003704AC">
        <w:rPr>
          <w:color w:val="000000"/>
        </w:rPr>
        <w:t xml:space="preserve"> (Skewness = 4.57, SE = 0.06)</w:t>
      </w:r>
      <w:r w:rsidRPr="003704AC">
        <w:rPr>
          <w:color w:val="000000"/>
        </w:rPr>
        <w:t xml:space="preserve">, we conducted a comparison of distribution fit, which showed that a log-normal distribution best fit the data, compared to other distributions (AICs: Log-Normal = </w:t>
      </w:r>
      <w:r w:rsidR="00F163A1" w:rsidRPr="003704AC">
        <w:rPr>
          <w:color w:val="000000"/>
        </w:rPr>
        <w:t>3135.46</w:t>
      </w:r>
      <w:r w:rsidRPr="0058443A">
        <w:rPr>
          <w:color w:val="000000"/>
        </w:rPr>
        <w:t xml:space="preserve">; Normal = </w:t>
      </w:r>
      <w:r w:rsidR="00F163A1" w:rsidRPr="0058443A">
        <w:rPr>
          <w:color w:val="000000"/>
        </w:rPr>
        <w:t>3762.80</w:t>
      </w:r>
      <w:r w:rsidRPr="0058443A">
        <w:rPr>
          <w:color w:val="000000"/>
        </w:rPr>
        <w:t xml:space="preserve">; </w:t>
      </w:r>
      <w:r w:rsidR="00F163A1" w:rsidRPr="0058443A">
        <w:rPr>
          <w:color w:val="000000"/>
        </w:rPr>
        <w:t>Gamma</w:t>
      </w:r>
      <w:r w:rsidRPr="0058443A">
        <w:rPr>
          <w:color w:val="000000"/>
        </w:rPr>
        <w:t xml:space="preserve"> = </w:t>
      </w:r>
      <w:r w:rsidR="00F163A1" w:rsidRPr="0058443A">
        <w:rPr>
          <w:color w:val="000000"/>
        </w:rPr>
        <w:t>3306.91</w:t>
      </w:r>
      <w:r w:rsidRPr="0058443A">
        <w:rPr>
          <w:color w:val="000000"/>
        </w:rPr>
        <w:t xml:space="preserve">; Poisson = </w:t>
      </w:r>
      <w:r w:rsidR="00F163A1" w:rsidRPr="0058443A">
        <w:rPr>
          <w:color w:val="000000"/>
        </w:rPr>
        <w:t>3759.61</w:t>
      </w:r>
      <w:r w:rsidRPr="0058443A">
        <w:rPr>
          <w:color w:val="000000"/>
        </w:rPr>
        <w:t xml:space="preserve">; Neg Binomial = </w:t>
      </w:r>
      <w:r w:rsidR="00F163A1" w:rsidRPr="0058443A">
        <w:rPr>
          <w:color w:val="000000"/>
        </w:rPr>
        <w:t>3761.61</w:t>
      </w:r>
      <w:r w:rsidRPr="003704AC">
        <w:rPr>
          <w:color w:val="000000"/>
        </w:rPr>
        <w:t xml:space="preserve">). </w:t>
      </w:r>
      <w:r w:rsidR="003E6449" w:rsidRPr="003704AC">
        <w:rPr>
          <w:color w:val="000000"/>
        </w:rPr>
        <w:t>Therefore, we conducted a mixed-effect log-linear regression where meat consumption had been log transformed.</w:t>
      </w:r>
      <w:r w:rsidR="003E6449" w:rsidRPr="0058443A">
        <w:rPr>
          <w:color w:val="000000"/>
        </w:rPr>
        <w:t xml:space="preserve"> Since </w:t>
      </w:r>
      <w:r w:rsidR="003E6449" w:rsidRPr="0058443A">
        <w:rPr>
          <w:color w:val="000000"/>
        </w:rPr>
        <w:lastRenderedPageBreak/>
        <w:t>Hypothesis 2a relates to the main effect of Pledge, and the interaction of Pledge x Timepoint</w:t>
      </w:r>
      <w:r w:rsidR="003E6449" w:rsidRPr="003704AC">
        <w:rPr>
          <w:color w:val="000000"/>
        </w:rPr>
        <w:t>, we tested a model of</w:t>
      </w:r>
      <w:r w:rsidR="003E6449" w:rsidRPr="0058443A">
        <w:rPr>
          <w:color w:val="000000"/>
        </w:rPr>
        <w:t xml:space="preserve"> Pledge, Timepoint (intake, outtake, follow-up), and their interaction, as fixed effects, and Subjects as a random effect</w:t>
      </w:r>
      <w:r w:rsidR="003E6449" w:rsidRPr="003704AC">
        <w:rPr>
          <w:color w:val="000000"/>
        </w:rPr>
        <w:t>.</w:t>
      </w:r>
    </w:p>
    <w:p w14:paraId="546FFCCE" w14:textId="43F2534B" w:rsidR="00F163A1" w:rsidRPr="0058443A" w:rsidRDefault="000459ED" w:rsidP="000459ED">
      <w:pPr>
        <w:spacing w:line="480" w:lineRule="auto"/>
        <w:ind w:firstLine="720"/>
      </w:pPr>
      <w:r w:rsidRPr="0058443A">
        <w:rPr>
          <w:color w:val="000000"/>
        </w:rPr>
        <w:t xml:space="preserve">This model showed significant improvement over the Intercept-only model, </w:t>
      </w:r>
      <w:r w:rsidRPr="0058443A">
        <w:rPr>
          <w:lang w:val="el-GR"/>
        </w:rPr>
        <w:t>χ</w:t>
      </w:r>
      <w:r w:rsidRPr="0058443A">
        <w:rPr>
          <w:vertAlign w:val="superscript"/>
        </w:rPr>
        <w:t>2</w:t>
      </w:r>
      <w:r w:rsidRPr="0058443A">
        <w:t xml:space="preserve">(5) =15.59, </w:t>
      </w:r>
      <w:r w:rsidRPr="0058443A">
        <w:rPr>
          <w:i/>
        </w:rPr>
        <w:t>p</w:t>
      </w:r>
      <w:r w:rsidRPr="0058443A">
        <w:t xml:space="preserve"> = .01. Adding Subjects as a random effect was justified; compared to the model without, the model with Subjects had a </w:t>
      </w:r>
      <w:r w:rsidR="00F163A1" w:rsidRPr="0058443A">
        <w:t>better</w:t>
      </w:r>
      <w:r w:rsidRPr="0058443A">
        <w:t xml:space="preserve"> fit, </w:t>
      </w:r>
      <w:r w:rsidRPr="0058443A">
        <w:rPr>
          <w:lang w:val="el-GR"/>
        </w:rPr>
        <w:t>χ</w:t>
      </w:r>
      <w:r w:rsidRPr="0058443A">
        <w:rPr>
          <w:vertAlign w:val="superscript"/>
        </w:rPr>
        <w:t>2</w:t>
      </w:r>
      <w:r w:rsidRPr="0058443A">
        <w:t xml:space="preserve">(1) = 46.12, </w:t>
      </w:r>
      <w:r w:rsidRPr="0058443A">
        <w:rPr>
          <w:i/>
        </w:rPr>
        <w:t>p</w:t>
      </w:r>
      <w:r w:rsidRPr="0058443A">
        <w:t xml:space="preserve"> &lt;.001. </w:t>
      </w:r>
      <w:r w:rsidR="00F163A1" w:rsidRPr="003704AC">
        <w:t xml:space="preserve">When fitting this model, using </w:t>
      </w:r>
      <w:r w:rsidR="003A1564" w:rsidRPr="003704AC">
        <w:t>i</w:t>
      </w:r>
      <w:r w:rsidR="00F163A1" w:rsidRPr="003704AC">
        <w:t xml:space="preserve">ntake </w:t>
      </w:r>
      <w:r w:rsidR="00E57893" w:rsidRPr="003704AC">
        <w:t xml:space="preserve">(our baseline) </w:t>
      </w:r>
      <w:r w:rsidR="00F163A1" w:rsidRPr="003704AC">
        <w:t>as the reference</w:t>
      </w:r>
      <w:r w:rsidR="003E6449" w:rsidRPr="003704AC">
        <w:t xml:space="preserve"> level</w:t>
      </w:r>
      <w:r w:rsidR="00F163A1" w:rsidRPr="003704AC">
        <w:t xml:space="preserve"> for Timepoint, we found a significant interaction of Pledge x Timepoint, such that participants in the pledge condition reported lower meat consumption at outtake compared to intake, </w:t>
      </w:r>
      <w:r w:rsidR="00F163A1" w:rsidRPr="003704AC">
        <w:rPr>
          <w:i/>
          <w:lang w:val="el-GR"/>
        </w:rPr>
        <w:t>β</w:t>
      </w:r>
      <w:r w:rsidR="00F163A1" w:rsidRPr="003704AC">
        <w:t xml:space="preserve"> = -0.02, </w:t>
      </w:r>
      <w:r w:rsidR="00F163A1" w:rsidRPr="003704AC">
        <w:rPr>
          <w:i/>
        </w:rPr>
        <w:t>SE</w:t>
      </w:r>
      <w:r w:rsidR="00F163A1" w:rsidRPr="003704AC">
        <w:t xml:space="preserve"> = .01, </w:t>
      </w:r>
      <w:r w:rsidR="00F163A1" w:rsidRPr="003704AC">
        <w:rPr>
          <w:i/>
        </w:rPr>
        <w:t>t</w:t>
      </w:r>
      <w:r w:rsidR="00F163A1" w:rsidRPr="003704AC">
        <w:t xml:space="preserve"> = -2.36, </w:t>
      </w:r>
      <w:r w:rsidR="00F163A1" w:rsidRPr="003704AC">
        <w:rPr>
          <w:i/>
        </w:rPr>
        <w:t>p</w:t>
      </w:r>
      <w:r w:rsidR="00F163A1" w:rsidRPr="003704AC">
        <w:t xml:space="preserve"> = .02, 95%CI [-0.04, -0.004], but no difference in meat consumption between follow-up and intake, </w:t>
      </w:r>
      <w:r w:rsidR="00F163A1" w:rsidRPr="003704AC">
        <w:rPr>
          <w:i/>
          <w:lang w:val="el-GR"/>
        </w:rPr>
        <w:t>β</w:t>
      </w:r>
      <w:r w:rsidR="00F163A1" w:rsidRPr="003704AC">
        <w:t xml:space="preserve"> = 0.01, </w:t>
      </w:r>
      <w:r w:rsidR="00F163A1" w:rsidRPr="003704AC">
        <w:rPr>
          <w:i/>
        </w:rPr>
        <w:t>SE</w:t>
      </w:r>
      <w:r w:rsidR="00F163A1" w:rsidRPr="003704AC">
        <w:t xml:space="preserve"> = .01, </w:t>
      </w:r>
      <w:r w:rsidR="00F163A1" w:rsidRPr="003704AC">
        <w:rPr>
          <w:i/>
        </w:rPr>
        <w:t>t</w:t>
      </w:r>
      <w:r w:rsidR="00F163A1" w:rsidRPr="003704AC">
        <w:t xml:space="preserve"> = </w:t>
      </w:r>
      <w:r w:rsidR="00734028" w:rsidRPr="003704AC">
        <w:t>0</w:t>
      </w:r>
      <w:r w:rsidR="00F163A1" w:rsidRPr="003704AC">
        <w:t xml:space="preserve">.74, </w:t>
      </w:r>
      <w:r w:rsidR="00F163A1" w:rsidRPr="003704AC">
        <w:rPr>
          <w:i/>
        </w:rPr>
        <w:t>p</w:t>
      </w:r>
      <w:r w:rsidR="00F163A1" w:rsidRPr="003704AC">
        <w:t xml:space="preserve"> = .46, 95%CI [-0.01, 0.03]. The variance for the random effect was</w:t>
      </w:r>
      <w:r w:rsidR="003E6449" w:rsidRPr="003704AC">
        <w:t xml:space="preserve"> very low</w:t>
      </w:r>
      <w:r w:rsidR="00734028" w:rsidRPr="003704AC">
        <w:t xml:space="preserve"> =</w:t>
      </w:r>
      <w:r w:rsidR="00F163A1" w:rsidRPr="003704AC">
        <w:t xml:space="preserve"> .004 (</w:t>
      </w:r>
      <w:r w:rsidR="00F163A1" w:rsidRPr="003704AC">
        <w:rPr>
          <w:i/>
          <w:iCs/>
        </w:rPr>
        <w:t>SD</w:t>
      </w:r>
      <w:r w:rsidR="00F163A1" w:rsidRPr="003704AC">
        <w:t xml:space="preserve"> = </w:t>
      </w:r>
      <w:r w:rsidR="00861A11" w:rsidRPr="003704AC">
        <w:t>0</w:t>
      </w:r>
      <w:r w:rsidR="00F163A1" w:rsidRPr="003704AC">
        <w:t>.06) and ICC was .26 [pseudo_R</w:t>
      </w:r>
      <w:r w:rsidR="00F163A1" w:rsidRPr="003704AC">
        <w:rPr>
          <w:vertAlign w:val="superscript"/>
        </w:rPr>
        <w:t>2</w:t>
      </w:r>
      <w:r w:rsidR="00F163A1" w:rsidRPr="003704AC">
        <w:t xml:space="preserve"> (total) = .27]</w:t>
      </w:r>
      <w:r w:rsidR="00345F8D" w:rsidRPr="003704AC">
        <w:t>.</w:t>
      </w:r>
    </w:p>
    <w:p w14:paraId="69657B8F" w14:textId="7FB6F3ED" w:rsidR="003A1564" w:rsidRPr="003704AC" w:rsidRDefault="000459ED" w:rsidP="003A1564">
      <w:pPr>
        <w:spacing w:line="480" w:lineRule="auto"/>
        <w:ind w:firstLine="720"/>
        <w:rPr>
          <w:color w:val="000000"/>
        </w:rPr>
      </w:pPr>
      <w:r w:rsidRPr="0058443A">
        <w:t xml:space="preserve">Next, for exploratory purposes, we added variables to the model unrelated to Hypothesis 2a. Adding Country and CO to the model as fixed effects further improved model fit, </w:t>
      </w:r>
      <w:r w:rsidRPr="0058443A">
        <w:rPr>
          <w:lang w:val="el-GR"/>
        </w:rPr>
        <w:t>χ</w:t>
      </w:r>
      <w:r w:rsidRPr="0058443A">
        <w:rPr>
          <w:vertAlign w:val="superscript"/>
        </w:rPr>
        <w:t>2</w:t>
      </w:r>
      <w:r w:rsidRPr="0058443A">
        <w:t xml:space="preserve">(3) =66.89, </w:t>
      </w:r>
      <w:r w:rsidRPr="0058443A">
        <w:rPr>
          <w:i/>
        </w:rPr>
        <w:t>p</w:t>
      </w:r>
      <w:r w:rsidRPr="0058443A">
        <w:t xml:space="preserve"> &lt; .001. But adding the interaction between Pledge x CO, </w:t>
      </w:r>
      <w:r w:rsidRPr="0058443A">
        <w:rPr>
          <w:lang w:val="el-GR"/>
        </w:rPr>
        <w:t>χ</w:t>
      </w:r>
      <w:r w:rsidRPr="0058443A">
        <w:rPr>
          <w:vertAlign w:val="superscript"/>
        </w:rPr>
        <w:t>2</w:t>
      </w:r>
      <w:r w:rsidRPr="0058443A">
        <w:t xml:space="preserve">(1) =0.76, </w:t>
      </w:r>
      <w:r w:rsidRPr="0058443A">
        <w:rPr>
          <w:i/>
        </w:rPr>
        <w:t>p</w:t>
      </w:r>
      <w:r w:rsidRPr="0058443A">
        <w:t xml:space="preserve"> = .39</w:t>
      </w:r>
      <w:r w:rsidR="00BE3E0F" w:rsidRPr="0058443A">
        <w:t>, and Pledge x Country,</w:t>
      </w:r>
      <w:r w:rsidR="00BE3E0F" w:rsidRPr="0058443A">
        <w:rPr>
          <w:lang w:val="en-GB"/>
        </w:rPr>
        <w:t xml:space="preserve"> </w:t>
      </w:r>
      <w:r w:rsidR="00BE3E0F" w:rsidRPr="0058443A">
        <w:rPr>
          <w:lang w:val="el-GR"/>
        </w:rPr>
        <w:t>χ</w:t>
      </w:r>
      <w:r w:rsidR="00BE3E0F" w:rsidRPr="0058443A">
        <w:rPr>
          <w:vertAlign w:val="superscript"/>
        </w:rPr>
        <w:t>2</w:t>
      </w:r>
      <w:r w:rsidR="00BE3E0F" w:rsidRPr="0058443A">
        <w:t xml:space="preserve">(2) =0.28, </w:t>
      </w:r>
      <w:r w:rsidR="00BE3E0F" w:rsidRPr="0058443A">
        <w:rPr>
          <w:i/>
        </w:rPr>
        <w:t>p</w:t>
      </w:r>
      <w:r w:rsidR="00BE3E0F" w:rsidRPr="0058443A">
        <w:t xml:space="preserve"> = .87, did not</w:t>
      </w:r>
      <w:r w:rsidRPr="0058443A">
        <w:t xml:space="preserve">. </w:t>
      </w:r>
      <w:r w:rsidR="003A1564" w:rsidRPr="0058443A">
        <w:rPr>
          <w:color w:val="000000"/>
        </w:rPr>
        <w:t>Since the previous model indicated significant changes in meat consumption between the intake and outtake, but not between intake and follow-up, the final model was fitted using outtake as the reference level. Table 3 depicts the estimates of the final model.</w:t>
      </w:r>
      <w:r w:rsidR="003A1564" w:rsidRPr="003704AC">
        <w:rPr>
          <w:color w:val="000000"/>
        </w:rPr>
        <w:t xml:space="preserve"> </w:t>
      </w:r>
    </w:p>
    <w:p w14:paraId="6F3103C3" w14:textId="7E6DF81A" w:rsidR="00E57893" w:rsidRPr="003704AC" w:rsidRDefault="000459ED" w:rsidP="003A1564">
      <w:pPr>
        <w:spacing w:line="480" w:lineRule="auto"/>
        <w:ind w:firstLine="720"/>
      </w:pPr>
      <w:r w:rsidRPr="0058443A">
        <w:rPr>
          <w:color w:val="000000"/>
        </w:rPr>
        <w:t>As with daily meat consumption, there were significant main effects of Pledge and Country: participants in the Pledge condition reported less meat consumption than control participants; and German participants reported less meat consumption than UK and Australian participants.</w:t>
      </w:r>
      <w:r w:rsidRPr="003704AC">
        <w:rPr>
          <w:color w:val="000000"/>
        </w:rPr>
        <w:t xml:space="preserve"> The interaction of Pledge x Timepoint was significant</w:t>
      </w:r>
      <w:r w:rsidR="003A1564" w:rsidRPr="003704AC">
        <w:rPr>
          <w:color w:val="000000"/>
        </w:rPr>
        <w:t xml:space="preserve"> and showed that pledgers at outtake reported less meat consumption compared to intake</w:t>
      </w:r>
      <w:r w:rsidR="00E57893" w:rsidRPr="003704AC">
        <w:rPr>
          <w:color w:val="000000"/>
        </w:rPr>
        <w:t xml:space="preserve"> </w:t>
      </w:r>
      <w:r w:rsidR="003A1564" w:rsidRPr="003704AC">
        <w:rPr>
          <w:color w:val="000000"/>
        </w:rPr>
        <w:t>and follow-up</w:t>
      </w:r>
      <w:r w:rsidR="00DE6985" w:rsidRPr="003704AC">
        <w:rPr>
          <w:color w:val="000000"/>
        </w:rPr>
        <w:t xml:space="preserve"> (see Supplemental Figure S2)</w:t>
      </w:r>
      <w:r w:rsidRPr="003704AC">
        <w:rPr>
          <w:color w:val="000000"/>
        </w:rPr>
        <w:t xml:space="preserve">. </w:t>
      </w:r>
      <w:r w:rsidR="00E57893" w:rsidRPr="003704AC">
        <w:rPr>
          <w:color w:val="000000"/>
        </w:rPr>
        <w:t xml:space="preserve">Meat consumption at intake and follow-up did not differ for </w:t>
      </w:r>
      <w:r w:rsidR="00E57893" w:rsidRPr="003704AC">
        <w:rPr>
          <w:color w:val="000000"/>
        </w:rPr>
        <w:lastRenderedPageBreak/>
        <w:t xml:space="preserve">pledgers, </w:t>
      </w:r>
      <w:r w:rsidR="00E57893" w:rsidRPr="003704AC">
        <w:rPr>
          <w:i/>
          <w:lang w:val="el-GR"/>
        </w:rPr>
        <w:t>β</w:t>
      </w:r>
      <w:r w:rsidR="00E57893" w:rsidRPr="003704AC">
        <w:t xml:space="preserve"> = -0.01, </w:t>
      </w:r>
      <w:r w:rsidR="00E57893" w:rsidRPr="003704AC">
        <w:rPr>
          <w:i/>
        </w:rPr>
        <w:t>SE</w:t>
      </w:r>
      <w:r w:rsidR="00E57893" w:rsidRPr="003704AC">
        <w:t xml:space="preserve"> = .01, </w:t>
      </w:r>
      <w:r w:rsidR="00E57893" w:rsidRPr="003704AC">
        <w:rPr>
          <w:i/>
        </w:rPr>
        <w:t>t</w:t>
      </w:r>
      <w:r w:rsidR="00E57893" w:rsidRPr="003704AC">
        <w:t xml:space="preserve"> = -0.87, </w:t>
      </w:r>
      <w:r w:rsidR="00E57893" w:rsidRPr="003704AC">
        <w:rPr>
          <w:i/>
        </w:rPr>
        <w:t>p</w:t>
      </w:r>
      <w:r w:rsidR="00E57893" w:rsidRPr="003704AC">
        <w:t xml:space="preserve"> = .39. By contrast, control participants showed no differences in meat consumption at intake and outtake, </w:t>
      </w:r>
      <w:r w:rsidR="00E57893" w:rsidRPr="003704AC">
        <w:rPr>
          <w:i/>
          <w:lang w:val="el-GR"/>
        </w:rPr>
        <w:t>β</w:t>
      </w:r>
      <w:r w:rsidR="00E57893" w:rsidRPr="003704AC">
        <w:t xml:space="preserve"> = -0.01, </w:t>
      </w:r>
      <w:r w:rsidR="00E57893" w:rsidRPr="003704AC">
        <w:rPr>
          <w:i/>
        </w:rPr>
        <w:t>SE</w:t>
      </w:r>
      <w:r w:rsidR="00E57893" w:rsidRPr="003704AC">
        <w:t xml:space="preserve"> = .01, </w:t>
      </w:r>
      <w:r w:rsidR="00E57893" w:rsidRPr="003704AC">
        <w:rPr>
          <w:i/>
        </w:rPr>
        <w:t>t</w:t>
      </w:r>
      <w:r w:rsidR="00E57893" w:rsidRPr="003704AC">
        <w:t xml:space="preserve"> = -0.71, </w:t>
      </w:r>
      <w:r w:rsidR="00E57893" w:rsidRPr="003704AC">
        <w:rPr>
          <w:i/>
        </w:rPr>
        <w:t>p</w:t>
      </w:r>
      <w:r w:rsidR="00E57893" w:rsidRPr="003704AC">
        <w:t xml:space="preserve"> = .48, or intake and follow-up, </w:t>
      </w:r>
      <w:r w:rsidR="00E57893" w:rsidRPr="003704AC">
        <w:rPr>
          <w:i/>
          <w:lang w:val="el-GR"/>
        </w:rPr>
        <w:t>β</w:t>
      </w:r>
      <w:r w:rsidR="00E57893" w:rsidRPr="003704AC">
        <w:t xml:space="preserve"> = -0.01, </w:t>
      </w:r>
      <w:r w:rsidR="00E57893" w:rsidRPr="003704AC">
        <w:rPr>
          <w:i/>
        </w:rPr>
        <w:t>SE</w:t>
      </w:r>
      <w:r w:rsidR="00E57893" w:rsidRPr="003704AC">
        <w:t xml:space="preserve"> = .01, </w:t>
      </w:r>
      <w:r w:rsidR="00E57893" w:rsidRPr="003704AC">
        <w:rPr>
          <w:i/>
        </w:rPr>
        <w:t>t</w:t>
      </w:r>
      <w:r w:rsidR="00E57893" w:rsidRPr="003704AC">
        <w:t xml:space="preserve"> = -1.92, </w:t>
      </w:r>
      <w:r w:rsidR="00E57893" w:rsidRPr="003704AC">
        <w:rPr>
          <w:i/>
        </w:rPr>
        <w:t>p</w:t>
      </w:r>
      <w:r w:rsidR="00E57893" w:rsidRPr="003704AC">
        <w:t xml:space="preserve"> = .06, though </w:t>
      </w:r>
      <w:r w:rsidR="00734028" w:rsidRPr="003704AC">
        <w:t>meat consumption was lower at</w:t>
      </w:r>
      <w:r w:rsidR="00E57893" w:rsidRPr="003704AC">
        <w:t xml:space="preserve"> follow-up</w:t>
      </w:r>
      <w:r w:rsidR="00734028" w:rsidRPr="003704AC">
        <w:t xml:space="preserve"> than outtake</w:t>
      </w:r>
      <w:r w:rsidR="00E57893" w:rsidRPr="003704AC">
        <w:t xml:space="preserve">, </w:t>
      </w:r>
      <w:r w:rsidR="00E57893" w:rsidRPr="003704AC">
        <w:rPr>
          <w:i/>
          <w:lang w:val="el-GR"/>
        </w:rPr>
        <w:t>β</w:t>
      </w:r>
      <w:r w:rsidR="00E57893" w:rsidRPr="003704AC">
        <w:t xml:space="preserve"> = -0.02, </w:t>
      </w:r>
      <w:r w:rsidR="00E57893" w:rsidRPr="003704AC">
        <w:rPr>
          <w:i/>
        </w:rPr>
        <w:t>SE</w:t>
      </w:r>
      <w:r w:rsidR="00E57893" w:rsidRPr="003704AC">
        <w:t xml:space="preserve"> = .01, </w:t>
      </w:r>
      <w:r w:rsidR="00E57893" w:rsidRPr="003704AC">
        <w:rPr>
          <w:i/>
        </w:rPr>
        <w:t>t</w:t>
      </w:r>
      <w:r w:rsidR="00E57893" w:rsidRPr="003704AC">
        <w:t xml:space="preserve"> = -2.57, </w:t>
      </w:r>
      <w:r w:rsidR="00E57893" w:rsidRPr="003704AC">
        <w:rPr>
          <w:i/>
        </w:rPr>
        <w:t>p</w:t>
      </w:r>
      <w:r w:rsidR="00E57893" w:rsidRPr="003704AC">
        <w:t xml:space="preserve"> = .01.</w:t>
      </w:r>
    </w:p>
    <w:p w14:paraId="2AE5D79A" w14:textId="77777777" w:rsidR="000459ED" w:rsidRPr="003704AC" w:rsidRDefault="000459ED" w:rsidP="000459ED">
      <w:pPr>
        <w:spacing w:line="480" w:lineRule="auto"/>
      </w:pPr>
      <w:r w:rsidRPr="0058443A">
        <w:rPr>
          <w:b/>
          <w:bCs/>
          <w:color w:val="000000"/>
        </w:rPr>
        <w:t>Table 3</w:t>
      </w:r>
    </w:p>
    <w:p w14:paraId="4E8CFBE5" w14:textId="77777777" w:rsidR="000459ED" w:rsidRPr="003704AC" w:rsidRDefault="000459ED" w:rsidP="000459ED">
      <w:pPr>
        <w:spacing w:line="480" w:lineRule="auto"/>
        <w:rPr>
          <w:i/>
          <w:iCs/>
        </w:rPr>
      </w:pPr>
      <w:r w:rsidRPr="003704AC">
        <w:rPr>
          <w:i/>
          <w:iCs/>
        </w:rPr>
        <w:t>Estimates for Mixed-Effect Model on 24-hour Meat Consumption at Intake, Outtake, and 1-month Follow-up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045"/>
        <w:gridCol w:w="627"/>
        <w:gridCol w:w="1043"/>
        <w:gridCol w:w="749"/>
        <w:gridCol w:w="1553"/>
      </w:tblGrid>
      <w:tr w:rsidR="000459ED" w:rsidRPr="003704AC" w14:paraId="0F6CE89E" w14:textId="77777777" w:rsidTr="002A14A1">
        <w:tc>
          <w:tcPr>
            <w:tcW w:w="0" w:type="auto"/>
            <w:tcBorders>
              <w:top w:val="single" w:sz="4" w:space="0" w:color="auto"/>
              <w:left w:val="nil"/>
              <w:bottom w:val="nil"/>
              <w:right w:val="nil"/>
            </w:tcBorders>
          </w:tcPr>
          <w:p w14:paraId="11A86EF0" w14:textId="77777777" w:rsidR="000459ED" w:rsidRPr="003704AC" w:rsidRDefault="000459ED" w:rsidP="002A14A1">
            <w:pPr>
              <w:jc w:val="center"/>
              <w:rPr>
                <w:rFonts w:ascii="Times New Roman" w:hAnsi="Times New Roman" w:cs="Times New Roman"/>
                <w:sz w:val="24"/>
                <w:szCs w:val="24"/>
              </w:rPr>
            </w:pPr>
            <w:r w:rsidRPr="003704AC">
              <w:t>Fixed Effects</w:t>
            </w:r>
          </w:p>
          <w:p w14:paraId="05B4B280"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0308CA8"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190A654"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549BF2F"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793827B1"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7A57A549" w14:textId="77777777" w:rsidR="000459ED" w:rsidRPr="003704AC" w:rsidRDefault="000459ED" w:rsidP="002A14A1">
            <w:pPr>
              <w:jc w:val="center"/>
              <w:rPr>
                <w:rFonts w:ascii="Times New Roman" w:hAnsi="Times New Roman" w:cs="Times New Roman"/>
                <w:sz w:val="24"/>
                <w:szCs w:val="24"/>
              </w:rPr>
            </w:pPr>
          </w:p>
        </w:tc>
      </w:tr>
      <w:tr w:rsidR="000459ED" w:rsidRPr="003704AC" w14:paraId="735CEB76" w14:textId="77777777" w:rsidTr="002A14A1">
        <w:tc>
          <w:tcPr>
            <w:tcW w:w="0" w:type="auto"/>
            <w:tcBorders>
              <w:top w:val="nil"/>
              <w:left w:val="nil"/>
              <w:bottom w:val="single" w:sz="4" w:space="0" w:color="auto"/>
              <w:right w:val="nil"/>
            </w:tcBorders>
          </w:tcPr>
          <w:p w14:paraId="6024BC0E"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7C4F49F0" w14:textId="77777777" w:rsidR="000459ED" w:rsidRPr="003704AC" w:rsidRDefault="000459ED" w:rsidP="002A14A1">
            <w:pPr>
              <w:jc w:val="center"/>
              <w:rPr>
                <w:rFonts w:ascii="Times New Roman" w:hAnsi="Times New Roman" w:cs="Times New Roman"/>
                <w:sz w:val="24"/>
                <w:szCs w:val="24"/>
              </w:rPr>
            </w:pPr>
            <w:r w:rsidRPr="003704AC">
              <w:t>Estimate</w:t>
            </w:r>
          </w:p>
          <w:p w14:paraId="08D468C3"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hideMark/>
          </w:tcPr>
          <w:p w14:paraId="57C3BBF5" w14:textId="77777777" w:rsidR="000459ED" w:rsidRPr="003704AC" w:rsidRDefault="000459ED" w:rsidP="002A14A1">
            <w:pPr>
              <w:jc w:val="center"/>
              <w:rPr>
                <w:rFonts w:ascii="Times New Roman" w:hAnsi="Times New Roman" w:cs="Times New Roman"/>
                <w:i/>
                <w:sz w:val="24"/>
                <w:szCs w:val="24"/>
              </w:rPr>
            </w:pPr>
            <w:r w:rsidRPr="003704AC">
              <w:rPr>
                <w:i/>
              </w:rPr>
              <w:t>SE</w:t>
            </w:r>
          </w:p>
        </w:tc>
        <w:tc>
          <w:tcPr>
            <w:tcW w:w="0" w:type="auto"/>
            <w:tcBorders>
              <w:top w:val="nil"/>
              <w:left w:val="nil"/>
              <w:bottom w:val="single" w:sz="4" w:space="0" w:color="auto"/>
              <w:right w:val="nil"/>
            </w:tcBorders>
            <w:hideMark/>
          </w:tcPr>
          <w:p w14:paraId="0B0E8BE9" w14:textId="77777777" w:rsidR="000459ED" w:rsidRPr="003704AC" w:rsidRDefault="000459ED" w:rsidP="002A14A1">
            <w:pPr>
              <w:jc w:val="center"/>
              <w:rPr>
                <w:rFonts w:ascii="Times New Roman" w:hAnsi="Times New Roman" w:cs="Times New Roman"/>
                <w:i/>
                <w:sz w:val="24"/>
                <w:szCs w:val="24"/>
              </w:rPr>
            </w:pPr>
            <w:r w:rsidRPr="003704AC">
              <w:rPr>
                <w:i/>
              </w:rPr>
              <w:t>t</w:t>
            </w:r>
          </w:p>
        </w:tc>
        <w:tc>
          <w:tcPr>
            <w:tcW w:w="0" w:type="auto"/>
            <w:tcBorders>
              <w:top w:val="nil"/>
              <w:left w:val="nil"/>
              <w:bottom w:val="single" w:sz="4" w:space="0" w:color="auto"/>
              <w:right w:val="nil"/>
            </w:tcBorders>
            <w:hideMark/>
          </w:tcPr>
          <w:p w14:paraId="481A1E52" w14:textId="77777777" w:rsidR="000459ED" w:rsidRPr="003704AC" w:rsidRDefault="000459ED" w:rsidP="002A14A1">
            <w:pPr>
              <w:jc w:val="center"/>
              <w:rPr>
                <w:rFonts w:ascii="Times New Roman" w:hAnsi="Times New Roman" w:cs="Times New Roman"/>
                <w:i/>
                <w:sz w:val="24"/>
                <w:szCs w:val="24"/>
              </w:rPr>
            </w:pPr>
            <w:r w:rsidRPr="003704AC">
              <w:rPr>
                <w:i/>
              </w:rPr>
              <w:t>p</w:t>
            </w:r>
          </w:p>
        </w:tc>
        <w:tc>
          <w:tcPr>
            <w:tcW w:w="0" w:type="auto"/>
            <w:tcBorders>
              <w:top w:val="nil"/>
              <w:left w:val="nil"/>
              <w:bottom w:val="single" w:sz="4" w:space="0" w:color="auto"/>
              <w:right w:val="nil"/>
            </w:tcBorders>
            <w:hideMark/>
          </w:tcPr>
          <w:p w14:paraId="2D09FDDE" w14:textId="77777777" w:rsidR="000459ED" w:rsidRPr="003704AC" w:rsidRDefault="000459ED" w:rsidP="002A14A1">
            <w:pPr>
              <w:jc w:val="center"/>
              <w:rPr>
                <w:rFonts w:ascii="Times New Roman" w:hAnsi="Times New Roman" w:cs="Times New Roman"/>
                <w:sz w:val="24"/>
                <w:szCs w:val="24"/>
              </w:rPr>
            </w:pPr>
            <w:r w:rsidRPr="003704AC">
              <w:t>95%CI</w:t>
            </w:r>
          </w:p>
        </w:tc>
      </w:tr>
      <w:tr w:rsidR="000459ED" w:rsidRPr="003704AC" w14:paraId="112DF3BF" w14:textId="77777777" w:rsidTr="002A14A1">
        <w:tc>
          <w:tcPr>
            <w:tcW w:w="0" w:type="auto"/>
            <w:tcBorders>
              <w:top w:val="single" w:sz="4" w:space="0" w:color="auto"/>
              <w:left w:val="nil"/>
              <w:bottom w:val="nil"/>
              <w:right w:val="nil"/>
            </w:tcBorders>
          </w:tcPr>
          <w:p w14:paraId="4EC20873" w14:textId="77777777" w:rsidR="000459ED" w:rsidRPr="003704AC" w:rsidRDefault="000459ED" w:rsidP="002A14A1">
            <w:pPr>
              <w:jc w:val="center"/>
              <w:rPr>
                <w:rFonts w:ascii="Times New Roman" w:hAnsi="Times New Roman" w:cs="Times New Roman"/>
                <w:sz w:val="24"/>
                <w:szCs w:val="24"/>
              </w:rPr>
            </w:pPr>
            <w:r w:rsidRPr="003704AC">
              <w:t>(Intercept)</w:t>
            </w:r>
          </w:p>
          <w:p w14:paraId="04CB03EA"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7B61DD34" w14:textId="77777777" w:rsidR="000459ED" w:rsidRPr="003704AC" w:rsidRDefault="000459ED" w:rsidP="002A14A1">
            <w:pPr>
              <w:jc w:val="center"/>
              <w:rPr>
                <w:rFonts w:ascii="Times New Roman" w:hAnsi="Times New Roman" w:cs="Times New Roman"/>
                <w:sz w:val="24"/>
                <w:szCs w:val="24"/>
              </w:rPr>
            </w:pPr>
            <w:r w:rsidRPr="003704AC">
              <w:t>1.93</w:t>
            </w:r>
          </w:p>
        </w:tc>
        <w:tc>
          <w:tcPr>
            <w:tcW w:w="0" w:type="auto"/>
            <w:tcBorders>
              <w:top w:val="single" w:sz="4" w:space="0" w:color="auto"/>
              <w:left w:val="nil"/>
              <w:bottom w:val="nil"/>
              <w:right w:val="nil"/>
            </w:tcBorders>
            <w:hideMark/>
          </w:tcPr>
          <w:p w14:paraId="747012BE" w14:textId="77777777" w:rsidR="000459ED" w:rsidRPr="003704AC" w:rsidRDefault="000459ED" w:rsidP="002A14A1">
            <w:pPr>
              <w:jc w:val="center"/>
              <w:rPr>
                <w:rFonts w:ascii="Times New Roman" w:hAnsi="Times New Roman" w:cs="Times New Roman"/>
                <w:sz w:val="24"/>
                <w:szCs w:val="24"/>
              </w:rPr>
            </w:pPr>
            <w:r w:rsidRPr="003704AC">
              <w:t xml:space="preserve">.03 </w:t>
            </w:r>
          </w:p>
        </w:tc>
        <w:tc>
          <w:tcPr>
            <w:tcW w:w="0" w:type="auto"/>
            <w:tcBorders>
              <w:top w:val="single" w:sz="4" w:space="0" w:color="auto"/>
              <w:left w:val="nil"/>
              <w:bottom w:val="nil"/>
              <w:right w:val="nil"/>
            </w:tcBorders>
            <w:hideMark/>
          </w:tcPr>
          <w:p w14:paraId="0A8BF0CC" w14:textId="77777777" w:rsidR="000459ED" w:rsidRPr="003704AC" w:rsidRDefault="000459ED" w:rsidP="002A14A1">
            <w:pPr>
              <w:jc w:val="center"/>
              <w:rPr>
                <w:rFonts w:ascii="Times New Roman" w:hAnsi="Times New Roman" w:cs="Times New Roman"/>
                <w:sz w:val="24"/>
                <w:szCs w:val="24"/>
              </w:rPr>
            </w:pPr>
            <w:r w:rsidRPr="003704AC">
              <w:t>62.59</w:t>
            </w:r>
          </w:p>
        </w:tc>
        <w:tc>
          <w:tcPr>
            <w:tcW w:w="0" w:type="auto"/>
            <w:tcBorders>
              <w:top w:val="single" w:sz="4" w:space="0" w:color="auto"/>
              <w:left w:val="nil"/>
              <w:bottom w:val="nil"/>
              <w:right w:val="nil"/>
            </w:tcBorders>
            <w:hideMark/>
          </w:tcPr>
          <w:p w14:paraId="35A179A2"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top w:val="single" w:sz="4" w:space="0" w:color="auto"/>
              <w:left w:val="nil"/>
              <w:bottom w:val="nil"/>
              <w:right w:val="nil"/>
            </w:tcBorders>
            <w:hideMark/>
          </w:tcPr>
          <w:p w14:paraId="0EC4062F" w14:textId="77777777" w:rsidR="000459ED" w:rsidRPr="003704AC" w:rsidRDefault="000459ED" w:rsidP="002A14A1">
            <w:pPr>
              <w:jc w:val="center"/>
              <w:rPr>
                <w:rFonts w:ascii="Times New Roman" w:hAnsi="Times New Roman" w:cs="Times New Roman"/>
                <w:sz w:val="24"/>
                <w:szCs w:val="24"/>
              </w:rPr>
            </w:pPr>
            <w:r w:rsidRPr="003704AC">
              <w:t>[1.86, 1.98]</w:t>
            </w:r>
          </w:p>
        </w:tc>
      </w:tr>
      <w:tr w:rsidR="000459ED" w:rsidRPr="003704AC" w14:paraId="6E5EADB0" w14:textId="77777777" w:rsidTr="002A14A1">
        <w:tc>
          <w:tcPr>
            <w:tcW w:w="0" w:type="auto"/>
          </w:tcPr>
          <w:p w14:paraId="2AECA27B" w14:textId="77777777" w:rsidR="000459ED" w:rsidRPr="003704AC" w:rsidRDefault="000459ED" w:rsidP="002A14A1">
            <w:pPr>
              <w:jc w:val="center"/>
              <w:rPr>
                <w:rFonts w:ascii="Times New Roman" w:hAnsi="Times New Roman" w:cs="Times New Roman"/>
                <w:sz w:val="24"/>
                <w:szCs w:val="24"/>
              </w:rPr>
            </w:pPr>
            <w:r w:rsidRPr="003704AC">
              <w:t>Pledge</w:t>
            </w:r>
          </w:p>
          <w:p w14:paraId="53221615" w14:textId="77777777" w:rsidR="000459ED" w:rsidRPr="003704AC" w:rsidRDefault="000459ED" w:rsidP="002A14A1">
            <w:pPr>
              <w:jc w:val="center"/>
              <w:rPr>
                <w:rFonts w:ascii="Times New Roman" w:hAnsi="Times New Roman" w:cs="Times New Roman"/>
                <w:sz w:val="24"/>
                <w:szCs w:val="24"/>
              </w:rPr>
            </w:pPr>
          </w:p>
        </w:tc>
        <w:tc>
          <w:tcPr>
            <w:tcW w:w="0" w:type="auto"/>
          </w:tcPr>
          <w:p w14:paraId="5DB615D1" w14:textId="77777777" w:rsidR="000459ED" w:rsidRPr="003704AC" w:rsidRDefault="000459ED" w:rsidP="002A14A1">
            <w:pPr>
              <w:jc w:val="center"/>
              <w:rPr>
                <w:rFonts w:ascii="Times New Roman" w:hAnsi="Times New Roman" w:cs="Times New Roman"/>
                <w:sz w:val="24"/>
                <w:szCs w:val="24"/>
              </w:rPr>
            </w:pPr>
            <w:r w:rsidRPr="003704AC">
              <w:t xml:space="preserve">-0.06 </w:t>
            </w:r>
          </w:p>
        </w:tc>
        <w:tc>
          <w:tcPr>
            <w:tcW w:w="0" w:type="auto"/>
          </w:tcPr>
          <w:p w14:paraId="2D6FEC3C" w14:textId="77777777" w:rsidR="000459ED" w:rsidRPr="003704AC" w:rsidRDefault="000459ED" w:rsidP="002A14A1">
            <w:pPr>
              <w:jc w:val="center"/>
              <w:rPr>
                <w:rFonts w:ascii="Times New Roman" w:hAnsi="Times New Roman" w:cs="Times New Roman"/>
                <w:sz w:val="24"/>
                <w:szCs w:val="24"/>
              </w:rPr>
            </w:pPr>
            <w:r w:rsidRPr="003704AC">
              <w:t xml:space="preserve">.02 </w:t>
            </w:r>
          </w:p>
        </w:tc>
        <w:tc>
          <w:tcPr>
            <w:tcW w:w="0" w:type="auto"/>
          </w:tcPr>
          <w:p w14:paraId="39C6968F" w14:textId="77777777" w:rsidR="000459ED" w:rsidRPr="003704AC" w:rsidRDefault="000459ED" w:rsidP="002A14A1">
            <w:pPr>
              <w:jc w:val="center"/>
              <w:rPr>
                <w:rFonts w:ascii="Times New Roman" w:hAnsi="Times New Roman" w:cs="Times New Roman"/>
                <w:sz w:val="24"/>
                <w:szCs w:val="24"/>
              </w:rPr>
            </w:pPr>
            <w:r w:rsidRPr="003704AC">
              <w:t>-3.21</w:t>
            </w:r>
          </w:p>
        </w:tc>
        <w:tc>
          <w:tcPr>
            <w:tcW w:w="0" w:type="auto"/>
          </w:tcPr>
          <w:p w14:paraId="128AC0D9" w14:textId="77777777" w:rsidR="000459ED" w:rsidRPr="003704AC" w:rsidRDefault="000459ED" w:rsidP="002A14A1">
            <w:pPr>
              <w:jc w:val="center"/>
              <w:rPr>
                <w:rFonts w:ascii="Times New Roman" w:hAnsi="Times New Roman" w:cs="Times New Roman"/>
                <w:sz w:val="24"/>
                <w:szCs w:val="24"/>
              </w:rPr>
            </w:pPr>
            <w:r w:rsidRPr="003704AC">
              <w:t>.001</w:t>
            </w:r>
          </w:p>
        </w:tc>
        <w:tc>
          <w:tcPr>
            <w:tcW w:w="0" w:type="auto"/>
          </w:tcPr>
          <w:p w14:paraId="7014F096" w14:textId="77777777" w:rsidR="000459ED" w:rsidRPr="003704AC" w:rsidRDefault="000459ED" w:rsidP="002A14A1">
            <w:pPr>
              <w:jc w:val="center"/>
              <w:rPr>
                <w:rFonts w:ascii="Times New Roman" w:hAnsi="Times New Roman" w:cs="Times New Roman"/>
                <w:sz w:val="24"/>
                <w:szCs w:val="24"/>
              </w:rPr>
            </w:pPr>
            <w:r w:rsidRPr="003704AC">
              <w:t>[-0.09, -0.02]</w:t>
            </w:r>
          </w:p>
        </w:tc>
      </w:tr>
      <w:tr w:rsidR="000459ED" w:rsidRPr="003704AC" w14:paraId="42B2A24D" w14:textId="77777777" w:rsidTr="002A14A1">
        <w:tc>
          <w:tcPr>
            <w:tcW w:w="0" w:type="auto"/>
          </w:tcPr>
          <w:p w14:paraId="413A3B3D" w14:textId="77777777" w:rsidR="000459ED" w:rsidRPr="003704AC" w:rsidRDefault="000459ED" w:rsidP="002A14A1">
            <w:pPr>
              <w:jc w:val="center"/>
              <w:rPr>
                <w:rFonts w:ascii="Times New Roman" w:hAnsi="Times New Roman" w:cs="Times New Roman"/>
                <w:sz w:val="24"/>
                <w:szCs w:val="24"/>
              </w:rPr>
            </w:pPr>
            <w:r w:rsidRPr="003704AC">
              <w:t>Intake</w:t>
            </w:r>
          </w:p>
          <w:p w14:paraId="71FF6833" w14:textId="77777777" w:rsidR="000459ED" w:rsidRPr="003704AC" w:rsidRDefault="000459ED" w:rsidP="002A14A1">
            <w:pPr>
              <w:jc w:val="center"/>
              <w:rPr>
                <w:rFonts w:ascii="Times New Roman" w:hAnsi="Times New Roman" w:cs="Times New Roman"/>
                <w:sz w:val="24"/>
                <w:szCs w:val="24"/>
              </w:rPr>
            </w:pPr>
          </w:p>
        </w:tc>
        <w:tc>
          <w:tcPr>
            <w:tcW w:w="0" w:type="auto"/>
            <w:hideMark/>
          </w:tcPr>
          <w:p w14:paraId="6E4D72F2" w14:textId="77777777" w:rsidR="000459ED" w:rsidRPr="003704AC" w:rsidRDefault="000459ED" w:rsidP="002A14A1">
            <w:pPr>
              <w:jc w:val="center"/>
              <w:rPr>
                <w:rFonts w:ascii="Times New Roman" w:hAnsi="Times New Roman" w:cs="Times New Roman"/>
                <w:sz w:val="24"/>
                <w:szCs w:val="24"/>
              </w:rPr>
            </w:pPr>
            <w:r w:rsidRPr="003704AC">
              <w:t xml:space="preserve">-0.01 </w:t>
            </w:r>
          </w:p>
        </w:tc>
        <w:tc>
          <w:tcPr>
            <w:tcW w:w="0" w:type="auto"/>
            <w:hideMark/>
          </w:tcPr>
          <w:p w14:paraId="2C3FA906" w14:textId="77777777" w:rsidR="000459ED" w:rsidRPr="003704AC" w:rsidRDefault="000459ED" w:rsidP="002A14A1">
            <w:pPr>
              <w:jc w:val="center"/>
              <w:rPr>
                <w:rFonts w:ascii="Times New Roman" w:hAnsi="Times New Roman" w:cs="Times New Roman"/>
                <w:sz w:val="24"/>
                <w:szCs w:val="24"/>
              </w:rPr>
            </w:pPr>
            <w:r w:rsidRPr="003704AC">
              <w:t xml:space="preserve">.02 </w:t>
            </w:r>
          </w:p>
        </w:tc>
        <w:tc>
          <w:tcPr>
            <w:tcW w:w="0" w:type="auto"/>
            <w:hideMark/>
          </w:tcPr>
          <w:p w14:paraId="21440F71" w14:textId="77777777" w:rsidR="000459ED" w:rsidRPr="003704AC" w:rsidRDefault="000459ED" w:rsidP="002A14A1">
            <w:pPr>
              <w:jc w:val="center"/>
              <w:rPr>
                <w:rFonts w:ascii="Times New Roman" w:hAnsi="Times New Roman" w:cs="Times New Roman"/>
                <w:sz w:val="24"/>
                <w:szCs w:val="24"/>
              </w:rPr>
            </w:pPr>
            <w:r w:rsidRPr="003704AC">
              <w:t>-0.70</w:t>
            </w:r>
          </w:p>
        </w:tc>
        <w:tc>
          <w:tcPr>
            <w:tcW w:w="0" w:type="auto"/>
            <w:hideMark/>
          </w:tcPr>
          <w:p w14:paraId="4B1127BC" w14:textId="77777777" w:rsidR="000459ED" w:rsidRPr="003704AC" w:rsidRDefault="000459ED" w:rsidP="002A14A1">
            <w:pPr>
              <w:jc w:val="center"/>
              <w:rPr>
                <w:rFonts w:ascii="Times New Roman" w:hAnsi="Times New Roman" w:cs="Times New Roman"/>
                <w:sz w:val="24"/>
                <w:szCs w:val="24"/>
              </w:rPr>
            </w:pPr>
            <w:r w:rsidRPr="003704AC">
              <w:t xml:space="preserve"> .48</w:t>
            </w:r>
          </w:p>
        </w:tc>
        <w:tc>
          <w:tcPr>
            <w:tcW w:w="0" w:type="auto"/>
            <w:hideMark/>
          </w:tcPr>
          <w:p w14:paraId="6C2E2E49" w14:textId="77777777" w:rsidR="000459ED" w:rsidRPr="003704AC" w:rsidRDefault="000459ED" w:rsidP="002A14A1">
            <w:pPr>
              <w:jc w:val="center"/>
              <w:rPr>
                <w:rFonts w:ascii="Times New Roman" w:hAnsi="Times New Roman" w:cs="Times New Roman"/>
                <w:sz w:val="24"/>
                <w:szCs w:val="24"/>
              </w:rPr>
            </w:pPr>
            <w:r w:rsidRPr="003704AC">
              <w:t>[-0.04, 0.02]</w:t>
            </w:r>
          </w:p>
        </w:tc>
      </w:tr>
      <w:tr w:rsidR="000459ED" w:rsidRPr="003704AC" w14:paraId="4B402A98" w14:textId="77777777" w:rsidTr="002A14A1">
        <w:tc>
          <w:tcPr>
            <w:tcW w:w="0" w:type="auto"/>
          </w:tcPr>
          <w:p w14:paraId="5A094082" w14:textId="77777777" w:rsidR="000459ED" w:rsidRPr="003704AC" w:rsidRDefault="000459ED" w:rsidP="002A14A1">
            <w:pPr>
              <w:jc w:val="center"/>
              <w:rPr>
                <w:rFonts w:ascii="Times New Roman" w:hAnsi="Times New Roman" w:cs="Times New Roman"/>
                <w:sz w:val="24"/>
                <w:szCs w:val="24"/>
              </w:rPr>
            </w:pPr>
            <w:r w:rsidRPr="003704AC">
              <w:t>Follow-up</w:t>
            </w:r>
          </w:p>
          <w:p w14:paraId="2FFCA194" w14:textId="77777777" w:rsidR="000459ED" w:rsidRPr="003704AC" w:rsidRDefault="000459ED" w:rsidP="002A14A1">
            <w:pPr>
              <w:rPr>
                <w:rFonts w:ascii="Times New Roman" w:hAnsi="Times New Roman" w:cs="Times New Roman"/>
                <w:sz w:val="24"/>
                <w:szCs w:val="24"/>
              </w:rPr>
            </w:pPr>
          </w:p>
        </w:tc>
        <w:tc>
          <w:tcPr>
            <w:tcW w:w="0" w:type="auto"/>
            <w:hideMark/>
          </w:tcPr>
          <w:p w14:paraId="09CF8941" w14:textId="77777777" w:rsidR="000459ED" w:rsidRPr="003704AC" w:rsidRDefault="000459ED" w:rsidP="002A14A1">
            <w:pPr>
              <w:jc w:val="center"/>
              <w:rPr>
                <w:rFonts w:ascii="Times New Roman" w:hAnsi="Times New Roman" w:cs="Times New Roman"/>
                <w:sz w:val="24"/>
                <w:szCs w:val="24"/>
              </w:rPr>
            </w:pPr>
            <w:r w:rsidRPr="003704AC">
              <w:t xml:space="preserve">-0.04 </w:t>
            </w:r>
          </w:p>
        </w:tc>
        <w:tc>
          <w:tcPr>
            <w:tcW w:w="0" w:type="auto"/>
            <w:hideMark/>
          </w:tcPr>
          <w:p w14:paraId="79D137F6" w14:textId="77777777" w:rsidR="000459ED" w:rsidRPr="003704AC" w:rsidRDefault="000459ED" w:rsidP="002A14A1">
            <w:pPr>
              <w:jc w:val="center"/>
              <w:rPr>
                <w:rFonts w:ascii="Times New Roman" w:hAnsi="Times New Roman" w:cs="Times New Roman"/>
                <w:sz w:val="24"/>
                <w:szCs w:val="24"/>
              </w:rPr>
            </w:pPr>
            <w:r w:rsidRPr="003704AC">
              <w:t xml:space="preserve">.02 </w:t>
            </w:r>
          </w:p>
        </w:tc>
        <w:tc>
          <w:tcPr>
            <w:tcW w:w="0" w:type="auto"/>
            <w:hideMark/>
          </w:tcPr>
          <w:p w14:paraId="6A5CBECB" w14:textId="77777777" w:rsidR="000459ED" w:rsidRPr="003704AC" w:rsidRDefault="000459ED" w:rsidP="002A14A1">
            <w:pPr>
              <w:jc w:val="center"/>
              <w:rPr>
                <w:rFonts w:ascii="Times New Roman" w:hAnsi="Times New Roman" w:cs="Times New Roman"/>
                <w:sz w:val="24"/>
                <w:szCs w:val="24"/>
              </w:rPr>
            </w:pPr>
            <w:r w:rsidRPr="003704AC">
              <w:t>-2.57</w:t>
            </w:r>
          </w:p>
        </w:tc>
        <w:tc>
          <w:tcPr>
            <w:tcW w:w="0" w:type="auto"/>
            <w:hideMark/>
          </w:tcPr>
          <w:p w14:paraId="03105747" w14:textId="77777777" w:rsidR="000459ED" w:rsidRPr="003704AC" w:rsidRDefault="000459ED" w:rsidP="002A14A1">
            <w:pPr>
              <w:jc w:val="center"/>
              <w:rPr>
                <w:rFonts w:ascii="Times New Roman" w:hAnsi="Times New Roman" w:cs="Times New Roman"/>
                <w:sz w:val="24"/>
                <w:szCs w:val="24"/>
              </w:rPr>
            </w:pPr>
            <w:r w:rsidRPr="003704AC">
              <w:t>.01</w:t>
            </w:r>
          </w:p>
        </w:tc>
        <w:tc>
          <w:tcPr>
            <w:tcW w:w="0" w:type="auto"/>
            <w:hideMark/>
          </w:tcPr>
          <w:p w14:paraId="24F0F6FE" w14:textId="77777777" w:rsidR="000459ED" w:rsidRPr="003704AC" w:rsidRDefault="000459ED" w:rsidP="002A14A1">
            <w:pPr>
              <w:jc w:val="center"/>
              <w:rPr>
                <w:rFonts w:ascii="Times New Roman" w:hAnsi="Times New Roman" w:cs="Times New Roman"/>
                <w:sz w:val="24"/>
                <w:szCs w:val="24"/>
              </w:rPr>
            </w:pPr>
            <w:r w:rsidRPr="003704AC">
              <w:t>[-0.07, -0.01]</w:t>
            </w:r>
          </w:p>
        </w:tc>
      </w:tr>
      <w:tr w:rsidR="000459ED" w:rsidRPr="003704AC" w14:paraId="1DE6B9B1" w14:textId="77777777" w:rsidTr="002A14A1">
        <w:tc>
          <w:tcPr>
            <w:tcW w:w="0" w:type="auto"/>
            <w:tcBorders>
              <w:top w:val="nil"/>
              <w:left w:val="nil"/>
              <w:right w:val="nil"/>
            </w:tcBorders>
          </w:tcPr>
          <w:p w14:paraId="77AEDC29" w14:textId="77777777" w:rsidR="000459ED" w:rsidRPr="003704AC" w:rsidRDefault="000459ED" w:rsidP="002A14A1">
            <w:pPr>
              <w:jc w:val="center"/>
              <w:rPr>
                <w:rFonts w:ascii="Times New Roman" w:hAnsi="Times New Roman" w:cs="Times New Roman"/>
                <w:sz w:val="24"/>
                <w:szCs w:val="24"/>
              </w:rPr>
            </w:pPr>
            <w:r w:rsidRPr="003704AC">
              <w:t>CO</w:t>
            </w:r>
          </w:p>
          <w:p w14:paraId="0A411406" w14:textId="77777777" w:rsidR="000459ED" w:rsidRPr="003704AC" w:rsidRDefault="000459ED" w:rsidP="002A14A1">
            <w:pPr>
              <w:rPr>
                <w:rFonts w:ascii="Times New Roman" w:hAnsi="Times New Roman" w:cs="Times New Roman"/>
                <w:sz w:val="24"/>
                <w:szCs w:val="24"/>
              </w:rPr>
            </w:pPr>
          </w:p>
        </w:tc>
        <w:tc>
          <w:tcPr>
            <w:tcW w:w="0" w:type="auto"/>
            <w:tcBorders>
              <w:top w:val="nil"/>
              <w:left w:val="nil"/>
              <w:right w:val="nil"/>
            </w:tcBorders>
            <w:hideMark/>
          </w:tcPr>
          <w:p w14:paraId="7DA9D8DB" w14:textId="77777777" w:rsidR="000459ED" w:rsidRPr="003704AC" w:rsidRDefault="000459ED" w:rsidP="002A14A1">
            <w:pPr>
              <w:jc w:val="center"/>
              <w:rPr>
                <w:rFonts w:ascii="Times New Roman" w:hAnsi="Times New Roman" w:cs="Times New Roman"/>
                <w:sz w:val="24"/>
                <w:szCs w:val="24"/>
              </w:rPr>
            </w:pPr>
            <w:r w:rsidRPr="003704AC">
              <w:t xml:space="preserve">-0.01 </w:t>
            </w:r>
          </w:p>
        </w:tc>
        <w:tc>
          <w:tcPr>
            <w:tcW w:w="0" w:type="auto"/>
            <w:tcBorders>
              <w:top w:val="nil"/>
              <w:left w:val="nil"/>
              <w:right w:val="nil"/>
            </w:tcBorders>
            <w:hideMark/>
          </w:tcPr>
          <w:p w14:paraId="77F14FFA" w14:textId="77777777" w:rsidR="000459ED" w:rsidRPr="003704AC" w:rsidRDefault="000459ED" w:rsidP="002A14A1">
            <w:pPr>
              <w:jc w:val="center"/>
              <w:rPr>
                <w:rFonts w:ascii="Times New Roman" w:hAnsi="Times New Roman" w:cs="Times New Roman"/>
                <w:sz w:val="24"/>
                <w:szCs w:val="24"/>
              </w:rPr>
            </w:pPr>
            <w:r w:rsidRPr="003704AC">
              <w:t xml:space="preserve">.001 </w:t>
            </w:r>
          </w:p>
        </w:tc>
        <w:tc>
          <w:tcPr>
            <w:tcW w:w="0" w:type="auto"/>
            <w:tcBorders>
              <w:top w:val="nil"/>
              <w:left w:val="nil"/>
              <w:right w:val="nil"/>
            </w:tcBorders>
            <w:hideMark/>
          </w:tcPr>
          <w:p w14:paraId="7F9624ED" w14:textId="77777777" w:rsidR="000459ED" w:rsidRPr="003704AC" w:rsidRDefault="000459ED" w:rsidP="002A14A1">
            <w:pPr>
              <w:jc w:val="center"/>
              <w:rPr>
                <w:rFonts w:ascii="Times New Roman" w:hAnsi="Times New Roman" w:cs="Times New Roman"/>
                <w:sz w:val="24"/>
                <w:szCs w:val="24"/>
              </w:rPr>
            </w:pPr>
            <w:r w:rsidRPr="003704AC">
              <w:t>-5.88</w:t>
            </w:r>
          </w:p>
        </w:tc>
        <w:tc>
          <w:tcPr>
            <w:tcW w:w="0" w:type="auto"/>
            <w:tcBorders>
              <w:top w:val="nil"/>
              <w:left w:val="nil"/>
              <w:right w:val="nil"/>
            </w:tcBorders>
            <w:hideMark/>
          </w:tcPr>
          <w:p w14:paraId="3E1382B9"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top w:val="nil"/>
              <w:left w:val="nil"/>
              <w:right w:val="nil"/>
            </w:tcBorders>
            <w:hideMark/>
          </w:tcPr>
          <w:p w14:paraId="0D8AB8F8" w14:textId="77777777" w:rsidR="000459ED" w:rsidRPr="003704AC" w:rsidRDefault="000459ED" w:rsidP="002A14A1">
            <w:pPr>
              <w:jc w:val="center"/>
              <w:rPr>
                <w:rFonts w:ascii="Times New Roman" w:hAnsi="Times New Roman" w:cs="Times New Roman"/>
                <w:sz w:val="24"/>
                <w:szCs w:val="24"/>
              </w:rPr>
            </w:pPr>
            <w:r w:rsidRPr="003704AC">
              <w:t>[-0.01, -0.004]</w:t>
            </w:r>
          </w:p>
        </w:tc>
      </w:tr>
      <w:tr w:rsidR="000459ED" w:rsidRPr="003704AC" w14:paraId="5D540504" w14:textId="77777777" w:rsidTr="002A14A1">
        <w:tc>
          <w:tcPr>
            <w:tcW w:w="0" w:type="auto"/>
            <w:tcBorders>
              <w:left w:val="nil"/>
              <w:right w:val="nil"/>
            </w:tcBorders>
          </w:tcPr>
          <w:p w14:paraId="376E8C99" w14:textId="77777777" w:rsidR="000459ED" w:rsidRPr="003704AC" w:rsidRDefault="000459ED" w:rsidP="002A14A1">
            <w:pPr>
              <w:jc w:val="center"/>
              <w:rPr>
                <w:rFonts w:ascii="Times New Roman" w:hAnsi="Times New Roman" w:cs="Times New Roman"/>
                <w:sz w:val="24"/>
                <w:szCs w:val="24"/>
              </w:rPr>
            </w:pPr>
            <w:r w:rsidRPr="003704AC">
              <w:t>UK</w:t>
            </w:r>
          </w:p>
          <w:p w14:paraId="2714A67F" w14:textId="77777777" w:rsidR="000459ED" w:rsidRPr="003704AC" w:rsidRDefault="000459ED" w:rsidP="002A14A1">
            <w:pPr>
              <w:jc w:val="center"/>
              <w:rPr>
                <w:rFonts w:ascii="Times New Roman" w:hAnsi="Times New Roman" w:cs="Times New Roman"/>
                <w:sz w:val="24"/>
                <w:szCs w:val="24"/>
              </w:rPr>
            </w:pPr>
          </w:p>
        </w:tc>
        <w:tc>
          <w:tcPr>
            <w:tcW w:w="0" w:type="auto"/>
            <w:tcBorders>
              <w:left w:val="nil"/>
              <w:right w:val="nil"/>
            </w:tcBorders>
          </w:tcPr>
          <w:p w14:paraId="5E44129A" w14:textId="77777777" w:rsidR="000459ED" w:rsidRPr="003704AC" w:rsidRDefault="000459ED" w:rsidP="002A14A1">
            <w:pPr>
              <w:jc w:val="center"/>
              <w:rPr>
                <w:rFonts w:ascii="Times New Roman" w:hAnsi="Times New Roman" w:cs="Times New Roman"/>
                <w:sz w:val="24"/>
                <w:szCs w:val="24"/>
              </w:rPr>
            </w:pPr>
            <w:r w:rsidRPr="003704AC">
              <w:t xml:space="preserve">0.06 </w:t>
            </w:r>
          </w:p>
        </w:tc>
        <w:tc>
          <w:tcPr>
            <w:tcW w:w="0" w:type="auto"/>
            <w:tcBorders>
              <w:left w:val="nil"/>
              <w:right w:val="nil"/>
            </w:tcBorders>
          </w:tcPr>
          <w:p w14:paraId="748A8E2F" w14:textId="77777777" w:rsidR="000459ED" w:rsidRPr="003704AC" w:rsidRDefault="000459ED" w:rsidP="002A14A1">
            <w:pPr>
              <w:jc w:val="center"/>
              <w:rPr>
                <w:rFonts w:ascii="Times New Roman" w:hAnsi="Times New Roman" w:cs="Times New Roman"/>
                <w:sz w:val="24"/>
                <w:szCs w:val="24"/>
              </w:rPr>
            </w:pPr>
            <w:r w:rsidRPr="003704AC">
              <w:t xml:space="preserve">.01 </w:t>
            </w:r>
          </w:p>
        </w:tc>
        <w:tc>
          <w:tcPr>
            <w:tcW w:w="0" w:type="auto"/>
            <w:tcBorders>
              <w:left w:val="nil"/>
              <w:right w:val="nil"/>
            </w:tcBorders>
          </w:tcPr>
          <w:p w14:paraId="027DA507" w14:textId="77777777" w:rsidR="000459ED" w:rsidRPr="003704AC" w:rsidRDefault="000459ED" w:rsidP="002A14A1">
            <w:pPr>
              <w:jc w:val="center"/>
              <w:rPr>
                <w:rFonts w:ascii="Times New Roman" w:hAnsi="Times New Roman" w:cs="Times New Roman"/>
                <w:sz w:val="24"/>
                <w:szCs w:val="24"/>
              </w:rPr>
            </w:pPr>
            <w:r w:rsidRPr="003704AC">
              <w:t>4.70</w:t>
            </w:r>
          </w:p>
        </w:tc>
        <w:tc>
          <w:tcPr>
            <w:tcW w:w="0" w:type="auto"/>
            <w:tcBorders>
              <w:left w:val="nil"/>
              <w:right w:val="nil"/>
            </w:tcBorders>
          </w:tcPr>
          <w:p w14:paraId="2930AC13"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left w:val="nil"/>
              <w:right w:val="nil"/>
            </w:tcBorders>
          </w:tcPr>
          <w:p w14:paraId="4B462707" w14:textId="77777777" w:rsidR="000459ED" w:rsidRPr="003704AC" w:rsidRDefault="000459ED" w:rsidP="002A14A1">
            <w:pPr>
              <w:jc w:val="center"/>
              <w:rPr>
                <w:rFonts w:ascii="Times New Roman" w:hAnsi="Times New Roman" w:cs="Times New Roman"/>
                <w:sz w:val="24"/>
                <w:szCs w:val="24"/>
              </w:rPr>
            </w:pPr>
            <w:r w:rsidRPr="003704AC">
              <w:t>[2.41, 7.53]</w:t>
            </w:r>
          </w:p>
        </w:tc>
      </w:tr>
      <w:tr w:rsidR="000459ED" w:rsidRPr="003704AC" w14:paraId="26F3F191" w14:textId="77777777" w:rsidTr="002A14A1">
        <w:tc>
          <w:tcPr>
            <w:tcW w:w="0" w:type="auto"/>
            <w:tcBorders>
              <w:left w:val="nil"/>
              <w:right w:val="nil"/>
            </w:tcBorders>
          </w:tcPr>
          <w:p w14:paraId="7B51639C" w14:textId="77777777" w:rsidR="000459ED" w:rsidRPr="003704AC" w:rsidRDefault="000459ED" w:rsidP="002A14A1">
            <w:pPr>
              <w:jc w:val="center"/>
              <w:rPr>
                <w:rFonts w:ascii="Times New Roman" w:hAnsi="Times New Roman" w:cs="Times New Roman"/>
                <w:sz w:val="24"/>
                <w:szCs w:val="24"/>
              </w:rPr>
            </w:pPr>
            <w:r w:rsidRPr="003704AC">
              <w:t>Australia</w:t>
            </w:r>
          </w:p>
          <w:p w14:paraId="7C674CDB" w14:textId="77777777" w:rsidR="000459ED" w:rsidRPr="003704AC" w:rsidRDefault="000459ED" w:rsidP="002A14A1">
            <w:pPr>
              <w:jc w:val="center"/>
              <w:rPr>
                <w:rFonts w:ascii="Times New Roman" w:hAnsi="Times New Roman" w:cs="Times New Roman"/>
                <w:sz w:val="24"/>
                <w:szCs w:val="24"/>
              </w:rPr>
            </w:pPr>
          </w:p>
        </w:tc>
        <w:tc>
          <w:tcPr>
            <w:tcW w:w="0" w:type="auto"/>
            <w:tcBorders>
              <w:left w:val="nil"/>
              <w:right w:val="nil"/>
            </w:tcBorders>
          </w:tcPr>
          <w:p w14:paraId="21FC710F" w14:textId="77777777" w:rsidR="000459ED" w:rsidRPr="003704AC" w:rsidRDefault="000459ED" w:rsidP="002A14A1">
            <w:pPr>
              <w:jc w:val="center"/>
              <w:rPr>
                <w:rFonts w:ascii="Times New Roman" w:hAnsi="Times New Roman" w:cs="Times New Roman"/>
                <w:sz w:val="24"/>
                <w:szCs w:val="24"/>
              </w:rPr>
            </w:pPr>
            <w:r w:rsidRPr="003704AC">
              <w:t xml:space="preserve">0.07 </w:t>
            </w:r>
          </w:p>
        </w:tc>
        <w:tc>
          <w:tcPr>
            <w:tcW w:w="0" w:type="auto"/>
            <w:tcBorders>
              <w:left w:val="nil"/>
              <w:right w:val="nil"/>
            </w:tcBorders>
          </w:tcPr>
          <w:p w14:paraId="6C8A1DE5" w14:textId="77777777" w:rsidR="000459ED" w:rsidRPr="003704AC" w:rsidRDefault="000459ED" w:rsidP="002A14A1">
            <w:pPr>
              <w:jc w:val="center"/>
              <w:rPr>
                <w:rFonts w:ascii="Times New Roman" w:hAnsi="Times New Roman" w:cs="Times New Roman"/>
                <w:sz w:val="24"/>
                <w:szCs w:val="24"/>
              </w:rPr>
            </w:pPr>
            <w:r w:rsidRPr="003704AC">
              <w:t>.02</w:t>
            </w:r>
          </w:p>
        </w:tc>
        <w:tc>
          <w:tcPr>
            <w:tcW w:w="0" w:type="auto"/>
            <w:tcBorders>
              <w:left w:val="nil"/>
              <w:right w:val="nil"/>
            </w:tcBorders>
          </w:tcPr>
          <w:p w14:paraId="09A9C50B" w14:textId="77777777" w:rsidR="000459ED" w:rsidRPr="003704AC" w:rsidRDefault="000459ED" w:rsidP="002A14A1">
            <w:pPr>
              <w:jc w:val="center"/>
              <w:rPr>
                <w:rFonts w:ascii="Times New Roman" w:hAnsi="Times New Roman" w:cs="Times New Roman"/>
                <w:sz w:val="24"/>
                <w:szCs w:val="24"/>
              </w:rPr>
            </w:pPr>
            <w:r w:rsidRPr="003704AC">
              <w:t>4.03</w:t>
            </w:r>
          </w:p>
        </w:tc>
        <w:tc>
          <w:tcPr>
            <w:tcW w:w="0" w:type="auto"/>
            <w:tcBorders>
              <w:left w:val="nil"/>
              <w:right w:val="nil"/>
            </w:tcBorders>
          </w:tcPr>
          <w:p w14:paraId="50F8EB5F"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left w:val="nil"/>
              <w:right w:val="nil"/>
            </w:tcBorders>
          </w:tcPr>
          <w:p w14:paraId="786A7413" w14:textId="77777777" w:rsidR="000459ED" w:rsidRPr="003704AC" w:rsidRDefault="000459ED" w:rsidP="002A14A1">
            <w:pPr>
              <w:jc w:val="center"/>
              <w:rPr>
                <w:rFonts w:ascii="Times New Roman" w:hAnsi="Times New Roman" w:cs="Times New Roman"/>
                <w:sz w:val="24"/>
                <w:szCs w:val="24"/>
              </w:rPr>
            </w:pPr>
            <w:r w:rsidRPr="003704AC">
              <w:t>[0.04, 0.09]</w:t>
            </w:r>
          </w:p>
        </w:tc>
      </w:tr>
      <w:tr w:rsidR="000459ED" w:rsidRPr="003704AC" w14:paraId="319C2A8A" w14:textId="77777777" w:rsidTr="002A14A1">
        <w:tc>
          <w:tcPr>
            <w:tcW w:w="0" w:type="auto"/>
            <w:tcBorders>
              <w:left w:val="nil"/>
              <w:right w:val="nil"/>
            </w:tcBorders>
          </w:tcPr>
          <w:p w14:paraId="77871A78" w14:textId="77777777" w:rsidR="000459ED" w:rsidRPr="003704AC" w:rsidRDefault="000459ED" w:rsidP="002A14A1">
            <w:pPr>
              <w:jc w:val="center"/>
              <w:rPr>
                <w:rFonts w:ascii="Times New Roman" w:hAnsi="Times New Roman" w:cs="Times New Roman"/>
                <w:sz w:val="24"/>
                <w:szCs w:val="24"/>
              </w:rPr>
            </w:pPr>
            <w:r w:rsidRPr="003704AC">
              <w:t>Pledge x Intake</w:t>
            </w:r>
          </w:p>
          <w:p w14:paraId="150F62C9" w14:textId="77777777" w:rsidR="000459ED" w:rsidRPr="003704AC" w:rsidRDefault="000459ED" w:rsidP="002A14A1">
            <w:pPr>
              <w:jc w:val="center"/>
              <w:rPr>
                <w:rFonts w:ascii="Times New Roman" w:hAnsi="Times New Roman" w:cs="Times New Roman"/>
                <w:sz w:val="24"/>
                <w:szCs w:val="24"/>
              </w:rPr>
            </w:pPr>
          </w:p>
        </w:tc>
        <w:tc>
          <w:tcPr>
            <w:tcW w:w="0" w:type="auto"/>
            <w:tcBorders>
              <w:left w:val="nil"/>
              <w:right w:val="nil"/>
            </w:tcBorders>
          </w:tcPr>
          <w:p w14:paraId="0A4D6FCC" w14:textId="77777777" w:rsidR="000459ED" w:rsidRPr="003704AC" w:rsidRDefault="000459ED" w:rsidP="002A14A1">
            <w:pPr>
              <w:jc w:val="center"/>
              <w:rPr>
                <w:rFonts w:ascii="Times New Roman" w:hAnsi="Times New Roman" w:cs="Times New Roman"/>
                <w:sz w:val="24"/>
                <w:szCs w:val="24"/>
              </w:rPr>
            </w:pPr>
            <w:r w:rsidRPr="003704AC">
              <w:t xml:space="preserve">0.05 </w:t>
            </w:r>
          </w:p>
        </w:tc>
        <w:tc>
          <w:tcPr>
            <w:tcW w:w="0" w:type="auto"/>
            <w:tcBorders>
              <w:left w:val="nil"/>
              <w:right w:val="nil"/>
            </w:tcBorders>
          </w:tcPr>
          <w:p w14:paraId="57C6901E" w14:textId="77777777" w:rsidR="000459ED" w:rsidRPr="003704AC" w:rsidRDefault="000459ED" w:rsidP="002A14A1">
            <w:pPr>
              <w:jc w:val="center"/>
              <w:rPr>
                <w:rFonts w:ascii="Times New Roman" w:hAnsi="Times New Roman" w:cs="Times New Roman"/>
                <w:sz w:val="24"/>
                <w:szCs w:val="24"/>
              </w:rPr>
            </w:pPr>
            <w:r w:rsidRPr="003704AC">
              <w:t>.02</w:t>
            </w:r>
          </w:p>
        </w:tc>
        <w:tc>
          <w:tcPr>
            <w:tcW w:w="0" w:type="auto"/>
            <w:tcBorders>
              <w:left w:val="nil"/>
              <w:right w:val="nil"/>
            </w:tcBorders>
          </w:tcPr>
          <w:p w14:paraId="7793B2C6" w14:textId="77777777" w:rsidR="000459ED" w:rsidRPr="003704AC" w:rsidRDefault="000459ED" w:rsidP="002A14A1">
            <w:pPr>
              <w:jc w:val="center"/>
              <w:rPr>
                <w:rFonts w:ascii="Times New Roman" w:hAnsi="Times New Roman" w:cs="Times New Roman"/>
                <w:sz w:val="24"/>
                <w:szCs w:val="24"/>
              </w:rPr>
            </w:pPr>
            <w:r w:rsidRPr="003704AC">
              <w:t>2.44</w:t>
            </w:r>
          </w:p>
        </w:tc>
        <w:tc>
          <w:tcPr>
            <w:tcW w:w="0" w:type="auto"/>
            <w:tcBorders>
              <w:left w:val="nil"/>
              <w:right w:val="nil"/>
            </w:tcBorders>
          </w:tcPr>
          <w:p w14:paraId="783E5B00" w14:textId="77777777" w:rsidR="000459ED" w:rsidRPr="003704AC" w:rsidRDefault="000459ED" w:rsidP="002A14A1">
            <w:pPr>
              <w:jc w:val="center"/>
              <w:rPr>
                <w:rFonts w:ascii="Times New Roman" w:hAnsi="Times New Roman" w:cs="Times New Roman"/>
                <w:sz w:val="24"/>
                <w:szCs w:val="24"/>
              </w:rPr>
            </w:pPr>
            <w:r w:rsidRPr="003704AC">
              <w:t>.02</w:t>
            </w:r>
          </w:p>
        </w:tc>
        <w:tc>
          <w:tcPr>
            <w:tcW w:w="0" w:type="auto"/>
            <w:tcBorders>
              <w:left w:val="nil"/>
              <w:right w:val="nil"/>
            </w:tcBorders>
          </w:tcPr>
          <w:p w14:paraId="0B35FF9F" w14:textId="77777777" w:rsidR="000459ED" w:rsidRPr="003704AC" w:rsidRDefault="000459ED" w:rsidP="002A14A1">
            <w:pPr>
              <w:jc w:val="center"/>
              <w:rPr>
                <w:rFonts w:ascii="Times New Roman" w:hAnsi="Times New Roman" w:cs="Times New Roman"/>
                <w:sz w:val="24"/>
                <w:szCs w:val="24"/>
              </w:rPr>
            </w:pPr>
            <w:r w:rsidRPr="003704AC">
              <w:t>[0.01,0.10]</w:t>
            </w:r>
          </w:p>
        </w:tc>
      </w:tr>
      <w:tr w:rsidR="000459ED" w:rsidRPr="003704AC" w14:paraId="0A724561" w14:textId="77777777" w:rsidTr="002A14A1">
        <w:tc>
          <w:tcPr>
            <w:tcW w:w="0" w:type="auto"/>
            <w:tcBorders>
              <w:left w:val="nil"/>
              <w:bottom w:val="single" w:sz="4" w:space="0" w:color="auto"/>
              <w:right w:val="nil"/>
            </w:tcBorders>
          </w:tcPr>
          <w:p w14:paraId="4F18B750" w14:textId="77777777" w:rsidR="000459ED" w:rsidRPr="003704AC" w:rsidRDefault="000459ED" w:rsidP="002A14A1">
            <w:pPr>
              <w:jc w:val="center"/>
              <w:rPr>
                <w:rFonts w:ascii="Times New Roman" w:hAnsi="Times New Roman" w:cs="Times New Roman"/>
                <w:sz w:val="24"/>
                <w:szCs w:val="24"/>
              </w:rPr>
            </w:pPr>
            <w:r w:rsidRPr="003704AC">
              <w:t>Pledge x Follow-up</w:t>
            </w:r>
          </w:p>
          <w:p w14:paraId="023D6756" w14:textId="77777777" w:rsidR="000459ED" w:rsidRPr="003704AC" w:rsidRDefault="000459ED" w:rsidP="002A14A1">
            <w:pPr>
              <w:jc w:val="center"/>
              <w:rPr>
                <w:rFonts w:ascii="Times New Roman" w:hAnsi="Times New Roman" w:cs="Times New Roman"/>
                <w:sz w:val="24"/>
                <w:szCs w:val="24"/>
              </w:rPr>
            </w:pPr>
          </w:p>
        </w:tc>
        <w:tc>
          <w:tcPr>
            <w:tcW w:w="0" w:type="auto"/>
            <w:tcBorders>
              <w:left w:val="nil"/>
              <w:bottom w:val="single" w:sz="4" w:space="0" w:color="auto"/>
              <w:right w:val="nil"/>
            </w:tcBorders>
          </w:tcPr>
          <w:p w14:paraId="08B1F79B" w14:textId="77777777" w:rsidR="000459ED" w:rsidRPr="003704AC" w:rsidRDefault="000459ED" w:rsidP="002A14A1">
            <w:pPr>
              <w:jc w:val="center"/>
              <w:rPr>
                <w:rFonts w:ascii="Times New Roman" w:hAnsi="Times New Roman" w:cs="Times New Roman"/>
                <w:sz w:val="24"/>
                <w:szCs w:val="24"/>
              </w:rPr>
            </w:pPr>
            <w:r w:rsidRPr="003704AC">
              <w:t xml:space="preserve">0.07 </w:t>
            </w:r>
          </w:p>
        </w:tc>
        <w:tc>
          <w:tcPr>
            <w:tcW w:w="0" w:type="auto"/>
            <w:tcBorders>
              <w:left w:val="nil"/>
              <w:bottom w:val="single" w:sz="4" w:space="0" w:color="auto"/>
              <w:right w:val="nil"/>
            </w:tcBorders>
          </w:tcPr>
          <w:p w14:paraId="2E74B2FA" w14:textId="77777777" w:rsidR="000459ED" w:rsidRPr="003704AC" w:rsidRDefault="000459ED" w:rsidP="002A14A1">
            <w:pPr>
              <w:jc w:val="center"/>
              <w:rPr>
                <w:rFonts w:ascii="Times New Roman" w:hAnsi="Times New Roman" w:cs="Times New Roman"/>
                <w:sz w:val="24"/>
                <w:szCs w:val="24"/>
              </w:rPr>
            </w:pPr>
            <w:r w:rsidRPr="003704AC">
              <w:t xml:space="preserve">.02 </w:t>
            </w:r>
          </w:p>
        </w:tc>
        <w:tc>
          <w:tcPr>
            <w:tcW w:w="0" w:type="auto"/>
            <w:tcBorders>
              <w:left w:val="nil"/>
              <w:bottom w:val="single" w:sz="4" w:space="0" w:color="auto"/>
              <w:right w:val="nil"/>
            </w:tcBorders>
          </w:tcPr>
          <w:p w14:paraId="4E02FE19" w14:textId="77777777" w:rsidR="000459ED" w:rsidRPr="003704AC" w:rsidRDefault="000459ED" w:rsidP="002A14A1">
            <w:pPr>
              <w:jc w:val="center"/>
              <w:rPr>
                <w:rFonts w:ascii="Times New Roman" w:hAnsi="Times New Roman" w:cs="Times New Roman"/>
                <w:sz w:val="24"/>
                <w:szCs w:val="24"/>
              </w:rPr>
            </w:pPr>
            <w:r w:rsidRPr="003704AC">
              <w:t>3.01</w:t>
            </w:r>
          </w:p>
        </w:tc>
        <w:tc>
          <w:tcPr>
            <w:tcW w:w="0" w:type="auto"/>
            <w:tcBorders>
              <w:left w:val="nil"/>
              <w:bottom w:val="single" w:sz="4" w:space="0" w:color="auto"/>
              <w:right w:val="nil"/>
            </w:tcBorders>
          </w:tcPr>
          <w:p w14:paraId="63DAD524" w14:textId="77777777" w:rsidR="000459ED" w:rsidRPr="003704AC" w:rsidRDefault="000459ED" w:rsidP="002A14A1">
            <w:pPr>
              <w:jc w:val="center"/>
              <w:rPr>
                <w:rFonts w:ascii="Times New Roman" w:hAnsi="Times New Roman" w:cs="Times New Roman"/>
                <w:sz w:val="24"/>
                <w:szCs w:val="24"/>
              </w:rPr>
            </w:pPr>
            <w:r w:rsidRPr="003704AC">
              <w:t>.003</w:t>
            </w:r>
          </w:p>
        </w:tc>
        <w:tc>
          <w:tcPr>
            <w:tcW w:w="0" w:type="auto"/>
            <w:tcBorders>
              <w:left w:val="nil"/>
              <w:bottom w:val="single" w:sz="4" w:space="0" w:color="auto"/>
              <w:right w:val="nil"/>
            </w:tcBorders>
          </w:tcPr>
          <w:p w14:paraId="5D2FB652" w14:textId="77777777" w:rsidR="000459ED" w:rsidRPr="003704AC" w:rsidRDefault="000459ED" w:rsidP="002A14A1">
            <w:pPr>
              <w:jc w:val="center"/>
              <w:rPr>
                <w:rFonts w:ascii="Times New Roman" w:hAnsi="Times New Roman" w:cs="Times New Roman"/>
                <w:sz w:val="24"/>
                <w:szCs w:val="24"/>
              </w:rPr>
            </w:pPr>
            <w:r w:rsidRPr="003704AC">
              <w:t>[0.02, 0.12]</w:t>
            </w:r>
          </w:p>
        </w:tc>
      </w:tr>
      <w:tr w:rsidR="000459ED" w:rsidRPr="003704AC" w14:paraId="7963C4B7" w14:textId="77777777" w:rsidTr="002A14A1">
        <w:tc>
          <w:tcPr>
            <w:tcW w:w="0" w:type="auto"/>
            <w:tcBorders>
              <w:top w:val="single" w:sz="4" w:space="0" w:color="auto"/>
              <w:left w:val="nil"/>
              <w:bottom w:val="nil"/>
              <w:right w:val="nil"/>
            </w:tcBorders>
          </w:tcPr>
          <w:p w14:paraId="5CDC48B1" w14:textId="77777777" w:rsidR="000459ED" w:rsidRPr="003704AC" w:rsidRDefault="000459ED" w:rsidP="002A14A1">
            <w:pPr>
              <w:jc w:val="center"/>
              <w:rPr>
                <w:rFonts w:ascii="Times New Roman" w:hAnsi="Times New Roman" w:cs="Times New Roman"/>
                <w:sz w:val="24"/>
                <w:szCs w:val="24"/>
              </w:rPr>
            </w:pPr>
            <w:r w:rsidRPr="003704AC">
              <w:t>Random Effects</w:t>
            </w:r>
          </w:p>
          <w:p w14:paraId="09DD9FD2"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1648F5E3"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80DBA98"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11BC0461"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7500C8B0"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3A2004C5" w14:textId="77777777" w:rsidR="000459ED" w:rsidRPr="003704AC" w:rsidRDefault="000459ED" w:rsidP="002A14A1">
            <w:pPr>
              <w:jc w:val="center"/>
              <w:rPr>
                <w:rFonts w:ascii="Times New Roman" w:hAnsi="Times New Roman" w:cs="Times New Roman"/>
                <w:sz w:val="24"/>
                <w:szCs w:val="24"/>
              </w:rPr>
            </w:pPr>
          </w:p>
        </w:tc>
      </w:tr>
      <w:tr w:rsidR="000459ED" w:rsidRPr="003704AC" w14:paraId="666408C3" w14:textId="77777777" w:rsidTr="002A14A1">
        <w:tc>
          <w:tcPr>
            <w:tcW w:w="0" w:type="auto"/>
            <w:tcBorders>
              <w:top w:val="nil"/>
              <w:left w:val="nil"/>
              <w:bottom w:val="single" w:sz="4" w:space="0" w:color="auto"/>
              <w:right w:val="nil"/>
            </w:tcBorders>
          </w:tcPr>
          <w:p w14:paraId="037EA7CE" w14:textId="77777777" w:rsidR="000459ED" w:rsidRPr="003704AC" w:rsidRDefault="000459ED" w:rsidP="002A14A1">
            <w:pPr>
              <w:jc w:val="center"/>
              <w:rPr>
                <w:rFonts w:ascii="Times New Roman" w:hAnsi="Times New Roman" w:cs="Times New Roman"/>
                <w:sz w:val="24"/>
                <w:szCs w:val="24"/>
              </w:rPr>
            </w:pPr>
            <w:r w:rsidRPr="003704AC">
              <w:t>Groups</w:t>
            </w:r>
          </w:p>
          <w:p w14:paraId="2CF83F1D"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4A99F4A1"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0F4AAE11"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hideMark/>
          </w:tcPr>
          <w:p w14:paraId="3F047308" w14:textId="77777777" w:rsidR="000459ED" w:rsidRPr="003704AC" w:rsidRDefault="000459ED" w:rsidP="002A14A1">
            <w:pPr>
              <w:jc w:val="center"/>
              <w:rPr>
                <w:rFonts w:ascii="Times New Roman" w:hAnsi="Times New Roman" w:cs="Times New Roman"/>
                <w:sz w:val="24"/>
                <w:szCs w:val="24"/>
              </w:rPr>
            </w:pPr>
            <w:r w:rsidRPr="003704AC">
              <w:t>Variance</w:t>
            </w:r>
          </w:p>
        </w:tc>
        <w:tc>
          <w:tcPr>
            <w:tcW w:w="0" w:type="auto"/>
            <w:tcBorders>
              <w:top w:val="nil"/>
              <w:left w:val="nil"/>
              <w:bottom w:val="single" w:sz="4" w:space="0" w:color="auto"/>
              <w:right w:val="nil"/>
            </w:tcBorders>
            <w:hideMark/>
          </w:tcPr>
          <w:p w14:paraId="28BDBDDE" w14:textId="77777777" w:rsidR="000459ED" w:rsidRPr="003704AC" w:rsidRDefault="000459ED" w:rsidP="002A14A1">
            <w:pPr>
              <w:jc w:val="center"/>
              <w:rPr>
                <w:rFonts w:ascii="Times New Roman" w:hAnsi="Times New Roman" w:cs="Times New Roman"/>
                <w:sz w:val="24"/>
                <w:szCs w:val="24"/>
              </w:rPr>
            </w:pPr>
            <w:r w:rsidRPr="003704AC">
              <w:rPr>
                <w:i/>
              </w:rPr>
              <w:t>SD</w:t>
            </w:r>
          </w:p>
        </w:tc>
        <w:tc>
          <w:tcPr>
            <w:tcW w:w="0" w:type="auto"/>
            <w:tcBorders>
              <w:top w:val="nil"/>
              <w:left w:val="nil"/>
              <w:bottom w:val="single" w:sz="4" w:space="0" w:color="auto"/>
              <w:right w:val="nil"/>
            </w:tcBorders>
          </w:tcPr>
          <w:p w14:paraId="1229BDD3" w14:textId="77777777" w:rsidR="000459ED" w:rsidRPr="003704AC" w:rsidRDefault="000459ED" w:rsidP="002A14A1">
            <w:pPr>
              <w:rPr>
                <w:rFonts w:ascii="Times New Roman" w:hAnsi="Times New Roman" w:cs="Times New Roman"/>
                <w:i/>
                <w:sz w:val="24"/>
                <w:szCs w:val="24"/>
              </w:rPr>
            </w:pPr>
          </w:p>
        </w:tc>
      </w:tr>
      <w:tr w:rsidR="000459ED" w:rsidRPr="003704AC" w14:paraId="5B959A1F" w14:textId="77777777" w:rsidTr="002A14A1">
        <w:tc>
          <w:tcPr>
            <w:tcW w:w="0" w:type="auto"/>
            <w:tcBorders>
              <w:top w:val="single" w:sz="4" w:space="0" w:color="auto"/>
              <w:left w:val="nil"/>
              <w:bottom w:val="single" w:sz="4" w:space="0" w:color="auto"/>
              <w:right w:val="nil"/>
            </w:tcBorders>
          </w:tcPr>
          <w:p w14:paraId="26B11B20" w14:textId="77777777" w:rsidR="000459ED" w:rsidRPr="003704AC" w:rsidRDefault="000459ED" w:rsidP="002A14A1">
            <w:pPr>
              <w:jc w:val="center"/>
              <w:rPr>
                <w:rFonts w:ascii="Times New Roman" w:hAnsi="Times New Roman" w:cs="Times New Roman"/>
                <w:sz w:val="24"/>
                <w:szCs w:val="24"/>
              </w:rPr>
            </w:pPr>
            <w:r w:rsidRPr="003704AC">
              <w:t>Subjects</w:t>
            </w:r>
          </w:p>
          <w:p w14:paraId="736A5EE2"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52C6F02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34F7B8F3"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hideMark/>
          </w:tcPr>
          <w:p w14:paraId="1E7EFF45" w14:textId="06A81DAF" w:rsidR="000459ED" w:rsidRPr="003704AC" w:rsidRDefault="00861A11" w:rsidP="002A14A1">
            <w:pPr>
              <w:jc w:val="center"/>
              <w:rPr>
                <w:rFonts w:ascii="Times New Roman" w:hAnsi="Times New Roman" w:cs="Times New Roman"/>
                <w:sz w:val="24"/>
                <w:szCs w:val="24"/>
              </w:rPr>
            </w:pPr>
            <w:r w:rsidRPr="003704AC">
              <w:t>0</w:t>
            </w:r>
            <w:r w:rsidR="000459ED" w:rsidRPr="003704AC">
              <w:t xml:space="preserve">.02 </w:t>
            </w:r>
          </w:p>
        </w:tc>
        <w:tc>
          <w:tcPr>
            <w:tcW w:w="0" w:type="auto"/>
            <w:tcBorders>
              <w:top w:val="single" w:sz="4" w:space="0" w:color="auto"/>
              <w:left w:val="nil"/>
              <w:bottom w:val="single" w:sz="4" w:space="0" w:color="auto"/>
              <w:right w:val="nil"/>
            </w:tcBorders>
            <w:hideMark/>
          </w:tcPr>
          <w:p w14:paraId="0913CE5D" w14:textId="232846A2" w:rsidR="000459ED" w:rsidRPr="003704AC" w:rsidRDefault="00861A11" w:rsidP="002A14A1">
            <w:pPr>
              <w:jc w:val="center"/>
              <w:rPr>
                <w:rFonts w:ascii="Times New Roman" w:hAnsi="Times New Roman" w:cs="Times New Roman"/>
                <w:sz w:val="24"/>
                <w:szCs w:val="24"/>
              </w:rPr>
            </w:pPr>
            <w:r w:rsidRPr="003704AC">
              <w:t>0</w:t>
            </w:r>
            <w:r w:rsidR="000459ED" w:rsidRPr="003704AC">
              <w:t xml:space="preserve">.14 </w:t>
            </w:r>
          </w:p>
        </w:tc>
        <w:tc>
          <w:tcPr>
            <w:tcW w:w="0" w:type="auto"/>
            <w:tcBorders>
              <w:top w:val="single" w:sz="4" w:space="0" w:color="auto"/>
              <w:left w:val="nil"/>
              <w:bottom w:val="single" w:sz="4" w:space="0" w:color="auto"/>
              <w:right w:val="nil"/>
            </w:tcBorders>
          </w:tcPr>
          <w:p w14:paraId="57E08686" w14:textId="77777777" w:rsidR="000459ED" w:rsidRPr="003704AC" w:rsidRDefault="000459ED" w:rsidP="002A14A1">
            <w:pPr>
              <w:jc w:val="center"/>
              <w:rPr>
                <w:rFonts w:ascii="Times New Roman" w:hAnsi="Times New Roman" w:cs="Times New Roman"/>
                <w:sz w:val="24"/>
                <w:szCs w:val="24"/>
              </w:rPr>
            </w:pPr>
          </w:p>
        </w:tc>
      </w:tr>
    </w:tbl>
    <w:p w14:paraId="56762BB5" w14:textId="696DCF10" w:rsidR="000459ED" w:rsidRPr="003704AC" w:rsidRDefault="000459ED" w:rsidP="000459ED">
      <w:pPr>
        <w:spacing w:line="480" w:lineRule="auto"/>
        <w:rPr>
          <w:color w:val="000000"/>
          <w:bdr w:val="none" w:sz="0" w:space="0" w:color="auto" w:frame="1"/>
        </w:rPr>
      </w:pPr>
      <w:r w:rsidRPr="003704AC">
        <w:rPr>
          <w:color w:val="000000"/>
          <w:bdr w:val="none" w:sz="0" w:space="0" w:color="auto" w:frame="1"/>
        </w:rPr>
        <w:t xml:space="preserve">Note. Reference level for country = Germany. Reference level for time-points = Outtake. </w:t>
      </w:r>
    </w:p>
    <w:p w14:paraId="54933C91" w14:textId="77777777" w:rsidR="00466609" w:rsidRPr="0058443A" w:rsidRDefault="00466609" w:rsidP="00466609">
      <w:pPr>
        <w:spacing w:line="480" w:lineRule="auto"/>
        <w:ind w:firstLine="720"/>
      </w:pPr>
    </w:p>
    <w:p w14:paraId="0E77AE7A" w14:textId="1D2FC1BC" w:rsidR="000459ED" w:rsidRPr="0058443A" w:rsidRDefault="00466609" w:rsidP="00660CDC">
      <w:pPr>
        <w:spacing w:line="480" w:lineRule="auto"/>
        <w:ind w:firstLine="720"/>
      </w:pPr>
      <w:r w:rsidRPr="0058443A">
        <w:t xml:space="preserve">Thus, consistent with Hypothesis 2a, pledging participants reported significant reductions in meat consumption at outtake, relative to the intake baseline, whereas this was </w:t>
      </w:r>
      <w:r w:rsidRPr="0058443A">
        <w:lastRenderedPageBreak/>
        <w:t>not the case for control participants. However, pledgers did not report significant reductions, relative to baseline, one-month post-intervention.</w:t>
      </w:r>
      <w:r w:rsidRPr="003704AC">
        <w:t xml:space="preserve"> </w:t>
      </w:r>
    </w:p>
    <w:p w14:paraId="0D747346" w14:textId="77777777" w:rsidR="000459ED" w:rsidRPr="003704AC" w:rsidRDefault="000459ED" w:rsidP="000459ED">
      <w:pPr>
        <w:spacing w:line="480" w:lineRule="auto"/>
        <w:rPr>
          <w:b/>
          <w:bCs/>
          <w:i/>
          <w:iCs/>
          <w:color w:val="000000"/>
        </w:rPr>
      </w:pPr>
      <w:r w:rsidRPr="003704AC">
        <w:rPr>
          <w:b/>
          <w:bCs/>
          <w:i/>
          <w:iCs/>
          <w:color w:val="000000"/>
        </w:rPr>
        <w:t xml:space="preserve">3.2.3 Daily Meat Cravings </w:t>
      </w:r>
    </w:p>
    <w:p w14:paraId="206D2B21" w14:textId="4272413B" w:rsidR="000459ED" w:rsidRPr="003704AC" w:rsidRDefault="000459ED" w:rsidP="000459ED">
      <w:pPr>
        <w:spacing w:line="480" w:lineRule="auto"/>
        <w:ind w:firstLine="720"/>
        <w:rPr>
          <w:color w:val="000000"/>
        </w:rPr>
      </w:pPr>
      <w:r w:rsidRPr="003704AC">
        <w:rPr>
          <w:color w:val="000000"/>
        </w:rPr>
        <w:t xml:space="preserve">To test Hypothesis 2b, we conducted a linear mixed-effect procedure, similar to the one used for daily meat consumption, using </w:t>
      </w:r>
      <w:r w:rsidR="00345F8D" w:rsidRPr="0058443A">
        <w:rPr>
          <w:color w:val="000000"/>
        </w:rPr>
        <w:t>stepwise</w:t>
      </w:r>
      <w:r w:rsidR="00345F8D" w:rsidRPr="003704AC">
        <w:rPr>
          <w:color w:val="000000"/>
        </w:rPr>
        <w:t xml:space="preserve"> </w:t>
      </w:r>
      <w:r w:rsidRPr="003704AC">
        <w:rPr>
          <w:color w:val="000000"/>
        </w:rPr>
        <w:t xml:space="preserve">comparisons of model fit. Simplified models were tested against more complex ones. </w:t>
      </w:r>
      <w:r w:rsidRPr="003704AC">
        <w:t>Because the outcome variable (craving) was ordinal (range 0-2), we performed a series of cumulative</w:t>
      </w:r>
      <w:r w:rsidR="00965C48" w:rsidRPr="003704AC">
        <w:t>-</w:t>
      </w:r>
      <w:r w:rsidRPr="003704AC">
        <w:t xml:space="preserve">link mixed models (or </w:t>
      </w:r>
      <w:r w:rsidRPr="003704AC">
        <w:rPr>
          <w:i/>
          <w:iCs/>
        </w:rPr>
        <w:t>order regression models</w:t>
      </w:r>
      <w:r w:rsidRPr="003704AC">
        <w:t xml:space="preserve">) with random effects using the ordinal package in R (Christensen, 2019). </w:t>
      </w:r>
      <w:r w:rsidRPr="0058443A">
        <w:t xml:space="preserve">Stepwise model comparison showed that a model of the fixed effect of Time (28 days) and Subjects as a random effect did not improve upon the Intercept-only model, </w:t>
      </w:r>
      <w:r w:rsidRPr="0058443A">
        <w:rPr>
          <w:i/>
          <w:iCs/>
          <w:lang w:val="el-GR"/>
        </w:rPr>
        <w:t>χ</w:t>
      </w:r>
      <w:r w:rsidRPr="0058443A">
        <w:rPr>
          <w:i/>
          <w:iCs/>
          <w:vertAlign w:val="superscript"/>
        </w:rPr>
        <w:t>2</w:t>
      </w:r>
      <w:r w:rsidRPr="0058443A">
        <w:t>(27) =</w:t>
      </w:r>
      <w:r w:rsidR="008C64F2" w:rsidRPr="0058443A">
        <w:t xml:space="preserve"> </w:t>
      </w:r>
      <w:r w:rsidRPr="0058443A">
        <w:t xml:space="preserve">34.28, </w:t>
      </w:r>
      <w:r w:rsidRPr="0058443A">
        <w:rPr>
          <w:i/>
          <w:iCs/>
        </w:rPr>
        <w:t>p</w:t>
      </w:r>
      <w:r w:rsidRPr="0058443A">
        <w:t xml:space="preserve"> = .16. Thus, Time was excluded from the procedure. Model comparison showed that a full model, with interactions of Pledge x CO and Pledge x Country included, did not significantly improve upon a simpler model with the Pledge x CO interaction removed, </w:t>
      </w:r>
      <w:r w:rsidRPr="0058443A">
        <w:rPr>
          <w:i/>
          <w:iCs/>
          <w:lang w:val="el-GR"/>
        </w:rPr>
        <w:t>χ</w:t>
      </w:r>
      <w:r w:rsidRPr="0058443A">
        <w:rPr>
          <w:i/>
          <w:iCs/>
          <w:vertAlign w:val="superscript"/>
        </w:rPr>
        <w:t>2</w:t>
      </w:r>
      <w:r w:rsidRPr="0058443A">
        <w:t xml:space="preserve">(1) = 2.40, </w:t>
      </w:r>
      <w:r w:rsidRPr="0058443A">
        <w:rPr>
          <w:i/>
          <w:iCs/>
        </w:rPr>
        <w:t>p</w:t>
      </w:r>
      <w:r w:rsidRPr="0058443A">
        <w:t xml:space="preserve"> = </w:t>
      </w:r>
      <w:r w:rsidR="00861A11" w:rsidRPr="0058443A">
        <w:t>.</w:t>
      </w:r>
      <w:r w:rsidRPr="0058443A">
        <w:t xml:space="preserve">12. The Pledge x Country also did not improve model fit, </w:t>
      </w:r>
      <w:r w:rsidRPr="0058443A">
        <w:rPr>
          <w:i/>
          <w:iCs/>
          <w:lang w:val="el-GR"/>
        </w:rPr>
        <w:t>χ</w:t>
      </w:r>
      <w:r w:rsidRPr="0058443A">
        <w:rPr>
          <w:i/>
          <w:iCs/>
          <w:vertAlign w:val="superscript"/>
        </w:rPr>
        <w:t>2</w:t>
      </w:r>
      <w:r w:rsidRPr="0058443A">
        <w:t xml:space="preserve">(2) = 1.11, </w:t>
      </w:r>
      <w:r w:rsidRPr="0058443A">
        <w:rPr>
          <w:i/>
          <w:iCs/>
        </w:rPr>
        <w:t>p</w:t>
      </w:r>
      <w:r w:rsidRPr="0058443A">
        <w:t xml:space="preserve"> = .57, when tested against a simpler model of Pledge, Country, and CO as fixed effects, and Subject as a random effect. Country also did not improve model fit, </w:t>
      </w:r>
      <w:r w:rsidRPr="0058443A">
        <w:rPr>
          <w:i/>
          <w:iCs/>
          <w:lang w:val="el-GR"/>
        </w:rPr>
        <w:t>χ</w:t>
      </w:r>
      <w:r w:rsidRPr="0058443A">
        <w:rPr>
          <w:i/>
          <w:iCs/>
          <w:vertAlign w:val="superscript"/>
        </w:rPr>
        <w:t>2</w:t>
      </w:r>
      <w:r w:rsidRPr="0058443A">
        <w:t xml:space="preserve">(2) = 3.88, </w:t>
      </w:r>
      <w:r w:rsidRPr="0058443A">
        <w:rPr>
          <w:i/>
          <w:iCs/>
        </w:rPr>
        <w:t>p</w:t>
      </w:r>
      <w:r w:rsidRPr="0058443A">
        <w:t xml:space="preserve"> = .14. </w:t>
      </w:r>
      <w:r w:rsidRPr="003704AC">
        <w:t xml:space="preserve">The model of best fit for daily meat cravings included Pledge and CO as fixed effects, and Subjects as a random effect.  </w:t>
      </w:r>
      <w:r w:rsidRPr="003704AC">
        <w:rPr>
          <w:color w:val="000000"/>
        </w:rPr>
        <w:t xml:space="preserve">This model was superior to an Intercept-only model, </w:t>
      </w:r>
      <w:r w:rsidRPr="003704AC">
        <w:rPr>
          <w:i/>
          <w:iCs/>
          <w:color w:val="000000"/>
        </w:rPr>
        <w:t>χ</w:t>
      </w:r>
      <w:r w:rsidRPr="003704AC">
        <w:rPr>
          <w:color w:val="000000"/>
          <w:vertAlign w:val="superscript"/>
        </w:rPr>
        <w:t>2</w:t>
      </w:r>
      <w:r w:rsidRPr="003704AC">
        <w:rPr>
          <w:color w:val="000000"/>
        </w:rPr>
        <w:t xml:space="preserve"> (2) = 11.72, </w:t>
      </w:r>
      <w:r w:rsidRPr="003704AC">
        <w:rPr>
          <w:i/>
          <w:iCs/>
          <w:color w:val="000000"/>
        </w:rPr>
        <w:t>p</w:t>
      </w:r>
      <w:r w:rsidRPr="003704AC">
        <w:rPr>
          <w:color w:val="000000"/>
        </w:rPr>
        <w:t xml:space="preserve"> = .003, and a Pledge-only model</w:t>
      </w:r>
      <w:r w:rsidR="00E90F05" w:rsidRPr="003704AC">
        <w:rPr>
          <w:color w:val="000000"/>
        </w:rPr>
        <w:t xml:space="preserve">, </w:t>
      </w:r>
      <w:r w:rsidR="00E90F05" w:rsidRPr="003704AC">
        <w:rPr>
          <w:i/>
          <w:iCs/>
          <w:color w:val="000000"/>
        </w:rPr>
        <w:t>χ</w:t>
      </w:r>
      <w:r w:rsidR="00E90F05" w:rsidRPr="003704AC">
        <w:rPr>
          <w:color w:val="000000"/>
          <w:vertAlign w:val="superscript"/>
        </w:rPr>
        <w:t>2</w:t>
      </w:r>
      <w:r w:rsidR="00E90F05" w:rsidRPr="003704AC">
        <w:rPr>
          <w:color w:val="000000"/>
        </w:rPr>
        <w:t xml:space="preserve"> (1) = 8.52, </w:t>
      </w:r>
      <w:r w:rsidR="00E90F05" w:rsidRPr="003704AC">
        <w:rPr>
          <w:i/>
          <w:iCs/>
          <w:color w:val="000000"/>
        </w:rPr>
        <w:t>p</w:t>
      </w:r>
      <w:r w:rsidR="00E90F05" w:rsidRPr="003704AC">
        <w:rPr>
          <w:color w:val="000000"/>
        </w:rPr>
        <w:t xml:space="preserve"> = .004.</w:t>
      </w:r>
    </w:p>
    <w:p w14:paraId="7A182A67" w14:textId="343D5E3C" w:rsidR="000459ED" w:rsidRPr="003704AC" w:rsidRDefault="000459ED" w:rsidP="00660CDC">
      <w:pPr>
        <w:spacing w:line="480" w:lineRule="auto"/>
        <w:ind w:firstLine="720"/>
      </w:pPr>
      <w:r w:rsidRPr="003704AC">
        <w:t xml:space="preserve">Opposite from predictions (Hypothesis 2b), pledging participants craved meat </w:t>
      </w:r>
      <w:r w:rsidRPr="003704AC">
        <w:rPr>
          <w:i/>
          <w:iCs/>
        </w:rPr>
        <w:t>more</w:t>
      </w:r>
      <w:r w:rsidRPr="003704AC">
        <w:t xml:space="preserve"> than control participants, </w:t>
      </w:r>
      <w:r w:rsidRPr="003704AC">
        <w:rPr>
          <w:i/>
          <w:lang w:val="el-GR"/>
        </w:rPr>
        <w:t>β</w:t>
      </w:r>
      <w:r w:rsidRPr="003704AC">
        <w:t xml:space="preserve"> = </w:t>
      </w:r>
      <w:r w:rsidR="00861A11" w:rsidRPr="003704AC">
        <w:t>0</w:t>
      </w:r>
      <w:r w:rsidRPr="003704AC">
        <w:t xml:space="preserve">.52, </w:t>
      </w:r>
      <w:r w:rsidRPr="003704AC">
        <w:rPr>
          <w:i/>
        </w:rPr>
        <w:t>SE</w:t>
      </w:r>
      <w:r w:rsidRPr="003704AC">
        <w:t xml:space="preserve"> = .20, </w:t>
      </w:r>
      <w:r w:rsidRPr="003704AC">
        <w:rPr>
          <w:i/>
        </w:rPr>
        <w:t>z</w:t>
      </w:r>
      <w:r w:rsidRPr="003704AC">
        <w:t xml:space="preserve"> = 2.60, </w:t>
      </w:r>
      <w:r w:rsidRPr="003704AC">
        <w:rPr>
          <w:i/>
        </w:rPr>
        <w:t>p</w:t>
      </w:r>
      <w:r w:rsidRPr="003704AC">
        <w:t xml:space="preserve"> = .01, 95%CI [0.13, 1.25]. </w:t>
      </w:r>
      <w:r w:rsidRPr="0058443A">
        <w:rPr>
          <w:color w:val="000000"/>
        </w:rPr>
        <w:t>This finding likely reflects an expression of persistent meat attachment among our omnivorous participants who were avoiding meat during the 28-day pledge (see Discussion).</w:t>
      </w:r>
      <w:r w:rsidRPr="003704AC">
        <w:rPr>
          <w:color w:val="000000"/>
        </w:rPr>
        <w:t> </w:t>
      </w:r>
      <w:r w:rsidRPr="0058443A">
        <w:t xml:space="preserve">We also found that meat cravings tended to decrease </w:t>
      </w:r>
      <w:r w:rsidR="00E418AF" w:rsidRPr="0058443A">
        <w:t>by 5%</w:t>
      </w:r>
      <w:r w:rsidRPr="0058443A">
        <w:t xml:space="preserve"> for every unit increase in omnivore </w:t>
      </w:r>
      <w:r w:rsidRPr="0058443A">
        <w:lastRenderedPageBreak/>
        <w:t>conflict</w:t>
      </w:r>
      <w:r w:rsidRPr="003704AC">
        <w:t xml:space="preserve">, </w:t>
      </w:r>
      <w:r w:rsidRPr="003704AC">
        <w:rPr>
          <w:i/>
          <w:lang w:val="el-GR"/>
        </w:rPr>
        <w:t>β</w:t>
      </w:r>
      <w:r w:rsidRPr="003704AC">
        <w:t xml:space="preserve"> = -0.05, </w:t>
      </w:r>
      <w:r w:rsidRPr="003704AC">
        <w:rPr>
          <w:i/>
        </w:rPr>
        <w:t>SE</w:t>
      </w:r>
      <w:r w:rsidRPr="003704AC">
        <w:t xml:space="preserve"> = .02, </w:t>
      </w:r>
      <w:r w:rsidRPr="003704AC">
        <w:rPr>
          <w:i/>
        </w:rPr>
        <w:t>z</w:t>
      </w:r>
      <w:r w:rsidRPr="003704AC">
        <w:t xml:space="preserve"> = -2.88, </w:t>
      </w:r>
      <w:r w:rsidRPr="003704AC">
        <w:rPr>
          <w:i/>
        </w:rPr>
        <w:t>p</w:t>
      </w:r>
      <w:r w:rsidRPr="003704AC">
        <w:t xml:space="preserve"> = .004, 95%CI [-0.09, -0.02]. </w:t>
      </w:r>
      <w:r w:rsidRPr="0058443A">
        <w:t>The variance of the random effect, Subject, was 3.36 (</w:t>
      </w:r>
      <w:r w:rsidRPr="0058443A">
        <w:rPr>
          <w:i/>
        </w:rPr>
        <w:t>SD</w:t>
      </w:r>
      <w:r w:rsidRPr="0058443A">
        <w:t xml:space="preserve"> = 1.83). </w:t>
      </w:r>
    </w:p>
    <w:p w14:paraId="548C4986" w14:textId="77777777" w:rsidR="000459ED" w:rsidRPr="003704AC" w:rsidRDefault="000459ED" w:rsidP="000459ED">
      <w:pPr>
        <w:spacing w:line="480" w:lineRule="auto"/>
        <w:rPr>
          <w:b/>
          <w:bCs/>
          <w:i/>
          <w:iCs/>
          <w:color w:val="000000"/>
        </w:rPr>
      </w:pPr>
      <w:r w:rsidRPr="003704AC">
        <w:rPr>
          <w:b/>
          <w:bCs/>
          <w:i/>
          <w:iCs/>
          <w:color w:val="000000"/>
        </w:rPr>
        <w:t xml:space="preserve">3.2.4 Meat Commitment and Justifications </w:t>
      </w:r>
    </w:p>
    <w:p w14:paraId="0C1F9C32" w14:textId="441FCF26" w:rsidR="000459ED" w:rsidRPr="003704AC" w:rsidRDefault="000459ED" w:rsidP="000459ED">
      <w:pPr>
        <w:spacing w:line="480" w:lineRule="auto"/>
        <w:ind w:firstLine="720"/>
      </w:pPr>
      <w:r w:rsidRPr="0058443A">
        <w:rPr>
          <w:color w:val="000000"/>
        </w:rPr>
        <w:t xml:space="preserve">To test Hypotheses 2c-d, we used linear mixed-effect modeling, </w:t>
      </w:r>
      <w:r w:rsidR="00DA7728" w:rsidRPr="0058443A">
        <w:rPr>
          <w:color w:val="000000"/>
        </w:rPr>
        <w:t>much like we did for</w:t>
      </w:r>
      <w:r w:rsidRPr="0058443A">
        <w:rPr>
          <w:color w:val="000000"/>
        </w:rPr>
        <w:t xml:space="preserve"> 24-hour meat consumption. For meat commitment, we first tested a model with Pledge and Timepoint (intake, outtake, follow-up), and their interaction, as fixed effects, and Subject as a random effect. This model allowed us to test Hypothesis 2c, but it did not improve upon the Intercept-only model, </w:t>
      </w:r>
      <w:r w:rsidRPr="0058443A">
        <w:rPr>
          <w:lang w:val="el-GR"/>
        </w:rPr>
        <w:t>χ</w:t>
      </w:r>
      <w:r w:rsidRPr="0058443A">
        <w:rPr>
          <w:vertAlign w:val="superscript"/>
        </w:rPr>
        <w:t>2</w:t>
      </w:r>
      <w:r w:rsidRPr="0058443A">
        <w:t xml:space="preserve">(5) =1.67, </w:t>
      </w:r>
      <w:r w:rsidRPr="0058443A">
        <w:rPr>
          <w:i/>
        </w:rPr>
        <w:t>p</w:t>
      </w:r>
      <w:r w:rsidRPr="0058443A">
        <w:t xml:space="preserve"> = .89</w:t>
      </w:r>
      <w:r w:rsidR="00E90F05" w:rsidRPr="0058443A">
        <w:t>, which means that neither Pledge, Timepoint, nor their interaction predicted changes in meat commitment</w:t>
      </w:r>
      <w:r w:rsidRPr="0058443A">
        <w:t>.</w:t>
      </w:r>
      <w:r w:rsidRPr="003704AC">
        <w:t xml:space="preserve"> Thus, Hypothesis 2c was not supported.</w:t>
      </w:r>
    </w:p>
    <w:p w14:paraId="33B7D77F" w14:textId="70729171" w:rsidR="000459ED" w:rsidRPr="003704AC" w:rsidRDefault="000459ED" w:rsidP="000459ED">
      <w:pPr>
        <w:spacing w:line="480" w:lineRule="auto"/>
        <w:ind w:firstLine="720"/>
      </w:pPr>
      <w:r w:rsidRPr="0058443A">
        <w:t>Next, for exploratory purposes, we</w:t>
      </w:r>
      <w:r w:rsidRPr="0058443A">
        <w:rPr>
          <w:color w:val="000000"/>
        </w:rPr>
        <w:t xml:space="preserve"> tested a model with the fixed effects of CO and Country</w:t>
      </w:r>
      <w:r w:rsidRPr="0058443A">
        <w:rPr>
          <w:rStyle w:val="FootnoteReference"/>
          <w:color w:val="000000"/>
        </w:rPr>
        <w:footnoteReference w:id="7"/>
      </w:r>
      <w:r w:rsidRPr="0058443A">
        <w:rPr>
          <w:color w:val="000000"/>
        </w:rPr>
        <w:t>, alongside Subject</w:t>
      </w:r>
      <w:r w:rsidR="00E90F05" w:rsidRPr="0058443A">
        <w:rPr>
          <w:color w:val="000000"/>
        </w:rPr>
        <w:t xml:space="preserve"> as a random effect</w:t>
      </w:r>
      <w:r w:rsidR="00345F8D" w:rsidRPr="0058443A">
        <w:rPr>
          <w:color w:val="000000"/>
        </w:rPr>
        <w:t xml:space="preserve"> on meat commitment</w:t>
      </w:r>
      <w:r w:rsidRPr="0058443A">
        <w:rPr>
          <w:color w:val="000000"/>
        </w:rPr>
        <w:t xml:space="preserve">. </w:t>
      </w:r>
      <w:r w:rsidRPr="0058443A">
        <w:t xml:space="preserve">This model showed improvement on the Intercept-only model, </w:t>
      </w:r>
      <w:r w:rsidRPr="0058443A">
        <w:rPr>
          <w:lang w:val="el-GR"/>
        </w:rPr>
        <w:t>χ</w:t>
      </w:r>
      <w:r w:rsidRPr="0058443A">
        <w:rPr>
          <w:vertAlign w:val="superscript"/>
        </w:rPr>
        <w:t>2</w:t>
      </w:r>
      <w:r w:rsidRPr="0058443A">
        <w:t xml:space="preserve">(7) =57.89, </w:t>
      </w:r>
      <w:r w:rsidRPr="0058443A">
        <w:rPr>
          <w:i/>
        </w:rPr>
        <w:t>p</w:t>
      </w:r>
      <w:r w:rsidRPr="0058443A">
        <w:t xml:space="preserve"> &lt; .001. Closer inspection of model estimates showed </w:t>
      </w:r>
      <w:r w:rsidR="00345F8D" w:rsidRPr="0058443A">
        <w:t>that</w:t>
      </w:r>
      <w:r w:rsidRPr="0058443A">
        <w:t xml:space="preserve"> the effect</w:t>
      </w:r>
      <w:r w:rsidR="00E90F05" w:rsidRPr="0058443A">
        <w:t xml:space="preserve"> of Country</w:t>
      </w:r>
      <w:r w:rsidRPr="0058443A">
        <w:t xml:space="preserve"> </w:t>
      </w:r>
      <w:r w:rsidR="00E90F05" w:rsidRPr="0058443A">
        <w:t>was</w:t>
      </w:r>
      <w:r w:rsidRPr="0058443A">
        <w:t xml:space="preserve"> not statistically significant (</w:t>
      </w:r>
      <w:r w:rsidRPr="0058443A">
        <w:rPr>
          <w:i/>
        </w:rPr>
        <w:t>p</w:t>
      </w:r>
      <w:r w:rsidRPr="0058443A">
        <w:t xml:space="preserve"> </w:t>
      </w:r>
      <w:r w:rsidR="00E90F05" w:rsidRPr="0058443A">
        <w:t>=</w:t>
      </w:r>
      <w:r w:rsidRPr="0058443A">
        <w:t xml:space="preserve"> .</w:t>
      </w:r>
      <w:r w:rsidR="00E90F05" w:rsidRPr="0058443A">
        <w:t>93</w:t>
      </w:r>
      <w:r w:rsidRPr="0058443A">
        <w:t>)</w:t>
      </w:r>
      <w:r w:rsidR="00345F8D" w:rsidRPr="0058443A">
        <w:rPr>
          <w:color w:val="000000"/>
        </w:rPr>
        <w:t xml:space="preserve">, </w:t>
      </w:r>
      <w:r w:rsidR="00A95E60" w:rsidRPr="0058443A">
        <w:rPr>
          <w:color w:val="000000"/>
        </w:rPr>
        <w:t>thus,</w:t>
      </w:r>
      <w:r w:rsidR="00345F8D" w:rsidRPr="0058443A">
        <w:rPr>
          <w:color w:val="000000"/>
        </w:rPr>
        <w:t xml:space="preserve"> it was excluded from the model</w:t>
      </w:r>
      <w:r w:rsidR="00A95E60" w:rsidRPr="0058443A">
        <w:rPr>
          <w:color w:val="000000"/>
        </w:rPr>
        <w:t>.</w:t>
      </w:r>
      <w:r w:rsidRPr="003704AC">
        <w:rPr>
          <w:color w:val="000000"/>
        </w:rPr>
        <w:t xml:space="preserve"> The best fit model included CO only as a fixed effect, and Subject as a random effect</w:t>
      </w:r>
      <w:r w:rsidR="00E90F05" w:rsidRPr="003704AC">
        <w:rPr>
          <w:rStyle w:val="FootnoteReference"/>
          <w:color w:val="000000"/>
        </w:rPr>
        <w:footnoteReference w:id="8"/>
      </w:r>
      <w:r w:rsidRPr="003704AC">
        <w:rPr>
          <w:color w:val="000000"/>
        </w:rPr>
        <w:t xml:space="preserve">. This model significantly improved upon the Intercept-only model, </w:t>
      </w:r>
      <w:r w:rsidRPr="003704AC">
        <w:rPr>
          <w:lang w:val="el-GR"/>
        </w:rPr>
        <w:t>χ</w:t>
      </w:r>
      <w:r w:rsidRPr="003704AC">
        <w:rPr>
          <w:vertAlign w:val="superscript"/>
        </w:rPr>
        <w:t>2</w:t>
      </w:r>
      <w:r w:rsidRPr="003704AC">
        <w:t xml:space="preserve">(1) =54.02, </w:t>
      </w:r>
      <w:r w:rsidRPr="003704AC">
        <w:rPr>
          <w:i/>
        </w:rPr>
        <w:t>p</w:t>
      </w:r>
      <w:r w:rsidRPr="003704AC">
        <w:t xml:space="preserve"> &lt;.001. </w:t>
      </w:r>
      <w:r w:rsidRPr="0058443A">
        <w:t>Estimates of this final model</w:t>
      </w:r>
      <w:r w:rsidRPr="0058443A">
        <w:rPr>
          <w:rStyle w:val="FootnoteReference"/>
        </w:rPr>
        <w:footnoteReference w:id="9"/>
      </w:r>
      <w:r w:rsidRPr="0058443A">
        <w:t xml:space="preserve"> indicated that for every unit increase in omnivore conflict, meat commitment decreased by </w:t>
      </w:r>
      <w:r w:rsidRPr="0058443A">
        <w:rPr>
          <w:i/>
          <w:lang w:val="el-GR"/>
        </w:rPr>
        <w:t>β</w:t>
      </w:r>
      <w:r w:rsidRPr="0058443A">
        <w:t xml:space="preserve"> = -</w:t>
      </w:r>
      <w:r w:rsidR="000A4098" w:rsidRPr="0058443A">
        <w:t>0</w:t>
      </w:r>
      <w:r w:rsidRPr="0058443A">
        <w:t xml:space="preserve">.67, </w:t>
      </w:r>
      <w:r w:rsidRPr="0058443A">
        <w:rPr>
          <w:i/>
        </w:rPr>
        <w:t>SE</w:t>
      </w:r>
      <w:r w:rsidRPr="0058443A">
        <w:t xml:space="preserve"> = .09, </w:t>
      </w:r>
      <w:r w:rsidRPr="0058443A">
        <w:rPr>
          <w:i/>
        </w:rPr>
        <w:t>t</w:t>
      </w:r>
      <w:r w:rsidRPr="0058443A">
        <w:t xml:space="preserve"> = -7.37, </w:t>
      </w:r>
      <w:r w:rsidRPr="0058443A">
        <w:rPr>
          <w:i/>
        </w:rPr>
        <w:t>p</w:t>
      </w:r>
      <w:r w:rsidRPr="0058443A">
        <w:t xml:space="preserve"> &lt; .001, 95%CI [-0.85, -0.49]. For the random effect of Subjects, variance = 19.02, </w:t>
      </w:r>
      <w:r w:rsidRPr="0058443A">
        <w:rPr>
          <w:i/>
        </w:rPr>
        <w:t>SD</w:t>
      </w:r>
      <w:r w:rsidRPr="0058443A">
        <w:t xml:space="preserve"> = 4.36, ICC = .67, pseudo-R</w:t>
      </w:r>
      <w:r w:rsidRPr="0058443A">
        <w:rPr>
          <w:vertAlign w:val="superscript"/>
        </w:rPr>
        <w:t xml:space="preserve">2 </w:t>
      </w:r>
      <w:r w:rsidRPr="0058443A">
        <w:t>(total) = .75.</w:t>
      </w:r>
      <w:r w:rsidRPr="003704AC">
        <w:t xml:space="preserve">  </w:t>
      </w:r>
    </w:p>
    <w:p w14:paraId="6EA1BB9A" w14:textId="3CB4CCBA" w:rsidR="000459ED" w:rsidRPr="003704AC" w:rsidRDefault="000459ED" w:rsidP="004A2539">
      <w:pPr>
        <w:spacing w:line="480" w:lineRule="auto"/>
        <w:ind w:firstLine="720"/>
      </w:pPr>
      <w:r w:rsidRPr="0058443A">
        <w:t xml:space="preserve">A similar procedure was used for 4N-meat justifications. </w:t>
      </w:r>
      <w:r w:rsidR="004A2539" w:rsidRPr="003704AC">
        <w:t xml:space="preserve"> A mixed-effect linear model with Pledge and Timepoint, and their interaction, as fixed effects, and Subject as a random </w:t>
      </w:r>
      <w:r w:rsidR="004A2539" w:rsidRPr="003704AC">
        <w:lastRenderedPageBreak/>
        <w:t xml:space="preserve">effect, improved upon the Intercept-only model, </w:t>
      </w:r>
      <w:r w:rsidR="004A2539" w:rsidRPr="003704AC">
        <w:rPr>
          <w:lang w:val="el-GR"/>
        </w:rPr>
        <w:t>χ</w:t>
      </w:r>
      <w:r w:rsidR="004A2539" w:rsidRPr="003704AC">
        <w:rPr>
          <w:vertAlign w:val="superscript"/>
        </w:rPr>
        <w:t>2</w:t>
      </w:r>
      <w:r w:rsidR="004A2539" w:rsidRPr="003704AC">
        <w:t xml:space="preserve">(5) =31.23, </w:t>
      </w:r>
      <w:r w:rsidR="004A2539" w:rsidRPr="003704AC">
        <w:rPr>
          <w:i/>
        </w:rPr>
        <w:t>p</w:t>
      </w:r>
      <w:r w:rsidR="004A2539" w:rsidRPr="003704AC">
        <w:t xml:space="preserve"> &lt;.001. Adding the random effect improved the model compared to a model with no random effect, </w:t>
      </w:r>
      <w:r w:rsidR="004A2539" w:rsidRPr="003704AC">
        <w:rPr>
          <w:lang w:val="el-GR"/>
        </w:rPr>
        <w:t>χ</w:t>
      </w:r>
      <w:r w:rsidR="004A2539" w:rsidRPr="003704AC">
        <w:rPr>
          <w:vertAlign w:val="superscript"/>
        </w:rPr>
        <w:t>2</w:t>
      </w:r>
      <w:r w:rsidR="004A2539" w:rsidRPr="003704AC">
        <w:t xml:space="preserve">(1) =153.28, </w:t>
      </w:r>
      <w:r w:rsidR="004A2539" w:rsidRPr="003704AC">
        <w:rPr>
          <w:i/>
        </w:rPr>
        <w:t>p</w:t>
      </w:r>
      <w:r w:rsidR="004A2539" w:rsidRPr="003704AC">
        <w:t xml:space="preserve"> &lt;.001. Inspection of the model estimates revealed that only Timepoint had a significant effect and, thus, we fitted a simpler model with Timepoint as a fixed effect and Subjects as a random effect, which had a better fit relative to an Intercept-only model, </w:t>
      </w:r>
      <w:r w:rsidR="004A2539" w:rsidRPr="003704AC">
        <w:rPr>
          <w:lang w:val="el-GR"/>
        </w:rPr>
        <w:t>χ</w:t>
      </w:r>
      <w:r w:rsidR="004A2539" w:rsidRPr="003704AC">
        <w:rPr>
          <w:vertAlign w:val="superscript"/>
        </w:rPr>
        <w:t>2</w:t>
      </w:r>
      <w:r w:rsidR="004A2539" w:rsidRPr="003704AC">
        <w:t xml:space="preserve">(2) =27.29, </w:t>
      </w:r>
      <w:r w:rsidR="004A2539" w:rsidRPr="003704AC">
        <w:rPr>
          <w:i/>
        </w:rPr>
        <w:t>p</w:t>
      </w:r>
      <w:r w:rsidR="004A2539" w:rsidRPr="003704AC">
        <w:t xml:space="preserve"> &lt;.001. </w:t>
      </w:r>
      <w:r w:rsidRPr="003704AC">
        <w:t>Estimates of the final model</w:t>
      </w:r>
      <w:r w:rsidRPr="003704AC">
        <w:rPr>
          <w:rStyle w:val="FootnoteReference"/>
        </w:rPr>
        <w:footnoteReference w:id="10"/>
      </w:r>
      <w:r w:rsidRPr="003704AC">
        <w:t xml:space="preserve"> indicated that participants tended to justify meat consumption less in the follow-up survey than at intake, </w:t>
      </w:r>
      <w:r w:rsidRPr="003704AC">
        <w:rPr>
          <w:i/>
          <w:lang w:val="el-GR"/>
        </w:rPr>
        <w:t>β</w:t>
      </w:r>
      <w:r w:rsidRPr="003704AC">
        <w:t xml:space="preserve"> = -1.23, </w:t>
      </w:r>
      <w:r w:rsidRPr="003704AC">
        <w:rPr>
          <w:i/>
        </w:rPr>
        <w:t>SE</w:t>
      </w:r>
      <w:r w:rsidRPr="003704AC">
        <w:t xml:space="preserve"> = .58, </w:t>
      </w:r>
      <w:r w:rsidRPr="003704AC">
        <w:rPr>
          <w:i/>
        </w:rPr>
        <w:t>t</w:t>
      </w:r>
      <w:r w:rsidRPr="003704AC">
        <w:t xml:space="preserve"> = -2.12, </w:t>
      </w:r>
      <w:r w:rsidRPr="003704AC">
        <w:rPr>
          <w:i/>
        </w:rPr>
        <w:t>p</w:t>
      </w:r>
      <w:r w:rsidRPr="003704AC">
        <w:t xml:space="preserve"> = .035, 95%CI [-2.36, -0.09]. There was no significant difference in meat justification between intake and outtake, </w:t>
      </w:r>
      <w:r w:rsidRPr="003704AC">
        <w:rPr>
          <w:i/>
          <w:lang w:val="el-GR"/>
        </w:rPr>
        <w:t>β</w:t>
      </w:r>
      <w:r w:rsidRPr="003704AC">
        <w:t xml:space="preserve"> = -0.82, </w:t>
      </w:r>
      <w:r w:rsidRPr="003704AC">
        <w:rPr>
          <w:i/>
        </w:rPr>
        <w:t>SE</w:t>
      </w:r>
      <w:r w:rsidRPr="003704AC">
        <w:t xml:space="preserve"> = .54, </w:t>
      </w:r>
      <w:r w:rsidRPr="003704AC">
        <w:rPr>
          <w:i/>
        </w:rPr>
        <w:t>t</w:t>
      </w:r>
      <w:r w:rsidRPr="003704AC">
        <w:t xml:space="preserve"> = -1.53, </w:t>
      </w:r>
      <w:r w:rsidRPr="003704AC">
        <w:rPr>
          <w:i/>
        </w:rPr>
        <w:t>p</w:t>
      </w:r>
      <w:r w:rsidRPr="003704AC">
        <w:t xml:space="preserve"> = .12, 95%CI [-1.87, 0.23]</w:t>
      </w:r>
      <w:r w:rsidR="00117DD0" w:rsidRPr="003704AC">
        <w:t xml:space="preserve">, or between outtake and follow-up, </w:t>
      </w:r>
      <w:r w:rsidR="00117DD0" w:rsidRPr="003704AC">
        <w:rPr>
          <w:i/>
          <w:lang w:val="el-GR"/>
        </w:rPr>
        <w:t>β</w:t>
      </w:r>
      <w:r w:rsidR="00117DD0" w:rsidRPr="003704AC">
        <w:t xml:space="preserve"> = -0.41, SE = .58, </w:t>
      </w:r>
      <w:r w:rsidR="00117DD0" w:rsidRPr="003704AC">
        <w:rPr>
          <w:i/>
        </w:rPr>
        <w:t>t</w:t>
      </w:r>
      <w:r w:rsidR="00117DD0" w:rsidRPr="003704AC">
        <w:t xml:space="preserve"> = -0.70, </w:t>
      </w:r>
      <w:r w:rsidR="00117DD0" w:rsidRPr="003704AC">
        <w:rPr>
          <w:i/>
        </w:rPr>
        <w:t>p</w:t>
      </w:r>
      <w:r w:rsidR="00117DD0" w:rsidRPr="003704AC">
        <w:t xml:space="preserve"> = .48, 95%CI [-1.54, 0.73]</w:t>
      </w:r>
      <w:r w:rsidRPr="003704AC">
        <w:t xml:space="preserve">. </w:t>
      </w:r>
      <w:r w:rsidRPr="0058443A">
        <w:t xml:space="preserve">For the random effect of Subject, variance = 24.95, </w:t>
      </w:r>
      <w:r w:rsidRPr="0058443A">
        <w:rPr>
          <w:i/>
        </w:rPr>
        <w:t>SD</w:t>
      </w:r>
      <w:r w:rsidRPr="0058443A">
        <w:t xml:space="preserve"> = 5.00, ICC = .64, pseudo-R</w:t>
      </w:r>
      <w:r w:rsidRPr="0058443A">
        <w:rPr>
          <w:vertAlign w:val="superscript"/>
        </w:rPr>
        <w:t xml:space="preserve">2 </w:t>
      </w:r>
      <w:r w:rsidRPr="0058443A">
        <w:t>(total) = .64</w:t>
      </w:r>
      <w:r w:rsidRPr="003704AC">
        <w:t xml:space="preserve">. </w:t>
      </w:r>
      <w:r w:rsidRPr="0058443A">
        <w:t xml:space="preserve">Thus, we did not find support for Hypothesis 2d. Instead, there was a general reduction in 4N-meat justification endorsement at </w:t>
      </w:r>
      <w:r w:rsidR="00117DD0" w:rsidRPr="0058443A">
        <w:t>one</w:t>
      </w:r>
      <w:r w:rsidRPr="0058443A">
        <w:t>-month follow-up, relative to intake, among both pledging and control participants.</w:t>
      </w:r>
      <w:r w:rsidRPr="003704AC">
        <w:t xml:space="preserve"> </w:t>
      </w:r>
    </w:p>
    <w:p w14:paraId="4DA6FF2D" w14:textId="3617BA01" w:rsidR="000459ED" w:rsidRPr="003704AC" w:rsidRDefault="000459ED" w:rsidP="000459ED">
      <w:pPr>
        <w:spacing w:line="480" w:lineRule="auto"/>
        <w:ind w:firstLine="720"/>
      </w:pPr>
      <w:r w:rsidRPr="0058443A">
        <w:t>For exploratory purposes, we also tested a model that added CO and Country as fixed effects alongside Timepoint and Subject. Estimates of this model are presented in Table 4. As can be seen, for every unit increase in omnivore conflict, endorsement of meat justifications decreased by approximately a half-unit, and German participants endorsed the 4Ns less than Australian participants</w:t>
      </w:r>
      <w:r w:rsidR="007D0A36" w:rsidRPr="0058443A">
        <w:t>,</w:t>
      </w:r>
      <w:r w:rsidRPr="0058443A">
        <w:t xml:space="preserve"> but not significantly less than UK participants. Australian participants endorsed the 4Ns more than UK participants, </w:t>
      </w:r>
      <w:r w:rsidRPr="0058443A">
        <w:rPr>
          <w:i/>
          <w:lang w:val="el-GR"/>
        </w:rPr>
        <w:t>β</w:t>
      </w:r>
      <w:r w:rsidRPr="0058443A">
        <w:t xml:space="preserve"> = 3.18, </w:t>
      </w:r>
      <w:r w:rsidRPr="0058443A">
        <w:rPr>
          <w:i/>
        </w:rPr>
        <w:t>SE</w:t>
      </w:r>
      <w:r w:rsidRPr="0058443A">
        <w:t xml:space="preserve"> = 1.34, </w:t>
      </w:r>
      <w:r w:rsidRPr="0058443A">
        <w:rPr>
          <w:i/>
        </w:rPr>
        <w:t>t</w:t>
      </w:r>
      <w:r w:rsidRPr="0058443A">
        <w:t xml:space="preserve"> = 2.38, </w:t>
      </w:r>
      <w:r w:rsidRPr="0058443A">
        <w:rPr>
          <w:i/>
        </w:rPr>
        <w:t>p</w:t>
      </w:r>
      <w:r w:rsidRPr="0058443A">
        <w:t xml:space="preserve"> = .02, 95%CI [0.56, 5.80].</w:t>
      </w:r>
    </w:p>
    <w:p w14:paraId="1A98417C" w14:textId="77777777" w:rsidR="000459ED" w:rsidRPr="003704AC" w:rsidRDefault="000459ED" w:rsidP="000459ED"/>
    <w:p w14:paraId="5E14E73F" w14:textId="77777777" w:rsidR="000459ED" w:rsidRPr="0058443A" w:rsidRDefault="000459ED" w:rsidP="000459ED">
      <w:pPr>
        <w:spacing w:line="480" w:lineRule="auto"/>
        <w:rPr>
          <w:b/>
        </w:rPr>
      </w:pPr>
      <w:bookmarkStart w:id="0" w:name="_Hlk65836484"/>
      <w:r w:rsidRPr="0058443A">
        <w:rPr>
          <w:b/>
        </w:rPr>
        <w:t>Table 4</w:t>
      </w:r>
    </w:p>
    <w:p w14:paraId="62F83460" w14:textId="77777777" w:rsidR="000459ED" w:rsidRPr="003704AC" w:rsidRDefault="000459ED" w:rsidP="000459ED">
      <w:pPr>
        <w:spacing w:line="480" w:lineRule="auto"/>
        <w:rPr>
          <w:i/>
          <w:iCs/>
        </w:rPr>
      </w:pPr>
      <w:r w:rsidRPr="003704AC">
        <w:rPr>
          <w:i/>
          <w:iCs/>
        </w:rPr>
        <w:t xml:space="preserve">Estimates for the Mixed-Effect Model of 4N-Meat Justification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1045"/>
        <w:gridCol w:w="627"/>
        <w:gridCol w:w="1043"/>
        <w:gridCol w:w="749"/>
        <w:gridCol w:w="1529"/>
      </w:tblGrid>
      <w:tr w:rsidR="000459ED" w:rsidRPr="003704AC" w14:paraId="19E7A652" w14:textId="77777777" w:rsidTr="002A14A1">
        <w:tc>
          <w:tcPr>
            <w:tcW w:w="0" w:type="auto"/>
            <w:tcBorders>
              <w:top w:val="single" w:sz="4" w:space="0" w:color="auto"/>
              <w:left w:val="nil"/>
              <w:bottom w:val="nil"/>
              <w:right w:val="nil"/>
            </w:tcBorders>
          </w:tcPr>
          <w:p w14:paraId="66FE3491" w14:textId="77777777" w:rsidR="000459ED" w:rsidRPr="003704AC" w:rsidRDefault="000459ED" w:rsidP="002A14A1">
            <w:pPr>
              <w:jc w:val="center"/>
              <w:rPr>
                <w:rFonts w:ascii="Times New Roman" w:hAnsi="Times New Roman" w:cs="Times New Roman"/>
                <w:sz w:val="24"/>
                <w:szCs w:val="24"/>
              </w:rPr>
            </w:pPr>
            <w:r w:rsidRPr="003704AC">
              <w:lastRenderedPageBreak/>
              <w:t>Fixed Effects</w:t>
            </w:r>
          </w:p>
          <w:p w14:paraId="41339BE2"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73EFF495"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5786DCE8"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BD595F5"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7BE6C47F"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5F0D3CF0" w14:textId="77777777" w:rsidR="000459ED" w:rsidRPr="003704AC" w:rsidRDefault="000459ED" w:rsidP="002A14A1">
            <w:pPr>
              <w:jc w:val="center"/>
              <w:rPr>
                <w:rFonts w:ascii="Times New Roman" w:hAnsi="Times New Roman" w:cs="Times New Roman"/>
                <w:sz w:val="24"/>
                <w:szCs w:val="24"/>
              </w:rPr>
            </w:pPr>
          </w:p>
        </w:tc>
      </w:tr>
      <w:tr w:rsidR="000459ED" w:rsidRPr="003704AC" w14:paraId="3F2D908A" w14:textId="77777777" w:rsidTr="002A14A1">
        <w:tc>
          <w:tcPr>
            <w:tcW w:w="0" w:type="auto"/>
            <w:tcBorders>
              <w:top w:val="nil"/>
              <w:left w:val="nil"/>
              <w:bottom w:val="single" w:sz="4" w:space="0" w:color="auto"/>
              <w:right w:val="nil"/>
            </w:tcBorders>
          </w:tcPr>
          <w:p w14:paraId="66E4572D"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60F14CCF" w14:textId="77777777" w:rsidR="000459ED" w:rsidRPr="003704AC" w:rsidRDefault="000459ED" w:rsidP="002A14A1">
            <w:pPr>
              <w:jc w:val="center"/>
              <w:rPr>
                <w:rFonts w:ascii="Times New Roman" w:hAnsi="Times New Roman" w:cs="Times New Roman"/>
                <w:sz w:val="24"/>
                <w:szCs w:val="24"/>
              </w:rPr>
            </w:pPr>
            <w:r w:rsidRPr="003704AC">
              <w:t>Estimate</w:t>
            </w:r>
          </w:p>
          <w:p w14:paraId="241C9DE2"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hideMark/>
          </w:tcPr>
          <w:p w14:paraId="78E1A42A" w14:textId="77777777" w:rsidR="000459ED" w:rsidRPr="003704AC" w:rsidRDefault="000459ED" w:rsidP="002A14A1">
            <w:pPr>
              <w:jc w:val="center"/>
              <w:rPr>
                <w:rFonts w:ascii="Times New Roman" w:hAnsi="Times New Roman" w:cs="Times New Roman"/>
                <w:i/>
                <w:sz w:val="24"/>
                <w:szCs w:val="24"/>
              </w:rPr>
            </w:pPr>
            <w:r w:rsidRPr="003704AC">
              <w:rPr>
                <w:i/>
              </w:rPr>
              <w:t>SE</w:t>
            </w:r>
          </w:p>
        </w:tc>
        <w:tc>
          <w:tcPr>
            <w:tcW w:w="0" w:type="auto"/>
            <w:tcBorders>
              <w:top w:val="nil"/>
              <w:left w:val="nil"/>
              <w:bottom w:val="single" w:sz="4" w:space="0" w:color="auto"/>
              <w:right w:val="nil"/>
            </w:tcBorders>
            <w:hideMark/>
          </w:tcPr>
          <w:p w14:paraId="0363E0E3" w14:textId="64AA0EC6" w:rsidR="000459ED" w:rsidRPr="003704AC" w:rsidRDefault="007D0A36" w:rsidP="002A14A1">
            <w:pPr>
              <w:jc w:val="center"/>
              <w:rPr>
                <w:rFonts w:ascii="Times New Roman" w:hAnsi="Times New Roman" w:cs="Times New Roman"/>
                <w:i/>
                <w:sz w:val="24"/>
                <w:szCs w:val="24"/>
              </w:rPr>
            </w:pPr>
            <w:r w:rsidRPr="003704AC">
              <w:rPr>
                <w:i/>
              </w:rPr>
              <w:t>t</w:t>
            </w:r>
          </w:p>
        </w:tc>
        <w:tc>
          <w:tcPr>
            <w:tcW w:w="0" w:type="auto"/>
            <w:tcBorders>
              <w:top w:val="nil"/>
              <w:left w:val="nil"/>
              <w:bottom w:val="single" w:sz="4" w:space="0" w:color="auto"/>
              <w:right w:val="nil"/>
            </w:tcBorders>
            <w:hideMark/>
          </w:tcPr>
          <w:p w14:paraId="29B7213C" w14:textId="4A1CE04E" w:rsidR="000459ED" w:rsidRPr="003704AC" w:rsidRDefault="007D0A36" w:rsidP="002A14A1">
            <w:pPr>
              <w:jc w:val="center"/>
              <w:rPr>
                <w:rFonts w:ascii="Times New Roman" w:hAnsi="Times New Roman" w:cs="Times New Roman"/>
                <w:i/>
                <w:sz w:val="24"/>
                <w:szCs w:val="24"/>
              </w:rPr>
            </w:pPr>
            <w:r w:rsidRPr="003704AC">
              <w:rPr>
                <w:i/>
              </w:rPr>
              <w:t>p</w:t>
            </w:r>
          </w:p>
        </w:tc>
        <w:tc>
          <w:tcPr>
            <w:tcW w:w="0" w:type="auto"/>
            <w:tcBorders>
              <w:top w:val="nil"/>
              <w:left w:val="nil"/>
              <w:bottom w:val="single" w:sz="4" w:space="0" w:color="auto"/>
              <w:right w:val="nil"/>
            </w:tcBorders>
            <w:hideMark/>
          </w:tcPr>
          <w:p w14:paraId="7182BA2F" w14:textId="77777777" w:rsidR="000459ED" w:rsidRPr="003704AC" w:rsidRDefault="000459ED" w:rsidP="002A14A1">
            <w:pPr>
              <w:jc w:val="center"/>
              <w:rPr>
                <w:rFonts w:ascii="Times New Roman" w:hAnsi="Times New Roman" w:cs="Times New Roman"/>
                <w:sz w:val="24"/>
                <w:szCs w:val="24"/>
              </w:rPr>
            </w:pPr>
            <w:r w:rsidRPr="003704AC">
              <w:t>95%CI</w:t>
            </w:r>
          </w:p>
        </w:tc>
      </w:tr>
      <w:tr w:rsidR="000459ED" w:rsidRPr="003704AC" w14:paraId="0A7CA95F" w14:textId="77777777" w:rsidTr="002A14A1">
        <w:tc>
          <w:tcPr>
            <w:tcW w:w="0" w:type="auto"/>
            <w:tcBorders>
              <w:top w:val="single" w:sz="4" w:space="0" w:color="auto"/>
              <w:left w:val="nil"/>
              <w:bottom w:val="nil"/>
              <w:right w:val="nil"/>
            </w:tcBorders>
          </w:tcPr>
          <w:p w14:paraId="520ED486" w14:textId="77777777" w:rsidR="000459ED" w:rsidRPr="003704AC" w:rsidRDefault="000459ED" w:rsidP="002A14A1">
            <w:pPr>
              <w:jc w:val="center"/>
              <w:rPr>
                <w:rFonts w:ascii="Times New Roman" w:hAnsi="Times New Roman" w:cs="Times New Roman"/>
                <w:sz w:val="24"/>
                <w:szCs w:val="24"/>
              </w:rPr>
            </w:pPr>
            <w:r w:rsidRPr="003704AC">
              <w:t>(Intercept)</w:t>
            </w:r>
          </w:p>
          <w:p w14:paraId="1DFC0315"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680EED68" w14:textId="77777777" w:rsidR="000459ED" w:rsidRPr="003704AC" w:rsidRDefault="000459ED" w:rsidP="002A14A1">
            <w:pPr>
              <w:jc w:val="center"/>
              <w:rPr>
                <w:rFonts w:ascii="Times New Roman" w:hAnsi="Times New Roman" w:cs="Times New Roman"/>
                <w:sz w:val="24"/>
                <w:szCs w:val="24"/>
              </w:rPr>
            </w:pPr>
            <w:r w:rsidRPr="003704AC">
              <w:t>69.52</w:t>
            </w:r>
          </w:p>
        </w:tc>
        <w:tc>
          <w:tcPr>
            <w:tcW w:w="0" w:type="auto"/>
            <w:tcBorders>
              <w:top w:val="single" w:sz="4" w:space="0" w:color="auto"/>
              <w:left w:val="nil"/>
              <w:bottom w:val="nil"/>
              <w:right w:val="nil"/>
            </w:tcBorders>
            <w:hideMark/>
          </w:tcPr>
          <w:p w14:paraId="1FB69223" w14:textId="77777777" w:rsidR="000459ED" w:rsidRPr="003704AC" w:rsidRDefault="000459ED" w:rsidP="002A14A1">
            <w:pPr>
              <w:jc w:val="center"/>
              <w:rPr>
                <w:rFonts w:ascii="Times New Roman" w:hAnsi="Times New Roman" w:cs="Times New Roman"/>
                <w:sz w:val="24"/>
                <w:szCs w:val="24"/>
              </w:rPr>
            </w:pPr>
            <w:r w:rsidRPr="003704AC">
              <w:t>2.36</w:t>
            </w:r>
          </w:p>
        </w:tc>
        <w:tc>
          <w:tcPr>
            <w:tcW w:w="0" w:type="auto"/>
            <w:tcBorders>
              <w:top w:val="single" w:sz="4" w:space="0" w:color="auto"/>
              <w:left w:val="nil"/>
              <w:bottom w:val="nil"/>
              <w:right w:val="nil"/>
            </w:tcBorders>
            <w:hideMark/>
          </w:tcPr>
          <w:p w14:paraId="3A111D03" w14:textId="77777777" w:rsidR="000459ED" w:rsidRPr="003704AC" w:rsidRDefault="000459ED" w:rsidP="002A14A1">
            <w:pPr>
              <w:jc w:val="center"/>
              <w:rPr>
                <w:rFonts w:ascii="Times New Roman" w:hAnsi="Times New Roman" w:cs="Times New Roman"/>
                <w:sz w:val="24"/>
                <w:szCs w:val="24"/>
              </w:rPr>
            </w:pPr>
            <w:r w:rsidRPr="003704AC">
              <w:t>29.51</w:t>
            </w:r>
          </w:p>
        </w:tc>
        <w:tc>
          <w:tcPr>
            <w:tcW w:w="0" w:type="auto"/>
            <w:tcBorders>
              <w:top w:val="single" w:sz="4" w:space="0" w:color="auto"/>
              <w:left w:val="nil"/>
              <w:bottom w:val="nil"/>
              <w:right w:val="nil"/>
            </w:tcBorders>
            <w:hideMark/>
          </w:tcPr>
          <w:p w14:paraId="3D92BCD4"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top w:val="single" w:sz="4" w:space="0" w:color="auto"/>
              <w:left w:val="nil"/>
              <w:bottom w:val="nil"/>
              <w:right w:val="nil"/>
            </w:tcBorders>
            <w:hideMark/>
          </w:tcPr>
          <w:p w14:paraId="4162E875" w14:textId="77777777" w:rsidR="000459ED" w:rsidRPr="003704AC" w:rsidRDefault="000459ED" w:rsidP="002A14A1">
            <w:pPr>
              <w:jc w:val="center"/>
              <w:rPr>
                <w:rFonts w:ascii="Times New Roman" w:hAnsi="Times New Roman" w:cs="Times New Roman"/>
                <w:sz w:val="24"/>
                <w:szCs w:val="24"/>
              </w:rPr>
            </w:pPr>
            <w:r w:rsidRPr="003704AC">
              <w:t>[64.91, 74.14]</w:t>
            </w:r>
          </w:p>
        </w:tc>
      </w:tr>
      <w:tr w:rsidR="000459ED" w:rsidRPr="003704AC" w14:paraId="5A0C7A65" w14:textId="77777777" w:rsidTr="002A14A1">
        <w:tc>
          <w:tcPr>
            <w:tcW w:w="0" w:type="auto"/>
          </w:tcPr>
          <w:p w14:paraId="6B7A6552" w14:textId="77777777" w:rsidR="000459ED" w:rsidRPr="003704AC" w:rsidRDefault="000459ED" w:rsidP="002A14A1">
            <w:pPr>
              <w:jc w:val="center"/>
              <w:rPr>
                <w:rFonts w:ascii="Times New Roman" w:hAnsi="Times New Roman" w:cs="Times New Roman"/>
                <w:sz w:val="24"/>
                <w:szCs w:val="24"/>
              </w:rPr>
            </w:pPr>
            <w:r w:rsidRPr="003704AC">
              <w:t>Outtake</w:t>
            </w:r>
          </w:p>
          <w:p w14:paraId="518DE363" w14:textId="77777777" w:rsidR="000459ED" w:rsidRPr="003704AC" w:rsidRDefault="000459ED" w:rsidP="002A14A1">
            <w:pPr>
              <w:jc w:val="center"/>
              <w:rPr>
                <w:rFonts w:ascii="Times New Roman" w:hAnsi="Times New Roman" w:cs="Times New Roman"/>
                <w:sz w:val="24"/>
                <w:szCs w:val="24"/>
              </w:rPr>
            </w:pPr>
          </w:p>
        </w:tc>
        <w:tc>
          <w:tcPr>
            <w:tcW w:w="0" w:type="auto"/>
          </w:tcPr>
          <w:p w14:paraId="4B593CAF" w14:textId="35475AA4" w:rsidR="000459ED" w:rsidRPr="003704AC" w:rsidRDefault="000459ED" w:rsidP="002A14A1">
            <w:pPr>
              <w:jc w:val="center"/>
              <w:rPr>
                <w:rFonts w:ascii="Times New Roman" w:hAnsi="Times New Roman" w:cs="Times New Roman"/>
                <w:sz w:val="24"/>
                <w:szCs w:val="24"/>
              </w:rPr>
            </w:pPr>
            <w:r w:rsidRPr="003704AC">
              <w:t>-</w:t>
            </w:r>
            <w:r w:rsidR="007D0A36" w:rsidRPr="003704AC">
              <w:t>0</w:t>
            </w:r>
            <w:r w:rsidRPr="003704AC">
              <w:t>.92</w:t>
            </w:r>
          </w:p>
        </w:tc>
        <w:tc>
          <w:tcPr>
            <w:tcW w:w="0" w:type="auto"/>
          </w:tcPr>
          <w:p w14:paraId="3979D8BF" w14:textId="18BB51DE" w:rsidR="000459ED" w:rsidRPr="003704AC" w:rsidRDefault="007D0A36" w:rsidP="002A14A1">
            <w:pPr>
              <w:jc w:val="center"/>
              <w:rPr>
                <w:rFonts w:ascii="Times New Roman" w:hAnsi="Times New Roman" w:cs="Times New Roman"/>
                <w:sz w:val="24"/>
                <w:szCs w:val="24"/>
              </w:rPr>
            </w:pPr>
            <w:r w:rsidRPr="003704AC">
              <w:t>0</w:t>
            </w:r>
            <w:r w:rsidR="000459ED" w:rsidRPr="003704AC">
              <w:t>.53</w:t>
            </w:r>
          </w:p>
        </w:tc>
        <w:tc>
          <w:tcPr>
            <w:tcW w:w="0" w:type="auto"/>
          </w:tcPr>
          <w:p w14:paraId="127CE2B1" w14:textId="77777777" w:rsidR="000459ED" w:rsidRPr="003704AC" w:rsidRDefault="000459ED" w:rsidP="002A14A1">
            <w:pPr>
              <w:jc w:val="center"/>
              <w:rPr>
                <w:rFonts w:ascii="Times New Roman" w:hAnsi="Times New Roman" w:cs="Times New Roman"/>
                <w:sz w:val="24"/>
                <w:szCs w:val="24"/>
              </w:rPr>
            </w:pPr>
            <w:r w:rsidRPr="003704AC">
              <w:t>-1.72</w:t>
            </w:r>
          </w:p>
        </w:tc>
        <w:tc>
          <w:tcPr>
            <w:tcW w:w="0" w:type="auto"/>
          </w:tcPr>
          <w:p w14:paraId="5C1168D4" w14:textId="77777777" w:rsidR="000459ED" w:rsidRPr="003704AC" w:rsidRDefault="000459ED" w:rsidP="002A14A1">
            <w:pPr>
              <w:jc w:val="center"/>
              <w:rPr>
                <w:rFonts w:ascii="Times New Roman" w:hAnsi="Times New Roman" w:cs="Times New Roman"/>
                <w:sz w:val="24"/>
                <w:szCs w:val="24"/>
              </w:rPr>
            </w:pPr>
            <w:r w:rsidRPr="003704AC">
              <w:t>.09</w:t>
            </w:r>
          </w:p>
        </w:tc>
        <w:tc>
          <w:tcPr>
            <w:tcW w:w="0" w:type="auto"/>
          </w:tcPr>
          <w:p w14:paraId="22EF86A0" w14:textId="77777777" w:rsidR="000459ED" w:rsidRPr="003704AC" w:rsidRDefault="000459ED" w:rsidP="002A14A1">
            <w:pPr>
              <w:jc w:val="center"/>
              <w:rPr>
                <w:rFonts w:ascii="Times New Roman" w:hAnsi="Times New Roman" w:cs="Times New Roman"/>
                <w:sz w:val="24"/>
                <w:szCs w:val="24"/>
              </w:rPr>
            </w:pPr>
            <w:r w:rsidRPr="003704AC">
              <w:t>[-1.96, 0.13]</w:t>
            </w:r>
          </w:p>
        </w:tc>
      </w:tr>
      <w:tr w:rsidR="000459ED" w:rsidRPr="003704AC" w14:paraId="070FA914" w14:textId="77777777" w:rsidTr="002A14A1">
        <w:tc>
          <w:tcPr>
            <w:tcW w:w="0" w:type="auto"/>
          </w:tcPr>
          <w:p w14:paraId="2BC05F77" w14:textId="77777777" w:rsidR="000459ED" w:rsidRPr="003704AC" w:rsidRDefault="000459ED" w:rsidP="002A14A1">
            <w:pPr>
              <w:jc w:val="center"/>
              <w:rPr>
                <w:rFonts w:ascii="Times New Roman" w:hAnsi="Times New Roman" w:cs="Times New Roman"/>
                <w:sz w:val="24"/>
                <w:szCs w:val="24"/>
              </w:rPr>
            </w:pPr>
            <w:r w:rsidRPr="003704AC">
              <w:t>Follow-up</w:t>
            </w:r>
          </w:p>
          <w:p w14:paraId="0E1B2BDB" w14:textId="77777777" w:rsidR="000459ED" w:rsidRPr="003704AC" w:rsidRDefault="000459ED" w:rsidP="002A14A1">
            <w:pPr>
              <w:jc w:val="center"/>
              <w:rPr>
                <w:rFonts w:ascii="Times New Roman" w:hAnsi="Times New Roman" w:cs="Times New Roman"/>
                <w:sz w:val="24"/>
                <w:szCs w:val="24"/>
              </w:rPr>
            </w:pPr>
          </w:p>
        </w:tc>
        <w:tc>
          <w:tcPr>
            <w:tcW w:w="0" w:type="auto"/>
            <w:hideMark/>
          </w:tcPr>
          <w:p w14:paraId="436E18F2" w14:textId="77777777" w:rsidR="000459ED" w:rsidRPr="003704AC" w:rsidRDefault="000459ED" w:rsidP="002A14A1">
            <w:pPr>
              <w:jc w:val="center"/>
              <w:rPr>
                <w:rFonts w:ascii="Times New Roman" w:hAnsi="Times New Roman" w:cs="Times New Roman"/>
                <w:sz w:val="24"/>
                <w:szCs w:val="24"/>
              </w:rPr>
            </w:pPr>
            <w:r w:rsidRPr="003704AC">
              <w:t>-1.20</w:t>
            </w:r>
          </w:p>
        </w:tc>
        <w:tc>
          <w:tcPr>
            <w:tcW w:w="0" w:type="auto"/>
            <w:hideMark/>
          </w:tcPr>
          <w:p w14:paraId="71BFD214" w14:textId="12CB06F3" w:rsidR="000459ED" w:rsidRPr="003704AC" w:rsidRDefault="007D0A36" w:rsidP="002A14A1">
            <w:pPr>
              <w:jc w:val="center"/>
              <w:rPr>
                <w:rFonts w:ascii="Times New Roman" w:hAnsi="Times New Roman" w:cs="Times New Roman"/>
                <w:sz w:val="24"/>
                <w:szCs w:val="24"/>
              </w:rPr>
            </w:pPr>
            <w:r w:rsidRPr="003704AC">
              <w:t>0</w:t>
            </w:r>
            <w:r w:rsidR="000459ED" w:rsidRPr="003704AC">
              <w:t>.57</w:t>
            </w:r>
          </w:p>
        </w:tc>
        <w:tc>
          <w:tcPr>
            <w:tcW w:w="0" w:type="auto"/>
            <w:hideMark/>
          </w:tcPr>
          <w:p w14:paraId="66EB451F" w14:textId="77777777" w:rsidR="000459ED" w:rsidRPr="003704AC" w:rsidRDefault="000459ED" w:rsidP="002A14A1">
            <w:pPr>
              <w:jc w:val="center"/>
              <w:rPr>
                <w:rFonts w:ascii="Times New Roman" w:hAnsi="Times New Roman" w:cs="Times New Roman"/>
                <w:sz w:val="24"/>
                <w:szCs w:val="24"/>
              </w:rPr>
            </w:pPr>
            <w:r w:rsidRPr="003704AC">
              <w:t>-2.09</w:t>
            </w:r>
          </w:p>
        </w:tc>
        <w:tc>
          <w:tcPr>
            <w:tcW w:w="0" w:type="auto"/>
            <w:hideMark/>
          </w:tcPr>
          <w:p w14:paraId="6AC799D7" w14:textId="77777777" w:rsidR="000459ED" w:rsidRPr="003704AC" w:rsidRDefault="000459ED" w:rsidP="002A14A1">
            <w:pPr>
              <w:jc w:val="center"/>
              <w:rPr>
                <w:rFonts w:ascii="Times New Roman" w:hAnsi="Times New Roman" w:cs="Times New Roman"/>
                <w:sz w:val="24"/>
                <w:szCs w:val="24"/>
              </w:rPr>
            </w:pPr>
            <w:r w:rsidRPr="003704AC">
              <w:t xml:space="preserve"> .04</w:t>
            </w:r>
          </w:p>
        </w:tc>
        <w:tc>
          <w:tcPr>
            <w:tcW w:w="0" w:type="auto"/>
            <w:hideMark/>
          </w:tcPr>
          <w:p w14:paraId="0665B64F" w14:textId="77777777" w:rsidR="000459ED" w:rsidRPr="003704AC" w:rsidRDefault="000459ED" w:rsidP="002A14A1">
            <w:pPr>
              <w:jc w:val="center"/>
              <w:rPr>
                <w:rFonts w:ascii="Times New Roman" w:hAnsi="Times New Roman" w:cs="Times New Roman"/>
                <w:sz w:val="24"/>
                <w:szCs w:val="24"/>
              </w:rPr>
            </w:pPr>
            <w:r w:rsidRPr="003704AC">
              <w:t>[-2.32, -0.07]</w:t>
            </w:r>
          </w:p>
        </w:tc>
      </w:tr>
      <w:tr w:rsidR="000459ED" w:rsidRPr="003704AC" w14:paraId="72D34071" w14:textId="77777777" w:rsidTr="002A14A1">
        <w:tc>
          <w:tcPr>
            <w:tcW w:w="0" w:type="auto"/>
          </w:tcPr>
          <w:p w14:paraId="7ED61677" w14:textId="77777777" w:rsidR="000459ED" w:rsidRPr="003704AC" w:rsidRDefault="000459ED" w:rsidP="002A14A1">
            <w:pPr>
              <w:jc w:val="center"/>
              <w:rPr>
                <w:rFonts w:ascii="Times New Roman" w:hAnsi="Times New Roman" w:cs="Times New Roman"/>
                <w:sz w:val="24"/>
                <w:szCs w:val="24"/>
              </w:rPr>
            </w:pPr>
            <w:r w:rsidRPr="003704AC">
              <w:t>CO</w:t>
            </w:r>
          </w:p>
          <w:p w14:paraId="7628C7E4" w14:textId="77777777" w:rsidR="000459ED" w:rsidRPr="003704AC" w:rsidRDefault="000459ED" w:rsidP="002A14A1">
            <w:pPr>
              <w:rPr>
                <w:rFonts w:ascii="Times New Roman" w:hAnsi="Times New Roman" w:cs="Times New Roman"/>
                <w:sz w:val="24"/>
                <w:szCs w:val="24"/>
              </w:rPr>
            </w:pPr>
          </w:p>
        </w:tc>
        <w:tc>
          <w:tcPr>
            <w:tcW w:w="0" w:type="auto"/>
            <w:hideMark/>
          </w:tcPr>
          <w:p w14:paraId="15896EFD" w14:textId="45C718EA" w:rsidR="000459ED" w:rsidRPr="003704AC" w:rsidRDefault="000459ED" w:rsidP="002A14A1">
            <w:pPr>
              <w:jc w:val="center"/>
              <w:rPr>
                <w:rFonts w:ascii="Times New Roman" w:hAnsi="Times New Roman" w:cs="Times New Roman"/>
                <w:sz w:val="24"/>
                <w:szCs w:val="24"/>
              </w:rPr>
            </w:pPr>
            <w:r w:rsidRPr="003704AC">
              <w:t>-</w:t>
            </w:r>
            <w:r w:rsidR="007D0A36" w:rsidRPr="003704AC">
              <w:t>0</w:t>
            </w:r>
            <w:r w:rsidRPr="003704AC">
              <w:t>.56</w:t>
            </w:r>
          </w:p>
        </w:tc>
        <w:tc>
          <w:tcPr>
            <w:tcW w:w="0" w:type="auto"/>
            <w:hideMark/>
          </w:tcPr>
          <w:p w14:paraId="5473AECF" w14:textId="04A1CFBA" w:rsidR="000459ED" w:rsidRPr="003704AC" w:rsidRDefault="007D0A36" w:rsidP="002A14A1">
            <w:pPr>
              <w:jc w:val="center"/>
              <w:rPr>
                <w:rFonts w:ascii="Times New Roman" w:hAnsi="Times New Roman" w:cs="Times New Roman"/>
                <w:sz w:val="24"/>
                <w:szCs w:val="24"/>
              </w:rPr>
            </w:pPr>
            <w:r w:rsidRPr="003704AC">
              <w:t>0</w:t>
            </w:r>
            <w:r w:rsidR="000459ED" w:rsidRPr="003704AC">
              <w:t>.08</w:t>
            </w:r>
          </w:p>
        </w:tc>
        <w:tc>
          <w:tcPr>
            <w:tcW w:w="0" w:type="auto"/>
            <w:hideMark/>
          </w:tcPr>
          <w:p w14:paraId="75061F4D" w14:textId="77777777" w:rsidR="000459ED" w:rsidRPr="003704AC" w:rsidRDefault="000459ED" w:rsidP="002A14A1">
            <w:pPr>
              <w:jc w:val="center"/>
              <w:rPr>
                <w:rFonts w:ascii="Times New Roman" w:hAnsi="Times New Roman" w:cs="Times New Roman"/>
                <w:sz w:val="24"/>
                <w:szCs w:val="24"/>
              </w:rPr>
            </w:pPr>
            <w:r w:rsidRPr="003704AC">
              <w:t>-6.62</w:t>
            </w:r>
          </w:p>
        </w:tc>
        <w:tc>
          <w:tcPr>
            <w:tcW w:w="0" w:type="auto"/>
            <w:hideMark/>
          </w:tcPr>
          <w:p w14:paraId="06EBC097"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hideMark/>
          </w:tcPr>
          <w:p w14:paraId="1D481ED3" w14:textId="635C6D75" w:rsidR="000459ED" w:rsidRPr="003704AC" w:rsidRDefault="000459ED" w:rsidP="002A14A1">
            <w:pPr>
              <w:jc w:val="center"/>
              <w:rPr>
                <w:rFonts w:ascii="Times New Roman" w:hAnsi="Times New Roman" w:cs="Times New Roman"/>
                <w:sz w:val="24"/>
                <w:szCs w:val="24"/>
              </w:rPr>
            </w:pPr>
            <w:r w:rsidRPr="003704AC">
              <w:t>[-0.72, -</w:t>
            </w:r>
            <w:r w:rsidR="007D0A36" w:rsidRPr="003704AC">
              <w:t>0</w:t>
            </w:r>
            <w:r w:rsidRPr="003704AC">
              <w:t>.39]</w:t>
            </w:r>
          </w:p>
        </w:tc>
      </w:tr>
      <w:tr w:rsidR="000459ED" w:rsidRPr="003704AC" w14:paraId="6A124CE4" w14:textId="77777777" w:rsidTr="002A14A1">
        <w:tc>
          <w:tcPr>
            <w:tcW w:w="0" w:type="auto"/>
            <w:tcBorders>
              <w:top w:val="nil"/>
              <w:left w:val="nil"/>
              <w:right w:val="nil"/>
            </w:tcBorders>
          </w:tcPr>
          <w:p w14:paraId="2D5C2D4E" w14:textId="77777777" w:rsidR="000459ED" w:rsidRPr="003704AC" w:rsidRDefault="000459ED" w:rsidP="002A14A1">
            <w:pPr>
              <w:jc w:val="center"/>
              <w:rPr>
                <w:rFonts w:ascii="Times New Roman" w:hAnsi="Times New Roman" w:cs="Times New Roman"/>
                <w:sz w:val="24"/>
                <w:szCs w:val="24"/>
              </w:rPr>
            </w:pPr>
            <w:r w:rsidRPr="003704AC">
              <w:t>UK</w:t>
            </w:r>
          </w:p>
          <w:p w14:paraId="4442E5B9" w14:textId="77777777" w:rsidR="000459ED" w:rsidRPr="003704AC" w:rsidRDefault="000459ED" w:rsidP="002A14A1">
            <w:pPr>
              <w:rPr>
                <w:rFonts w:ascii="Times New Roman" w:hAnsi="Times New Roman" w:cs="Times New Roman"/>
                <w:sz w:val="24"/>
                <w:szCs w:val="24"/>
              </w:rPr>
            </w:pPr>
          </w:p>
        </w:tc>
        <w:tc>
          <w:tcPr>
            <w:tcW w:w="0" w:type="auto"/>
            <w:tcBorders>
              <w:top w:val="nil"/>
              <w:left w:val="nil"/>
              <w:right w:val="nil"/>
            </w:tcBorders>
            <w:hideMark/>
          </w:tcPr>
          <w:p w14:paraId="5573C29F" w14:textId="77777777" w:rsidR="000459ED" w:rsidRPr="003704AC" w:rsidRDefault="000459ED" w:rsidP="002A14A1">
            <w:pPr>
              <w:jc w:val="center"/>
              <w:rPr>
                <w:rFonts w:ascii="Times New Roman" w:hAnsi="Times New Roman" w:cs="Times New Roman"/>
                <w:sz w:val="24"/>
                <w:szCs w:val="24"/>
              </w:rPr>
            </w:pPr>
            <w:r w:rsidRPr="003704AC">
              <w:t>1.79</w:t>
            </w:r>
          </w:p>
        </w:tc>
        <w:tc>
          <w:tcPr>
            <w:tcW w:w="0" w:type="auto"/>
            <w:tcBorders>
              <w:top w:val="nil"/>
              <w:left w:val="nil"/>
              <w:right w:val="nil"/>
            </w:tcBorders>
            <w:hideMark/>
          </w:tcPr>
          <w:p w14:paraId="54FE347D" w14:textId="384FF7C7" w:rsidR="000459ED" w:rsidRPr="003704AC" w:rsidRDefault="007D0A36" w:rsidP="002A14A1">
            <w:pPr>
              <w:jc w:val="center"/>
              <w:rPr>
                <w:rFonts w:ascii="Times New Roman" w:hAnsi="Times New Roman" w:cs="Times New Roman"/>
                <w:sz w:val="24"/>
                <w:szCs w:val="24"/>
              </w:rPr>
            </w:pPr>
            <w:r w:rsidRPr="003704AC">
              <w:t>0</w:t>
            </w:r>
            <w:r w:rsidR="000459ED" w:rsidRPr="003704AC">
              <w:t>.94</w:t>
            </w:r>
          </w:p>
        </w:tc>
        <w:tc>
          <w:tcPr>
            <w:tcW w:w="0" w:type="auto"/>
            <w:tcBorders>
              <w:top w:val="nil"/>
              <w:left w:val="nil"/>
              <w:right w:val="nil"/>
            </w:tcBorders>
            <w:hideMark/>
          </w:tcPr>
          <w:p w14:paraId="37307A60" w14:textId="77777777" w:rsidR="000459ED" w:rsidRPr="003704AC" w:rsidRDefault="000459ED" w:rsidP="002A14A1">
            <w:pPr>
              <w:jc w:val="center"/>
              <w:rPr>
                <w:rFonts w:ascii="Times New Roman" w:hAnsi="Times New Roman" w:cs="Times New Roman"/>
                <w:sz w:val="24"/>
                <w:szCs w:val="24"/>
              </w:rPr>
            </w:pPr>
            <w:r w:rsidRPr="003704AC">
              <w:t>1.90</w:t>
            </w:r>
          </w:p>
        </w:tc>
        <w:tc>
          <w:tcPr>
            <w:tcW w:w="0" w:type="auto"/>
            <w:tcBorders>
              <w:top w:val="nil"/>
              <w:left w:val="nil"/>
              <w:right w:val="nil"/>
            </w:tcBorders>
            <w:hideMark/>
          </w:tcPr>
          <w:p w14:paraId="59D37BFB" w14:textId="77777777" w:rsidR="000459ED" w:rsidRPr="003704AC" w:rsidRDefault="000459ED" w:rsidP="002A14A1">
            <w:pPr>
              <w:jc w:val="center"/>
              <w:rPr>
                <w:rFonts w:ascii="Times New Roman" w:hAnsi="Times New Roman" w:cs="Times New Roman"/>
                <w:sz w:val="24"/>
                <w:szCs w:val="24"/>
              </w:rPr>
            </w:pPr>
            <w:r w:rsidRPr="003704AC">
              <w:t>.06</w:t>
            </w:r>
          </w:p>
        </w:tc>
        <w:tc>
          <w:tcPr>
            <w:tcW w:w="0" w:type="auto"/>
            <w:tcBorders>
              <w:top w:val="nil"/>
              <w:left w:val="nil"/>
              <w:right w:val="nil"/>
            </w:tcBorders>
            <w:hideMark/>
          </w:tcPr>
          <w:p w14:paraId="2148347C" w14:textId="77777777" w:rsidR="000459ED" w:rsidRPr="003704AC" w:rsidRDefault="000459ED" w:rsidP="002A14A1">
            <w:pPr>
              <w:jc w:val="center"/>
              <w:rPr>
                <w:rFonts w:ascii="Times New Roman" w:hAnsi="Times New Roman" w:cs="Times New Roman"/>
                <w:sz w:val="24"/>
                <w:szCs w:val="24"/>
              </w:rPr>
            </w:pPr>
            <w:r w:rsidRPr="003704AC">
              <w:t>[-0.05, 3.63]</w:t>
            </w:r>
          </w:p>
        </w:tc>
      </w:tr>
      <w:tr w:rsidR="000459ED" w:rsidRPr="003704AC" w14:paraId="4A639D5C" w14:textId="77777777" w:rsidTr="002A14A1">
        <w:tc>
          <w:tcPr>
            <w:tcW w:w="0" w:type="auto"/>
            <w:tcBorders>
              <w:left w:val="nil"/>
              <w:bottom w:val="single" w:sz="4" w:space="0" w:color="auto"/>
              <w:right w:val="nil"/>
            </w:tcBorders>
          </w:tcPr>
          <w:p w14:paraId="5B1CAA7B" w14:textId="77777777" w:rsidR="000459ED" w:rsidRPr="003704AC" w:rsidRDefault="000459ED" w:rsidP="002A14A1">
            <w:pPr>
              <w:jc w:val="center"/>
              <w:rPr>
                <w:rFonts w:ascii="Times New Roman" w:hAnsi="Times New Roman" w:cs="Times New Roman"/>
                <w:sz w:val="24"/>
                <w:szCs w:val="24"/>
              </w:rPr>
            </w:pPr>
            <w:r w:rsidRPr="003704AC">
              <w:t>Australia</w:t>
            </w:r>
          </w:p>
          <w:p w14:paraId="75C520D9" w14:textId="77777777" w:rsidR="000459ED" w:rsidRPr="003704AC" w:rsidRDefault="000459ED" w:rsidP="002A14A1">
            <w:pPr>
              <w:jc w:val="center"/>
              <w:rPr>
                <w:rFonts w:ascii="Times New Roman" w:hAnsi="Times New Roman" w:cs="Times New Roman"/>
                <w:sz w:val="24"/>
                <w:szCs w:val="24"/>
              </w:rPr>
            </w:pPr>
          </w:p>
        </w:tc>
        <w:tc>
          <w:tcPr>
            <w:tcW w:w="0" w:type="auto"/>
            <w:tcBorders>
              <w:left w:val="nil"/>
              <w:bottom w:val="single" w:sz="4" w:space="0" w:color="auto"/>
              <w:right w:val="nil"/>
            </w:tcBorders>
          </w:tcPr>
          <w:p w14:paraId="268A21D0" w14:textId="77777777" w:rsidR="000459ED" w:rsidRPr="003704AC" w:rsidRDefault="000459ED" w:rsidP="002A14A1">
            <w:pPr>
              <w:jc w:val="center"/>
              <w:rPr>
                <w:rFonts w:ascii="Times New Roman" w:hAnsi="Times New Roman" w:cs="Times New Roman"/>
                <w:sz w:val="24"/>
                <w:szCs w:val="24"/>
              </w:rPr>
            </w:pPr>
            <w:r w:rsidRPr="003704AC">
              <w:t>4.97</w:t>
            </w:r>
          </w:p>
        </w:tc>
        <w:tc>
          <w:tcPr>
            <w:tcW w:w="0" w:type="auto"/>
            <w:tcBorders>
              <w:left w:val="nil"/>
              <w:bottom w:val="single" w:sz="4" w:space="0" w:color="auto"/>
              <w:right w:val="nil"/>
            </w:tcBorders>
          </w:tcPr>
          <w:p w14:paraId="1C400181" w14:textId="77777777" w:rsidR="000459ED" w:rsidRPr="003704AC" w:rsidRDefault="000459ED" w:rsidP="002A14A1">
            <w:pPr>
              <w:jc w:val="center"/>
              <w:rPr>
                <w:rFonts w:ascii="Times New Roman" w:hAnsi="Times New Roman" w:cs="Times New Roman"/>
                <w:sz w:val="24"/>
                <w:szCs w:val="24"/>
              </w:rPr>
            </w:pPr>
            <w:r w:rsidRPr="003704AC">
              <w:t>1.31</w:t>
            </w:r>
          </w:p>
        </w:tc>
        <w:tc>
          <w:tcPr>
            <w:tcW w:w="0" w:type="auto"/>
            <w:tcBorders>
              <w:left w:val="nil"/>
              <w:bottom w:val="single" w:sz="4" w:space="0" w:color="auto"/>
              <w:right w:val="nil"/>
            </w:tcBorders>
          </w:tcPr>
          <w:p w14:paraId="5E867CA4" w14:textId="77777777" w:rsidR="000459ED" w:rsidRPr="003704AC" w:rsidRDefault="000459ED" w:rsidP="002A14A1">
            <w:pPr>
              <w:jc w:val="center"/>
              <w:rPr>
                <w:rFonts w:ascii="Times New Roman" w:hAnsi="Times New Roman" w:cs="Times New Roman"/>
                <w:sz w:val="24"/>
                <w:szCs w:val="24"/>
              </w:rPr>
            </w:pPr>
            <w:r w:rsidRPr="003704AC">
              <w:t>3.80</w:t>
            </w:r>
          </w:p>
        </w:tc>
        <w:tc>
          <w:tcPr>
            <w:tcW w:w="0" w:type="auto"/>
            <w:tcBorders>
              <w:left w:val="nil"/>
              <w:bottom w:val="single" w:sz="4" w:space="0" w:color="auto"/>
              <w:right w:val="nil"/>
            </w:tcBorders>
          </w:tcPr>
          <w:p w14:paraId="6868840E" w14:textId="77777777" w:rsidR="000459ED" w:rsidRPr="003704AC" w:rsidRDefault="000459ED" w:rsidP="002A14A1">
            <w:pPr>
              <w:jc w:val="center"/>
              <w:rPr>
                <w:rFonts w:ascii="Times New Roman" w:hAnsi="Times New Roman" w:cs="Times New Roman"/>
                <w:sz w:val="24"/>
                <w:szCs w:val="24"/>
              </w:rPr>
            </w:pPr>
            <w:r w:rsidRPr="003704AC">
              <w:t>&lt;.001</w:t>
            </w:r>
          </w:p>
        </w:tc>
        <w:tc>
          <w:tcPr>
            <w:tcW w:w="0" w:type="auto"/>
            <w:tcBorders>
              <w:left w:val="nil"/>
              <w:bottom w:val="single" w:sz="4" w:space="0" w:color="auto"/>
              <w:right w:val="nil"/>
            </w:tcBorders>
          </w:tcPr>
          <w:p w14:paraId="0C9EFD2F" w14:textId="77777777" w:rsidR="000459ED" w:rsidRPr="003704AC" w:rsidRDefault="000459ED" w:rsidP="002A14A1">
            <w:pPr>
              <w:jc w:val="center"/>
              <w:rPr>
                <w:rFonts w:ascii="Times New Roman" w:hAnsi="Times New Roman" w:cs="Times New Roman"/>
                <w:sz w:val="24"/>
                <w:szCs w:val="24"/>
              </w:rPr>
            </w:pPr>
            <w:r w:rsidRPr="003704AC">
              <w:t>[2.41, 7.53]</w:t>
            </w:r>
          </w:p>
        </w:tc>
      </w:tr>
      <w:tr w:rsidR="000459ED" w:rsidRPr="003704AC" w14:paraId="2DC10799" w14:textId="77777777" w:rsidTr="002A14A1">
        <w:tc>
          <w:tcPr>
            <w:tcW w:w="0" w:type="auto"/>
            <w:tcBorders>
              <w:top w:val="single" w:sz="4" w:space="0" w:color="auto"/>
              <w:left w:val="nil"/>
              <w:bottom w:val="nil"/>
              <w:right w:val="nil"/>
            </w:tcBorders>
          </w:tcPr>
          <w:p w14:paraId="6A98AF7B" w14:textId="77777777" w:rsidR="000459ED" w:rsidRPr="003704AC" w:rsidRDefault="000459ED" w:rsidP="002A14A1">
            <w:pPr>
              <w:jc w:val="center"/>
              <w:rPr>
                <w:rFonts w:ascii="Times New Roman" w:hAnsi="Times New Roman" w:cs="Times New Roman"/>
                <w:sz w:val="24"/>
                <w:szCs w:val="24"/>
              </w:rPr>
            </w:pPr>
            <w:r w:rsidRPr="003704AC">
              <w:t>Random Effects</w:t>
            </w:r>
          </w:p>
          <w:p w14:paraId="7E90F272"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19B20DC8"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5EC769A0"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232C1344"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6CEBE002"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2FFD916E" w14:textId="77777777" w:rsidR="000459ED" w:rsidRPr="003704AC" w:rsidRDefault="000459ED" w:rsidP="002A14A1">
            <w:pPr>
              <w:jc w:val="center"/>
              <w:rPr>
                <w:rFonts w:ascii="Times New Roman" w:hAnsi="Times New Roman" w:cs="Times New Roman"/>
                <w:sz w:val="24"/>
                <w:szCs w:val="24"/>
              </w:rPr>
            </w:pPr>
          </w:p>
        </w:tc>
      </w:tr>
      <w:tr w:rsidR="000459ED" w:rsidRPr="003704AC" w14:paraId="7248F269" w14:textId="77777777" w:rsidTr="002A14A1">
        <w:tc>
          <w:tcPr>
            <w:tcW w:w="0" w:type="auto"/>
            <w:tcBorders>
              <w:top w:val="nil"/>
              <w:left w:val="nil"/>
              <w:bottom w:val="single" w:sz="4" w:space="0" w:color="auto"/>
              <w:right w:val="nil"/>
            </w:tcBorders>
          </w:tcPr>
          <w:p w14:paraId="614D3BDE" w14:textId="77777777" w:rsidR="000459ED" w:rsidRPr="003704AC" w:rsidRDefault="000459ED" w:rsidP="002A14A1">
            <w:pPr>
              <w:jc w:val="center"/>
              <w:rPr>
                <w:rFonts w:ascii="Times New Roman" w:hAnsi="Times New Roman" w:cs="Times New Roman"/>
                <w:sz w:val="24"/>
                <w:szCs w:val="24"/>
              </w:rPr>
            </w:pPr>
            <w:r w:rsidRPr="003704AC">
              <w:t>Groups</w:t>
            </w:r>
          </w:p>
          <w:p w14:paraId="6AFE91D5"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432D7E95"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435DEAAD" w14:textId="77777777" w:rsidR="000459ED" w:rsidRPr="003704AC" w:rsidRDefault="000459ED" w:rsidP="002A14A1">
            <w:pPr>
              <w:jc w:val="center"/>
              <w:rPr>
                <w:rFonts w:ascii="Times New Roman" w:hAnsi="Times New Roman" w:cs="Times New Roman"/>
                <w:sz w:val="24"/>
                <w:szCs w:val="24"/>
              </w:rPr>
            </w:pPr>
          </w:p>
        </w:tc>
        <w:tc>
          <w:tcPr>
            <w:tcW w:w="0" w:type="auto"/>
            <w:tcBorders>
              <w:top w:val="nil"/>
              <w:left w:val="nil"/>
              <w:bottom w:val="single" w:sz="4" w:space="0" w:color="auto"/>
              <w:right w:val="nil"/>
            </w:tcBorders>
            <w:hideMark/>
          </w:tcPr>
          <w:p w14:paraId="0500D2CE" w14:textId="77777777" w:rsidR="000459ED" w:rsidRPr="003704AC" w:rsidRDefault="000459ED" w:rsidP="002A14A1">
            <w:pPr>
              <w:jc w:val="center"/>
              <w:rPr>
                <w:rFonts w:ascii="Times New Roman" w:hAnsi="Times New Roman" w:cs="Times New Roman"/>
                <w:sz w:val="24"/>
                <w:szCs w:val="24"/>
              </w:rPr>
            </w:pPr>
            <w:r w:rsidRPr="003704AC">
              <w:t>Variance</w:t>
            </w:r>
          </w:p>
        </w:tc>
        <w:tc>
          <w:tcPr>
            <w:tcW w:w="0" w:type="auto"/>
            <w:tcBorders>
              <w:top w:val="nil"/>
              <w:left w:val="nil"/>
              <w:bottom w:val="single" w:sz="4" w:space="0" w:color="auto"/>
              <w:right w:val="nil"/>
            </w:tcBorders>
            <w:hideMark/>
          </w:tcPr>
          <w:p w14:paraId="0BA3E827" w14:textId="77777777" w:rsidR="000459ED" w:rsidRPr="003704AC" w:rsidRDefault="000459ED" w:rsidP="002A14A1">
            <w:pPr>
              <w:jc w:val="center"/>
              <w:rPr>
                <w:rFonts w:ascii="Times New Roman" w:hAnsi="Times New Roman" w:cs="Times New Roman"/>
                <w:sz w:val="24"/>
                <w:szCs w:val="24"/>
              </w:rPr>
            </w:pPr>
            <w:r w:rsidRPr="003704AC">
              <w:rPr>
                <w:i/>
              </w:rPr>
              <w:t>SD</w:t>
            </w:r>
          </w:p>
        </w:tc>
        <w:tc>
          <w:tcPr>
            <w:tcW w:w="0" w:type="auto"/>
            <w:tcBorders>
              <w:top w:val="nil"/>
              <w:left w:val="nil"/>
              <w:bottom w:val="single" w:sz="4" w:space="0" w:color="auto"/>
              <w:right w:val="nil"/>
            </w:tcBorders>
          </w:tcPr>
          <w:p w14:paraId="2A0DE64D" w14:textId="77777777" w:rsidR="000459ED" w:rsidRPr="003704AC" w:rsidRDefault="000459ED" w:rsidP="002A14A1">
            <w:pPr>
              <w:rPr>
                <w:rFonts w:ascii="Times New Roman" w:hAnsi="Times New Roman" w:cs="Times New Roman"/>
                <w:i/>
                <w:sz w:val="24"/>
                <w:szCs w:val="24"/>
              </w:rPr>
            </w:pPr>
          </w:p>
        </w:tc>
      </w:tr>
      <w:tr w:rsidR="000459ED" w:rsidRPr="003704AC" w14:paraId="0AFFB3BB" w14:textId="77777777" w:rsidTr="002A14A1">
        <w:tc>
          <w:tcPr>
            <w:tcW w:w="0" w:type="auto"/>
            <w:tcBorders>
              <w:top w:val="single" w:sz="4" w:space="0" w:color="auto"/>
              <w:left w:val="nil"/>
              <w:bottom w:val="single" w:sz="4" w:space="0" w:color="auto"/>
              <w:right w:val="nil"/>
            </w:tcBorders>
          </w:tcPr>
          <w:p w14:paraId="73888932" w14:textId="77777777" w:rsidR="000459ED" w:rsidRPr="003704AC" w:rsidRDefault="000459ED" w:rsidP="002A14A1">
            <w:pPr>
              <w:jc w:val="center"/>
              <w:rPr>
                <w:rFonts w:ascii="Times New Roman" w:hAnsi="Times New Roman" w:cs="Times New Roman"/>
                <w:sz w:val="24"/>
                <w:szCs w:val="24"/>
              </w:rPr>
            </w:pPr>
            <w:r w:rsidRPr="003704AC">
              <w:t>Subjects</w:t>
            </w:r>
          </w:p>
          <w:p w14:paraId="58044876"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375CB61A"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tcPr>
          <w:p w14:paraId="7AC2D81C" w14:textId="77777777" w:rsidR="000459ED" w:rsidRPr="003704AC" w:rsidRDefault="000459ED" w:rsidP="002A14A1">
            <w:pPr>
              <w:jc w:val="center"/>
              <w:rPr>
                <w:rFonts w:ascii="Times New Roman" w:hAnsi="Times New Roman" w:cs="Times New Roman"/>
                <w:sz w:val="24"/>
                <w:szCs w:val="24"/>
              </w:rPr>
            </w:pPr>
          </w:p>
        </w:tc>
        <w:tc>
          <w:tcPr>
            <w:tcW w:w="0" w:type="auto"/>
            <w:tcBorders>
              <w:top w:val="single" w:sz="4" w:space="0" w:color="auto"/>
              <w:left w:val="nil"/>
              <w:bottom w:val="single" w:sz="4" w:space="0" w:color="auto"/>
              <w:right w:val="nil"/>
            </w:tcBorders>
            <w:hideMark/>
          </w:tcPr>
          <w:p w14:paraId="1FE9B41E" w14:textId="77777777" w:rsidR="000459ED" w:rsidRPr="003704AC" w:rsidRDefault="000459ED" w:rsidP="002A14A1">
            <w:pPr>
              <w:jc w:val="center"/>
              <w:rPr>
                <w:rFonts w:ascii="Times New Roman" w:hAnsi="Times New Roman" w:cs="Times New Roman"/>
                <w:sz w:val="24"/>
                <w:szCs w:val="24"/>
              </w:rPr>
            </w:pPr>
            <w:r w:rsidRPr="003704AC">
              <w:t>24.95</w:t>
            </w:r>
          </w:p>
        </w:tc>
        <w:tc>
          <w:tcPr>
            <w:tcW w:w="0" w:type="auto"/>
            <w:tcBorders>
              <w:top w:val="single" w:sz="4" w:space="0" w:color="auto"/>
              <w:left w:val="nil"/>
              <w:bottom w:val="single" w:sz="4" w:space="0" w:color="auto"/>
              <w:right w:val="nil"/>
            </w:tcBorders>
            <w:hideMark/>
          </w:tcPr>
          <w:p w14:paraId="63AFA5CF" w14:textId="77777777" w:rsidR="000459ED" w:rsidRPr="003704AC" w:rsidRDefault="000459ED" w:rsidP="002A14A1">
            <w:pPr>
              <w:jc w:val="center"/>
              <w:rPr>
                <w:rFonts w:ascii="Times New Roman" w:hAnsi="Times New Roman" w:cs="Times New Roman"/>
                <w:sz w:val="24"/>
                <w:szCs w:val="24"/>
              </w:rPr>
            </w:pPr>
            <w:r w:rsidRPr="003704AC">
              <w:t>5.00</w:t>
            </w:r>
          </w:p>
        </w:tc>
        <w:tc>
          <w:tcPr>
            <w:tcW w:w="0" w:type="auto"/>
            <w:tcBorders>
              <w:top w:val="single" w:sz="4" w:space="0" w:color="auto"/>
              <w:left w:val="nil"/>
              <w:bottom w:val="single" w:sz="4" w:space="0" w:color="auto"/>
              <w:right w:val="nil"/>
            </w:tcBorders>
          </w:tcPr>
          <w:p w14:paraId="6478D7E7" w14:textId="77777777" w:rsidR="000459ED" w:rsidRPr="003704AC" w:rsidRDefault="000459ED" w:rsidP="002A14A1">
            <w:pPr>
              <w:jc w:val="center"/>
              <w:rPr>
                <w:rFonts w:ascii="Times New Roman" w:hAnsi="Times New Roman" w:cs="Times New Roman"/>
                <w:sz w:val="24"/>
                <w:szCs w:val="24"/>
              </w:rPr>
            </w:pPr>
          </w:p>
        </w:tc>
      </w:tr>
    </w:tbl>
    <w:p w14:paraId="0E9EB540" w14:textId="77777777" w:rsidR="000459ED" w:rsidRPr="003704AC" w:rsidRDefault="000459ED" w:rsidP="000459ED">
      <w:pPr>
        <w:spacing w:line="480" w:lineRule="auto"/>
        <w:rPr>
          <w:color w:val="000000"/>
          <w:bdr w:val="none" w:sz="0" w:space="0" w:color="auto" w:frame="1"/>
        </w:rPr>
      </w:pPr>
      <w:r w:rsidRPr="003704AC">
        <w:rPr>
          <w:color w:val="000000"/>
          <w:bdr w:val="none" w:sz="0" w:space="0" w:color="auto" w:frame="1"/>
        </w:rPr>
        <w:t xml:space="preserve">Note. Reference level = Germany. Reference level for time-points = Intake. ICC = .57. </w:t>
      </w:r>
    </w:p>
    <w:bookmarkEnd w:id="0"/>
    <w:p w14:paraId="799C0115" w14:textId="77777777" w:rsidR="000459ED" w:rsidRPr="003704AC" w:rsidRDefault="000459ED" w:rsidP="000459ED">
      <w:pPr>
        <w:spacing w:line="480" w:lineRule="auto"/>
        <w:rPr>
          <w:b/>
          <w:i/>
        </w:rPr>
      </w:pPr>
    </w:p>
    <w:p w14:paraId="53E7D7F9" w14:textId="432CF7A6" w:rsidR="00EE3287" w:rsidRPr="0058443A" w:rsidRDefault="000459ED" w:rsidP="002A14A1">
      <w:pPr>
        <w:spacing w:line="480" w:lineRule="auto"/>
      </w:pPr>
      <w:r w:rsidRPr="003704AC">
        <w:rPr>
          <w:i/>
        </w:rPr>
        <w:tab/>
      </w:r>
      <w:r w:rsidRPr="0058443A">
        <w:t xml:space="preserve">In sum, Hypotheses 2c-d were not supported. Pledge did not impact on meat commitment or 4N endorsement. However, </w:t>
      </w:r>
      <w:r w:rsidR="00117DD0" w:rsidRPr="0058443A">
        <w:t>the more conflicted participants were about their meat consumption, the less committed the</w:t>
      </w:r>
      <w:r w:rsidR="004A2539" w:rsidRPr="0058443A">
        <w:t>y</w:t>
      </w:r>
      <w:r w:rsidR="00117DD0" w:rsidRPr="0058443A">
        <w:t xml:space="preserve"> were to eating meat, and the less they endorsed the 4Ns.</w:t>
      </w:r>
      <w:r w:rsidR="00117DD0" w:rsidRPr="003704AC">
        <w:t xml:space="preserve"> </w:t>
      </w:r>
      <w:r w:rsidR="00117DD0" w:rsidRPr="0058443A">
        <w:t>Furthermore,</w:t>
      </w:r>
      <w:r w:rsidRPr="0058443A">
        <w:t xml:space="preserve"> German participants tended to exhibit the lowest levels of meat commitment and 4N endorsement. All participants reported reductions in 4N endorsement </w:t>
      </w:r>
      <w:r w:rsidR="00117DD0" w:rsidRPr="0058443A">
        <w:t xml:space="preserve">one </w:t>
      </w:r>
      <w:r w:rsidRPr="0058443A">
        <w:t>month after outtake, relative to intake.</w:t>
      </w:r>
    </w:p>
    <w:p w14:paraId="1A7EF87E" w14:textId="77777777" w:rsidR="008058C9" w:rsidRPr="003704AC" w:rsidRDefault="000459ED" w:rsidP="002A14A1">
      <w:pPr>
        <w:spacing w:line="480" w:lineRule="auto"/>
        <w:rPr>
          <w:b/>
          <w:i/>
        </w:rPr>
      </w:pPr>
      <w:r w:rsidRPr="003704AC">
        <w:rPr>
          <w:b/>
          <w:i/>
        </w:rPr>
        <w:t xml:space="preserve">3.2.5 Pledgers’ </w:t>
      </w:r>
      <w:r w:rsidR="002A14A1" w:rsidRPr="003704AC">
        <w:rPr>
          <w:b/>
          <w:i/>
        </w:rPr>
        <w:t>S</w:t>
      </w:r>
      <w:r w:rsidRPr="003704AC">
        <w:rPr>
          <w:b/>
          <w:i/>
        </w:rPr>
        <w:t xml:space="preserve">tarting </w:t>
      </w:r>
      <w:r w:rsidR="008058C9" w:rsidRPr="003704AC">
        <w:rPr>
          <w:b/>
          <w:i/>
        </w:rPr>
        <w:t>I</w:t>
      </w:r>
      <w:r w:rsidRPr="003704AC">
        <w:rPr>
          <w:b/>
          <w:i/>
        </w:rPr>
        <w:t xml:space="preserve">ntentions, </w:t>
      </w:r>
      <w:r w:rsidR="002A14A1" w:rsidRPr="003704AC">
        <w:rPr>
          <w:b/>
          <w:i/>
        </w:rPr>
        <w:t>M</w:t>
      </w:r>
      <w:r w:rsidRPr="003704AC">
        <w:rPr>
          <w:b/>
          <w:i/>
        </w:rPr>
        <w:t xml:space="preserve">eat </w:t>
      </w:r>
      <w:r w:rsidR="008058C9" w:rsidRPr="003704AC">
        <w:rPr>
          <w:b/>
          <w:i/>
        </w:rPr>
        <w:t>C</w:t>
      </w:r>
      <w:r w:rsidRPr="003704AC">
        <w:rPr>
          <w:b/>
          <w:i/>
        </w:rPr>
        <w:t xml:space="preserve">onsumption and </w:t>
      </w:r>
      <w:r w:rsidR="008058C9" w:rsidRPr="003704AC">
        <w:rPr>
          <w:b/>
          <w:i/>
        </w:rPr>
        <w:t>C</w:t>
      </w:r>
      <w:r w:rsidRPr="003704AC">
        <w:rPr>
          <w:b/>
          <w:i/>
        </w:rPr>
        <w:t xml:space="preserve">ravings </w:t>
      </w:r>
    </w:p>
    <w:p w14:paraId="3CB95770" w14:textId="01A46337" w:rsidR="000459ED" w:rsidRPr="003704AC" w:rsidRDefault="000459ED" w:rsidP="008058C9">
      <w:pPr>
        <w:spacing w:line="480" w:lineRule="auto"/>
        <w:ind w:firstLine="720"/>
        <w:rPr>
          <w:color w:val="000000"/>
        </w:rPr>
      </w:pPr>
      <w:r w:rsidRPr="003704AC">
        <w:rPr>
          <w:color w:val="000000"/>
        </w:rPr>
        <w:t>Table 5 presents the relationships between starting intentions, meat consumption rates (sum of 28 days), and average daily meat cravings for all pledgers. As can be seen, the more participants perceived themselves motivated and able to eat meat-free at the start of the pledge (a) the less meat they consumed, and (b) the less they craved meat. Additionally, the more participants reported craving meat during the 28 days, the more meat they ate. Regarding Country, German pledgers (</w:t>
      </w:r>
      <w:r w:rsidRPr="003704AC">
        <w:rPr>
          <w:i/>
          <w:iCs/>
          <w:color w:val="000000"/>
        </w:rPr>
        <w:t xml:space="preserve">M </w:t>
      </w:r>
      <w:r w:rsidRPr="003704AC">
        <w:rPr>
          <w:color w:val="000000"/>
        </w:rPr>
        <w:t xml:space="preserve">= 24.92, </w:t>
      </w:r>
      <w:r w:rsidRPr="003704AC">
        <w:rPr>
          <w:i/>
          <w:iCs/>
          <w:color w:val="000000"/>
        </w:rPr>
        <w:t xml:space="preserve">SD </w:t>
      </w:r>
      <w:r w:rsidRPr="003704AC">
        <w:rPr>
          <w:color w:val="000000"/>
        </w:rPr>
        <w:t xml:space="preserve">= 5.80) reported higher starting state </w:t>
      </w:r>
      <w:r w:rsidRPr="003704AC">
        <w:rPr>
          <w:color w:val="000000"/>
        </w:rPr>
        <w:lastRenderedPageBreak/>
        <w:t>intentions than UK pledgers (</w:t>
      </w:r>
      <w:r w:rsidRPr="003704AC">
        <w:rPr>
          <w:i/>
          <w:iCs/>
          <w:color w:val="000000"/>
        </w:rPr>
        <w:t xml:space="preserve">M </w:t>
      </w:r>
      <w:r w:rsidRPr="003704AC">
        <w:rPr>
          <w:color w:val="000000"/>
        </w:rPr>
        <w:t xml:space="preserve">= 18.10, </w:t>
      </w:r>
      <w:r w:rsidRPr="003704AC">
        <w:rPr>
          <w:i/>
          <w:iCs/>
          <w:color w:val="000000"/>
        </w:rPr>
        <w:t xml:space="preserve">SD </w:t>
      </w:r>
      <w:r w:rsidRPr="003704AC">
        <w:rPr>
          <w:color w:val="000000"/>
        </w:rPr>
        <w:t xml:space="preserve">= 6.90), </w:t>
      </w:r>
      <w:r w:rsidRPr="003704AC">
        <w:rPr>
          <w:i/>
          <w:iCs/>
          <w:color w:val="000000"/>
        </w:rPr>
        <w:t>t</w:t>
      </w:r>
      <w:r w:rsidRPr="003704AC">
        <w:rPr>
          <w:color w:val="000000"/>
        </w:rPr>
        <w:t>(128)</w:t>
      </w:r>
      <w:r w:rsidRPr="003704AC">
        <w:rPr>
          <w:i/>
          <w:iCs/>
          <w:color w:val="000000"/>
        </w:rPr>
        <w:t xml:space="preserve"> </w:t>
      </w:r>
      <w:r w:rsidRPr="003704AC">
        <w:rPr>
          <w:color w:val="000000"/>
        </w:rPr>
        <w:t xml:space="preserve">= -6.06, </w:t>
      </w:r>
      <w:r w:rsidRPr="003704AC">
        <w:rPr>
          <w:i/>
          <w:iCs/>
          <w:color w:val="000000"/>
        </w:rPr>
        <w:t>p</w:t>
      </w:r>
      <w:r w:rsidRPr="003704AC">
        <w:rPr>
          <w:color w:val="000000"/>
        </w:rPr>
        <w:t xml:space="preserve"> &lt; .001, but not significantly higher than the Australian pledgers (</w:t>
      </w:r>
      <w:r w:rsidRPr="003704AC">
        <w:rPr>
          <w:i/>
          <w:iCs/>
          <w:color w:val="000000"/>
        </w:rPr>
        <w:t xml:space="preserve">M </w:t>
      </w:r>
      <w:r w:rsidRPr="003704AC">
        <w:rPr>
          <w:color w:val="000000"/>
        </w:rPr>
        <w:t xml:space="preserve">= 23.50, </w:t>
      </w:r>
      <w:r w:rsidRPr="003704AC">
        <w:rPr>
          <w:i/>
          <w:iCs/>
          <w:color w:val="000000"/>
        </w:rPr>
        <w:t xml:space="preserve">SD </w:t>
      </w:r>
      <w:r w:rsidRPr="003704AC">
        <w:rPr>
          <w:color w:val="000000"/>
        </w:rPr>
        <w:t>= 7.36),</w:t>
      </w:r>
      <w:r w:rsidRPr="003704AC">
        <w:rPr>
          <w:i/>
          <w:iCs/>
          <w:color w:val="000000"/>
        </w:rPr>
        <w:t xml:space="preserve"> t</w:t>
      </w:r>
      <w:r w:rsidRPr="003704AC">
        <w:rPr>
          <w:color w:val="000000"/>
        </w:rPr>
        <w:t>(88)</w:t>
      </w:r>
      <w:r w:rsidRPr="003704AC">
        <w:rPr>
          <w:i/>
          <w:iCs/>
          <w:color w:val="000000"/>
        </w:rPr>
        <w:t xml:space="preserve"> </w:t>
      </w:r>
      <w:r w:rsidRPr="003704AC">
        <w:rPr>
          <w:color w:val="000000"/>
        </w:rPr>
        <w:t xml:space="preserve">= 0.99, </w:t>
      </w:r>
      <w:r w:rsidRPr="003704AC">
        <w:rPr>
          <w:i/>
          <w:iCs/>
          <w:color w:val="000000"/>
        </w:rPr>
        <w:t>p</w:t>
      </w:r>
      <w:r w:rsidRPr="003704AC">
        <w:rPr>
          <w:color w:val="000000"/>
        </w:rPr>
        <w:t xml:space="preserve"> = .32. Australian pledgers also reported higher starting intentions than UK pledgers, </w:t>
      </w:r>
      <w:r w:rsidRPr="003704AC">
        <w:rPr>
          <w:i/>
          <w:iCs/>
          <w:color w:val="000000"/>
        </w:rPr>
        <w:t>t</w:t>
      </w:r>
      <w:r w:rsidRPr="003704AC">
        <w:rPr>
          <w:color w:val="000000"/>
        </w:rPr>
        <w:t xml:space="preserve">(94) = 3.42, </w:t>
      </w:r>
      <w:r w:rsidRPr="003704AC">
        <w:rPr>
          <w:i/>
          <w:iCs/>
          <w:color w:val="000000"/>
        </w:rPr>
        <w:t>p</w:t>
      </w:r>
      <w:r w:rsidRPr="003704AC">
        <w:rPr>
          <w:color w:val="000000"/>
        </w:rPr>
        <w:t xml:space="preserve"> = .001. </w:t>
      </w:r>
    </w:p>
    <w:p w14:paraId="487D2106" w14:textId="77777777" w:rsidR="000459ED" w:rsidRPr="003704AC" w:rsidRDefault="000459ED" w:rsidP="000459ED"/>
    <w:p w14:paraId="0368B561" w14:textId="77777777" w:rsidR="000459ED" w:rsidRPr="003704AC" w:rsidRDefault="000459ED" w:rsidP="000459ED">
      <w:pPr>
        <w:spacing w:line="480" w:lineRule="auto"/>
      </w:pPr>
      <w:r w:rsidRPr="003704AC">
        <w:rPr>
          <w:b/>
          <w:bCs/>
          <w:color w:val="000000"/>
        </w:rPr>
        <w:t>Table 5</w:t>
      </w:r>
    </w:p>
    <w:p w14:paraId="630307AD" w14:textId="77777777" w:rsidR="000459ED" w:rsidRPr="003704AC" w:rsidRDefault="000459ED" w:rsidP="000459ED">
      <w:pPr>
        <w:spacing w:line="480" w:lineRule="auto"/>
      </w:pPr>
      <w:proofErr w:type="spellStart"/>
      <w:r w:rsidRPr="003704AC">
        <w:rPr>
          <w:i/>
          <w:iCs/>
          <w:color w:val="000000"/>
        </w:rPr>
        <w:t>Descriptives</w:t>
      </w:r>
      <w:proofErr w:type="spellEnd"/>
      <w:r w:rsidRPr="003704AC">
        <w:rPr>
          <w:i/>
          <w:iCs/>
          <w:color w:val="000000"/>
        </w:rPr>
        <w:t xml:space="preserve"> and Relationships between Starting Intentions, Meat Consumption (Sum of 28 Days), and Averaged Craving Scores among Pledgers </w:t>
      </w:r>
    </w:p>
    <w:tbl>
      <w:tblPr>
        <w:tblW w:w="0" w:type="auto"/>
        <w:tblCellMar>
          <w:top w:w="15" w:type="dxa"/>
          <w:left w:w="15" w:type="dxa"/>
          <w:bottom w:w="15" w:type="dxa"/>
          <w:right w:w="15" w:type="dxa"/>
        </w:tblCellMar>
        <w:tblLook w:val="04A0" w:firstRow="1" w:lastRow="0" w:firstColumn="1" w:lastColumn="0" w:noHBand="0" w:noVBand="1"/>
      </w:tblPr>
      <w:tblGrid>
        <w:gridCol w:w="3083"/>
        <w:gridCol w:w="396"/>
        <w:gridCol w:w="756"/>
        <w:gridCol w:w="836"/>
        <w:gridCol w:w="756"/>
        <w:gridCol w:w="636"/>
      </w:tblGrid>
      <w:tr w:rsidR="000459ED" w:rsidRPr="003704AC" w14:paraId="4581F6FF" w14:textId="77777777" w:rsidTr="002A14A1">
        <w:tc>
          <w:tcPr>
            <w:tcW w:w="0" w:type="auto"/>
            <w:tcBorders>
              <w:top w:val="single" w:sz="4" w:space="0" w:color="000000"/>
              <w:bottom w:val="single" w:sz="4" w:space="0" w:color="000000"/>
            </w:tcBorders>
            <w:tcMar>
              <w:top w:w="0" w:type="dxa"/>
              <w:left w:w="108" w:type="dxa"/>
              <w:bottom w:w="0" w:type="dxa"/>
              <w:right w:w="108" w:type="dxa"/>
            </w:tcMar>
            <w:hideMark/>
          </w:tcPr>
          <w:p w14:paraId="064A75F5" w14:textId="77777777" w:rsidR="000459ED" w:rsidRPr="003704AC" w:rsidRDefault="000459ED" w:rsidP="002A14A1">
            <w:pPr>
              <w:spacing w:line="480" w:lineRule="auto"/>
            </w:pPr>
          </w:p>
        </w:tc>
        <w:tc>
          <w:tcPr>
            <w:tcW w:w="0" w:type="auto"/>
            <w:tcBorders>
              <w:top w:val="single" w:sz="4" w:space="0" w:color="000000"/>
              <w:bottom w:val="single" w:sz="4" w:space="0" w:color="000000"/>
            </w:tcBorders>
            <w:tcMar>
              <w:top w:w="0" w:type="dxa"/>
              <w:left w:w="108" w:type="dxa"/>
              <w:bottom w:w="0" w:type="dxa"/>
              <w:right w:w="108" w:type="dxa"/>
            </w:tcMar>
            <w:hideMark/>
          </w:tcPr>
          <w:p w14:paraId="719BE003" w14:textId="77777777" w:rsidR="000459ED" w:rsidRPr="003704AC" w:rsidRDefault="000459ED" w:rsidP="002A14A1">
            <w:pPr>
              <w:spacing w:line="480" w:lineRule="auto"/>
              <w:jc w:val="center"/>
            </w:pPr>
            <w:r w:rsidRPr="003704AC">
              <w:rPr>
                <w:color w:val="000000"/>
              </w:rPr>
              <w:t>1.</w:t>
            </w:r>
          </w:p>
          <w:p w14:paraId="03EDD325" w14:textId="77777777" w:rsidR="000459ED" w:rsidRPr="003704AC" w:rsidRDefault="000459ED" w:rsidP="002A14A1">
            <w:pPr>
              <w:spacing w:line="480" w:lineRule="auto"/>
            </w:pPr>
          </w:p>
        </w:tc>
        <w:tc>
          <w:tcPr>
            <w:tcW w:w="0" w:type="auto"/>
            <w:tcBorders>
              <w:top w:val="single" w:sz="4" w:space="0" w:color="000000"/>
              <w:bottom w:val="single" w:sz="4" w:space="0" w:color="000000"/>
            </w:tcBorders>
            <w:tcMar>
              <w:top w:w="0" w:type="dxa"/>
              <w:left w:w="108" w:type="dxa"/>
              <w:bottom w:w="0" w:type="dxa"/>
              <w:right w:w="108" w:type="dxa"/>
            </w:tcMar>
            <w:hideMark/>
          </w:tcPr>
          <w:p w14:paraId="55C9F640" w14:textId="77777777" w:rsidR="000459ED" w:rsidRPr="003704AC" w:rsidRDefault="000459ED" w:rsidP="002A14A1">
            <w:pPr>
              <w:spacing w:line="480" w:lineRule="auto"/>
              <w:jc w:val="center"/>
            </w:pPr>
            <w:r w:rsidRPr="003704AC">
              <w:rPr>
                <w:color w:val="000000"/>
              </w:rPr>
              <w:t>2.</w:t>
            </w:r>
          </w:p>
        </w:tc>
        <w:tc>
          <w:tcPr>
            <w:tcW w:w="0" w:type="auto"/>
            <w:tcBorders>
              <w:top w:val="single" w:sz="4" w:space="0" w:color="000000"/>
              <w:bottom w:val="single" w:sz="4" w:space="0" w:color="000000"/>
            </w:tcBorders>
            <w:tcMar>
              <w:top w:w="0" w:type="dxa"/>
              <w:left w:w="108" w:type="dxa"/>
              <w:bottom w:w="0" w:type="dxa"/>
              <w:right w:w="108" w:type="dxa"/>
            </w:tcMar>
            <w:hideMark/>
          </w:tcPr>
          <w:p w14:paraId="3FF8DDDA" w14:textId="77777777" w:rsidR="000459ED" w:rsidRPr="003704AC" w:rsidRDefault="000459ED" w:rsidP="002A14A1">
            <w:pPr>
              <w:spacing w:line="480" w:lineRule="auto"/>
              <w:jc w:val="center"/>
            </w:pPr>
            <w:r w:rsidRPr="003704AC">
              <w:rPr>
                <w:color w:val="000000"/>
              </w:rPr>
              <w:t>3.</w:t>
            </w:r>
          </w:p>
        </w:tc>
        <w:tc>
          <w:tcPr>
            <w:tcW w:w="0" w:type="auto"/>
            <w:tcBorders>
              <w:top w:val="single" w:sz="4" w:space="0" w:color="000000"/>
              <w:bottom w:val="single" w:sz="4" w:space="0" w:color="000000"/>
            </w:tcBorders>
            <w:tcMar>
              <w:top w:w="0" w:type="dxa"/>
              <w:left w:w="108" w:type="dxa"/>
              <w:bottom w:w="0" w:type="dxa"/>
              <w:right w:w="108" w:type="dxa"/>
            </w:tcMar>
            <w:hideMark/>
          </w:tcPr>
          <w:p w14:paraId="4963BD8D" w14:textId="77777777" w:rsidR="000459ED" w:rsidRPr="003704AC" w:rsidRDefault="000459ED" w:rsidP="002A14A1">
            <w:pPr>
              <w:spacing w:line="480" w:lineRule="auto"/>
              <w:jc w:val="center"/>
            </w:pPr>
            <w:r w:rsidRPr="003704AC">
              <w:rPr>
                <w:i/>
                <w:iCs/>
                <w:color w:val="000000"/>
              </w:rPr>
              <w:t>M</w:t>
            </w:r>
          </w:p>
        </w:tc>
        <w:tc>
          <w:tcPr>
            <w:tcW w:w="0" w:type="auto"/>
            <w:tcBorders>
              <w:top w:val="single" w:sz="4" w:space="0" w:color="000000"/>
              <w:bottom w:val="single" w:sz="4" w:space="0" w:color="000000"/>
            </w:tcBorders>
            <w:tcMar>
              <w:top w:w="0" w:type="dxa"/>
              <w:left w:w="108" w:type="dxa"/>
              <w:bottom w:w="0" w:type="dxa"/>
              <w:right w:w="108" w:type="dxa"/>
            </w:tcMar>
            <w:hideMark/>
          </w:tcPr>
          <w:p w14:paraId="126B9D65" w14:textId="77777777" w:rsidR="000459ED" w:rsidRPr="003704AC" w:rsidRDefault="000459ED" w:rsidP="002A14A1">
            <w:pPr>
              <w:spacing w:line="480" w:lineRule="auto"/>
              <w:jc w:val="center"/>
            </w:pPr>
            <w:r w:rsidRPr="003704AC">
              <w:rPr>
                <w:i/>
                <w:iCs/>
                <w:color w:val="000000"/>
              </w:rPr>
              <w:t>SE</w:t>
            </w:r>
          </w:p>
        </w:tc>
      </w:tr>
      <w:tr w:rsidR="000459ED" w:rsidRPr="003704AC" w14:paraId="475CDA2D" w14:textId="77777777" w:rsidTr="002A14A1">
        <w:tc>
          <w:tcPr>
            <w:tcW w:w="0" w:type="auto"/>
            <w:tcBorders>
              <w:top w:val="single" w:sz="4" w:space="0" w:color="000000"/>
            </w:tcBorders>
            <w:tcMar>
              <w:top w:w="0" w:type="dxa"/>
              <w:left w:w="108" w:type="dxa"/>
              <w:bottom w:w="0" w:type="dxa"/>
              <w:right w:w="108" w:type="dxa"/>
            </w:tcMar>
            <w:hideMark/>
          </w:tcPr>
          <w:p w14:paraId="25ED5D2B" w14:textId="26A89BCC" w:rsidR="000459ED" w:rsidRPr="003704AC" w:rsidRDefault="000459ED" w:rsidP="002A14A1">
            <w:pPr>
              <w:spacing w:line="480" w:lineRule="auto"/>
              <w:textAlignment w:val="baseline"/>
              <w:rPr>
                <w:color w:val="000000"/>
                <w:sz w:val="22"/>
                <w:szCs w:val="22"/>
              </w:rPr>
            </w:pPr>
            <w:r w:rsidRPr="003704AC">
              <w:rPr>
                <w:color w:val="000000"/>
              </w:rPr>
              <w:t>1. 28</w:t>
            </w:r>
            <w:r w:rsidR="00524965" w:rsidRPr="003704AC">
              <w:rPr>
                <w:color w:val="000000"/>
              </w:rPr>
              <w:t>-</w:t>
            </w:r>
            <w:r w:rsidRPr="003704AC">
              <w:rPr>
                <w:color w:val="000000"/>
              </w:rPr>
              <w:t>Day Meat Consumption</w:t>
            </w:r>
          </w:p>
          <w:p w14:paraId="1E1C0DDE" w14:textId="77777777" w:rsidR="000459ED" w:rsidRPr="003704AC" w:rsidRDefault="000459ED" w:rsidP="002A14A1">
            <w:pPr>
              <w:spacing w:line="480" w:lineRule="auto"/>
            </w:pPr>
          </w:p>
        </w:tc>
        <w:tc>
          <w:tcPr>
            <w:tcW w:w="0" w:type="auto"/>
            <w:tcBorders>
              <w:top w:val="single" w:sz="4" w:space="0" w:color="000000"/>
            </w:tcBorders>
            <w:tcMar>
              <w:top w:w="0" w:type="dxa"/>
              <w:left w:w="108" w:type="dxa"/>
              <w:bottom w:w="0" w:type="dxa"/>
              <w:right w:w="108" w:type="dxa"/>
            </w:tcMar>
            <w:hideMark/>
          </w:tcPr>
          <w:p w14:paraId="354CCFEC" w14:textId="77777777" w:rsidR="000459ED" w:rsidRPr="003704AC" w:rsidRDefault="000459ED" w:rsidP="002A14A1">
            <w:pPr>
              <w:spacing w:line="480" w:lineRule="auto"/>
              <w:jc w:val="center"/>
            </w:pPr>
            <w:r w:rsidRPr="003704AC">
              <w:rPr>
                <w:color w:val="000000"/>
              </w:rPr>
              <w:t>-</w:t>
            </w:r>
          </w:p>
        </w:tc>
        <w:tc>
          <w:tcPr>
            <w:tcW w:w="0" w:type="auto"/>
            <w:tcBorders>
              <w:top w:val="single" w:sz="4" w:space="0" w:color="000000"/>
            </w:tcBorders>
            <w:tcMar>
              <w:top w:w="0" w:type="dxa"/>
              <w:left w:w="108" w:type="dxa"/>
              <w:bottom w:w="0" w:type="dxa"/>
              <w:right w:w="108" w:type="dxa"/>
            </w:tcMar>
            <w:hideMark/>
          </w:tcPr>
          <w:p w14:paraId="5ED15524" w14:textId="77777777" w:rsidR="000459ED" w:rsidRPr="003704AC" w:rsidRDefault="000459ED" w:rsidP="002A14A1">
            <w:pPr>
              <w:spacing w:line="480" w:lineRule="auto"/>
              <w:jc w:val="center"/>
            </w:pPr>
            <w:r w:rsidRPr="003704AC">
              <w:rPr>
                <w:color w:val="000000"/>
              </w:rPr>
              <w:t>.32**</w:t>
            </w:r>
          </w:p>
        </w:tc>
        <w:tc>
          <w:tcPr>
            <w:tcW w:w="0" w:type="auto"/>
            <w:tcBorders>
              <w:top w:val="single" w:sz="4" w:space="0" w:color="000000"/>
            </w:tcBorders>
            <w:tcMar>
              <w:top w:w="0" w:type="dxa"/>
              <w:left w:w="108" w:type="dxa"/>
              <w:bottom w:w="0" w:type="dxa"/>
              <w:right w:w="108" w:type="dxa"/>
            </w:tcMar>
            <w:hideMark/>
          </w:tcPr>
          <w:p w14:paraId="1FBC4010" w14:textId="77777777" w:rsidR="000459ED" w:rsidRPr="003704AC" w:rsidRDefault="000459ED" w:rsidP="002A14A1">
            <w:pPr>
              <w:spacing w:line="480" w:lineRule="auto"/>
              <w:jc w:val="center"/>
            </w:pPr>
            <w:r w:rsidRPr="003704AC">
              <w:rPr>
                <w:color w:val="000000"/>
              </w:rPr>
              <w:t>-.59**</w:t>
            </w:r>
          </w:p>
        </w:tc>
        <w:tc>
          <w:tcPr>
            <w:tcW w:w="0" w:type="auto"/>
            <w:tcBorders>
              <w:top w:val="single" w:sz="4" w:space="0" w:color="000000"/>
            </w:tcBorders>
            <w:tcMar>
              <w:top w:w="0" w:type="dxa"/>
              <w:left w:w="108" w:type="dxa"/>
              <w:bottom w:w="0" w:type="dxa"/>
              <w:right w:w="108" w:type="dxa"/>
            </w:tcMar>
            <w:hideMark/>
          </w:tcPr>
          <w:p w14:paraId="13F27491" w14:textId="77777777" w:rsidR="000459ED" w:rsidRPr="003704AC" w:rsidRDefault="000459ED" w:rsidP="002A14A1">
            <w:pPr>
              <w:spacing w:line="480" w:lineRule="auto"/>
              <w:jc w:val="center"/>
            </w:pPr>
            <w:r w:rsidRPr="003704AC">
              <w:rPr>
                <w:color w:val="000000"/>
              </w:rPr>
              <w:t>14.01</w:t>
            </w:r>
          </w:p>
        </w:tc>
        <w:tc>
          <w:tcPr>
            <w:tcW w:w="0" w:type="auto"/>
            <w:tcBorders>
              <w:top w:val="single" w:sz="4" w:space="0" w:color="000000"/>
            </w:tcBorders>
            <w:tcMar>
              <w:top w:w="0" w:type="dxa"/>
              <w:left w:w="108" w:type="dxa"/>
              <w:bottom w:w="0" w:type="dxa"/>
              <w:right w:w="108" w:type="dxa"/>
            </w:tcMar>
            <w:hideMark/>
          </w:tcPr>
          <w:p w14:paraId="576E8E7B" w14:textId="77777777" w:rsidR="000459ED" w:rsidRPr="003704AC" w:rsidRDefault="000459ED" w:rsidP="002A14A1">
            <w:pPr>
              <w:spacing w:line="480" w:lineRule="auto"/>
              <w:jc w:val="center"/>
            </w:pPr>
            <w:r w:rsidRPr="003704AC">
              <w:rPr>
                <w:color w:val="000000"/>
              </w:rPr>
              <w:t>1.15</w:t>
            </w:r>
          </w:p>
        </w:tc>
      </w:tr>
      <w:tr w:rsidR="000459ED" w:rsidRPr="003704AC" w14:paraId="3CC0964B" w14:textId="77777777" w:rsidTr="002A14A1">
        <w:tc>
          <w:tcPr>
            <w:tcW w:w="0" w:type="auto"/>
            <w:tcMar>
              <w:top w:w="0" w:type="dxa"/>
              <w:left w:w="108" w:type="dxa"/>
              <w:bottom w:w="0" w:type="dxa"/>
              <w:right w:w="108" w:type="dxa"/>
            </w:tcMar>
            <w:hideMark/>
          </w:tcPr>
          <w:p w14:paraId="502AD3DA" w14:textId="77777777" w:rsidR="000459ED" w:rsidRPr="003704AC" w:rsidRDefault="000459ED" w:rsidP="002A14A1">
            <w:pPr>
              <w:spacing w:line="480" w:lineRule="auto"/>
              <w:textAlignment w:val="baseline"/>
              <w:rPr>
                <w:color w:val="000000"/>
                <w:sz w:val="22"/>
                <w:szCs w:val="22"/>
              </w:rPr>
            </w:pPr>
            <w:r w:rsidRPr="003704AC">
              <w:rPr>
                <w:color w:val="000000"/>
              </w:rPr>
              <w:t>2. Meat Cravings</w:t>
            </w:r>
          </w:p>
          <w:p w14:paraId="160E346E" w14:textId="77777777" w:rsidR="000459ED" w:rsidRPr="003704AC" w:rsidRDefault="000459ED" w:rsidP="002A14A1">
            <w:pPr>
              <w:spacing w:line="480" w:lineRule="auto"/>
            </w:pPr>
          </w:p>
        </w:tc>
        <w:tc>
          <w:tcPr>
            <w:tcW w:w="0" w:type="auto"/>
            <w:tcMar>
              <w:top w:w="0" w:type="dxa"/>
              <w:left w:w="108" w:type="dxa"/>
              <w:bottom w:w="0" w:type="dxa"/>
              <w:right w:w="108" w:type="dxa"/>
            </w:tcMar>
            <w:hideMark/>
          </w:tcPr>
          <w:p w14:paraId="39FE1875" w14:textId="77777777" w:rsidR="000459ED" w:rsidRPr="003704AC" w:rsidRDefault="000459ED" w:rsidP="002A14A1">
            <w:pPr>
              <w:spacing w:line="480" w:lineRule="auto"/>
            </w:pPr>
          </w:p>
        </w:tc>
        <w:tc>
          <w:tcPr>
            <w:tcW w:w="0" w:type="auto"/>
            <w:tcMar>
              <w:top w:w="0" w:type="dxa"/>
              <w:left w:w="108" w:type="dxa"/>
              <w:bottom w:w="0" w:type="dxa"/>
              <w:right w:w="108" w:type="dxa"/>
            </w:tcMar>
            <w:hideMark/>
          </w:tcPr>
          <w:p w14:paraId="63FD18B1" w14:textId="77777777" w:rsidR="000459ED" w:rsidRPr="003704AC" w:rsidRDefault="000459ED" w:rsidP="002A14A1">
            <w:pPr>
              <w:spacing w:line="480" w:lineRule="auto"/>
              <w:jc w:val="center"/>
            </w:pPr>
            <w:r w:rsidRPr="003704AC">
              <w:rPr>
                <w:color w:val="000000"/>
              </w:rPr>
              <w:t>-</w:t>
            </w:r>
          </w:p>
        </w:tc>
        <w:tc>
          <w:tcPr>
            <w:tcW w:w="0" w:type="auto"/>
            <w:tcMar>
              <w:top w:w="0" w:type="dxa"/>
              <w:left w:w="108" w:type="dxa"/>
              <w:bottom w:w="0" w:type="dxa"/>
              <w:right w:w="108" w:type="dxa"/>
            </w:tcMar>
            <w:hideMark/>
          </w:tcPr>
          <w:p w14:paraId="7FA9367B" w14:textId="77777777" w:rsidR="000459ED" w:rsidRPr="003704AC" w:rsidRDefault="000459ED" w:rsidP="002A14A1">
            <w:pPr>
              <w:spacing w:line="480" w:lineRule="auto"/>
              <w:jc w:val="center"/>
            </w:pPr>
            <w:r w:rsidRPr="003704AC">
              <w:rPr>
                <w:color w:val="000000"/>
              </w:rPr>
              <w:t>-.33**</w:t>
            </w:r>
          </w:p>
        </w:tc>
        <w:tc>
          <w:tcPr>
            <w:tcW w:w="0" w:type="auto"/>
            <w:tcMar>
              <w:top w:w="0" w:type="dxa"/>
              <w:left w:w="108" w:type="dxa"/>
              <w:bottom w:w="0" w:type="dxa"/>
              <w:right w:w="108" w:type="dxa"/>
            </w:tcMar>
            <w:hideMark/>
          </w:tcPr>
          <w:p w14:paraId="199C1A60" w14:textId="77777777" w:rsidR="000459ED" w:rsidRPr="003704AC" w:rsidRDefault="000459ED" w:rsidP="002A14A1">
            <w:pPr>
              <w:spacing w:line="480" w:lineRule="auto"/>
              <w:jc w:val="center"/>
            </w:pPr>
            <w:r w:rsidRPr="003704AC">
              <w:rPr>
                <w:color w:val="000000"/>
              </w:rPr>
              <w:t>0.49</w:t>
            </w:r>
          </w:p>
        </w:tc>
        <w:tc>
          <w:tcPr>
            <w:tcW w:w="0" w:type="auto"/>
            <w:tcMar>
              <w:top w:w="0" w:type="dxa"/>
              <w:left w:w="108" w:type="dxa"/>
              <w:bottom w:w="0" w:type="dxa"/>
              <w:right w:w="108" w:type="dxa"/>
            </w:tcMar>
            <w:hideMark/>
          </w:tcPr>
          <w:p w14:paraId="14AC9AF0" w14:textId="77777777" w:rsidR="000459ED" w:rsidRPr="003704AC" w:rsidRDefault="000459ED" w:rsidP="002A14A1">
            <w:pPr>
              <w:spacing w:line="480" w:lineRule="auto"/>
              <w:jc w:val="center"/>
            </w:pPr>
            <w:r w:rsidRPr="003704AC">
              <w:rPr>
                <w:color w:val="000000"/>
              </w:rPr>
              <w:t>.03</w:t>
            </w:r>
          </w:p>
        </w:tc>
      </w:tr>
      <w:tr w:rsidR="000459ED" w:rsidRPr="003704AC" w14:paraId="526DD988" w14:textId="77777777" w:rsidTr="002A14A1">
        <w:tc>
          <w:tcPr>
            <w:tcW w:w="0" w:type="auto"/>
            <w:tcBorders>
              <w:bottom w:val="single" w:sz="4" w:space="0" w:color="000000"/>
            </w:tcBorders>
            <w:tcMar>
              <w:top w:w="0" w:type="dxa"/>
              <w:left w:w="108" w:type="dxa"/>
              <w:bottom w:w="0" w:type="dxa"/>
              <w:right w:w="108" w:type="dxa"/>
            </w:tcMar>
            <w:hideMark/>
          </w:tcPr>
          <w:p w14:paraId="4352A26C" w14:textId="77777777" w:rsidR="000459ED" w:rsidRPr="003704AC" w:rsidRDefault="000459ED" w:rsidP="002A14A1">
            <w:pPr>
              <w:spacing w:line="480" w:lineRule="auto"/>
              <w:textAlignment w:val="baseline"/>
              <w:rPr>
                <w:color w:val="000000"/>
                <w:sz w:val="22"/>
                <w:szCs w:val="22"/>
              </w:rPr>
            </w:pPr>
            <w:r w:rsidRPr="003704AC">
              <w:rPr>
                <w:color w:val="000000"/>
              </w:rPr>
              <w:t>3. Starting Intentions </w:t>
            </w:r>
          </w:p>
          <w:p w14:paraId="542DE7A5" w14:textId="77777777" w:rsidR="000459ED" w:rsidRPr="003704AC" w:rsidRDefault="000459ED" w:rsidP="002A14A1">
            <w:pPr>
              <w:spacing w:line="480" w:lineRule="auto"/>
            </w:pPr>
          </w:p>
        </w:tc>
        <w:tc>
          <w:tcPr>
            <w:tcW w:w="0" w:type="auto"/>
            <w:tcBorders>
              <w:bottom w:val="single" w:sz="4" w:space="0" w:color="000000"/>
            </w:tcBorders>
            <w:tcMar>
              <w:top w:w="0" w:type="dxa"/>
              <w:left w:w="108" w:type="dxa"/>
              <w:bottom w:w="0" w:type="dxa"/>
              <w:right w:w="108" w:type="dxa"/>
            </w:tcMar>
            <w:hideMark/>
          </w:tcPr>
          <w:p w14:paraId="001C79B1" w14:textId="77777777" w:rsidR="000459ED" w:rsidRPr="003704AC" w:rsidRDefault="000459ED" w:rsidP="002A14A1">
            <w:pPr>
              <w:spacing w:line="480" w:lineRule="auto"/>
            </w:pPr>
          </w:p>
        </w:tc>
        <w:tc>
          <w:tcPr>
            <w:tcW w:w="0" w:type="auto"/>
            <w:tcBorders>
              <w:bottom w:val="single" w:sz="4" w:space="0" w:color="000000"/>
            </w:tcBorders>
            <w:tcMar>
              <w:top w:w="0" w:type="dxa"/>
              <w:left w:w="108" w:type="dxa"/>
              <w:bottom w:w="0" w:type="dxa"/>
              <w:right w:w="108" w:type="dxa"/>
            </w:tcMar>
            <w:hideMark/>
          </w:tcPr>
          <w:p w14:paraId="5F75191F" w14:textId="77777777" w:rsidR="000459ED" w:rsidRPr="003704AC" w:rsidRDefault="000459ED" w:rsidP="002A14A1">
            <w:pPr>
              <w:spacing w:line="480" w:lineRule="auto"/>
            </w:pPr>
          </w:p>
        </w:tc>
        <w:tc>
          <w:tcPr>
            <w:tcW w:w="0" w:type="auto"/>
            <w:tcBorders>
              <w:bottom w:val="single" w:sz="4" w:space="0" w:color="000000"/>
            </w:tcBorders>
            <w:tcMar>
              <w:top w:w="0" w:type="dxa"/>
              <w:left w:w="108" w:type="dxa"/>
              <w:bottom w:w="0" w:type="dxa"/>
              <w:right w:w="108" w:type="dxa"/>
            </w:tcMar>
            <w:hideMark/>
          </w:tcPr>
          <w:p w14:paraId="2A519F58" w14:textId="77777777" w:rsidR="000459ED" w:rsidRPr="003704AC" w:rsidRDefault="000459ED" w:rsidP="002A14A1">
            <w:pPr>
              <w:spacing w:line="480" w:lineRule="auto"/>
              <w:jc w:val="center"/>
            </w:pPr>
            <w:r w:rsidRPr="003704AC">
              <w:rPr>
                <w:color w:val="000000"/>
              </w:rPr>
              <w:t>-</w:t>
            </w:r>
          </w:p>
        </w:tc>
        <w:tc>
          <w:tcPr>
            <w:tcW w:w="0" w:type="auto"/>
            <w:tcBorders>
              <w:bottom w:val="single" w:sz="4" w:space="0" w:color="000000"/>
            </w:tcBorders>
            <w:tcMar>
              <w:top w:w="0" w:type="dxa"/>
              <w:left w:w="108" w:type="dxa"/>
              <w:bottom w:w="0" w:type="dxa"/>
              <w:right w:w="108" w:type="dxa"/>
            </w:tcMar>
            <w:hideMark/>
          </w:tcPr>
          <w:p w14:paraId="185AB61B" w14:textId="77777777" w:rsidR="000459ED" w:rsidRPr="003704AC" w:rsidRDefault="000459ED" w:rsidP="002A14A1">
            <w:pPr>
              <w:spacing w:line="480" w:lineRule="auto"/>
              <w:jc w:val="center"/>
            </w:pPr>
            <w:r w:rsidRPr="003704AC">
              <w:rPr>
                <w:color w:val="000000"/>
              </w:rPr>
              <w:t>21.73</w:t>
            </w:r>
          </w:p>
        </w:tc>
        <w:tc>
          <w:tcPr>
            <w:tcW w:w="0" w:type="auto"/>
            <w:tcBorders>
              <w:bottom w:val="single" w:sz="4" w:space="0" w:color="000000"/>
            </w:tcBorders>
            <w:tcMar>
              <w:top w:w="0" w:type="dxa"/>
              <w:left w:w="108" w:type="dxa"/>
              <w:bottom w:w="0" w:type="dxa"/>
              <w:right w:w="108" w:type="dxa"/>
            </w:tcMar>
            <w:hideMark/>
          </w:tcPr>
          <w:p w14:paraId="6B08FA0E" w14:textId="77777777" w:rsidR="000459ED" w:rsidRPr="003704AC" w:rsidRDefault="000459ED" w:rsidP="002A14A1">
            <w:pPr>
              <w:spacing w:line="480" w:lineRule="auto"/>
              <w:jc w:val="center"/>
            </w:pPr>
            <w:r w:rsidRPr="003704AC">
              <w:rPr>
                <w:color w:val="000000"/>
              </w:rPr>
              <w:t>.57</w:t>
            </w:r>
          </w:p>
        </w:tc>
      </w:tr>
    </w:tbl>
    <w:p w14:paraId="5B3F065A" w14:textId="77777777" w:rsidR="000459ED" w:rsidRPr="003704AC" w:rsidRDefault="000459ED" w:rsidP="000459ED">
      <w:pPr>
        <w:spacing w:line="480" w:lineRule="auto"/>
      </w:pPr>
      <w:r w:rsidRPr="003704AC">
        <w:rPr>
          <w:i/>
          <w:iCs/>
          <w:color w:val="000000"/>
        </w:rPr>
        <w:t>Note</w:t>
      </w:r>
      <w:r w:rsidRPr="003704AC">
        <w:rPr>
          <w:color w:val="000000"/>
        </w:rPr>
        <w:t xml:space="preserve">. The Bootstrap technique applied with a sample of 1000.  ** </w:t>
      </w:r>
      <w:r w:rsidRPr="003704AC">
        <w:rPr>
          <w:i/>
          <w:iCs/>
          <w:color w:val="000000"/>
        </w:rPr>
        <w:t>p</w:t>
      </w:r>
      <w:r w:rsidRPr="003704AC">
        <w:rPr>
          <w:color w:val="000000"/>
        </w:rPr>
        <w:t xml:space="preserve"> &lt; .01</w:t>
      </w:r>
    </w:p>
    <w:p w14:paraId="1BE3A3A2" w14:textId="77777777" w:rsidR="000459ED" w:rsidRPr="003704AC" w:rsidRDefault="000459ED" w:rsidP="000459ED">
      <w:pPr>
        <w:spacing w:line="480" w:lineRule="auto"/>
        <w:ind w:firstLine="720"/>
        <w:rPr>
          <w:i/>
        </w:rPr>
      </w:pPr>
    </w:p>
    <w:p w14:paraId="752B1193" w14:textId="4174EF56" w:rsidR="006A0C34" w:rsidRPr="003704AC" w:rsidRDefault="00722078" w:rsidP="00660CDC">
      <w:pPr>
        <w:spacing w:line="480" w:lineRule="auto"/>
        <w:ind w:firstLine="720"/>
        <w:rPr>
          <w:color w:val="000000"/>
        </w:rPr>
      </w:pPr>
      <w:r w:rsidRPr="0058443A">
        <w:rPr>
          <w:color w:val="000000"/>
        </w:rPr>
        <w:t>Thus, starting intentions coincided significantly with the meat-consumption reductions we observed during the 28-day pledge</w:t>
      </w:r>
      <w:r w:rsidR="00D954C2" w:rsidRPr="0058443A">
        <w:rPr>
          <w:color w:val="000000"/>
        </w:rPr>
        <w:t xml:space="preserve"> and lower levels of meat cravings</w:t>
      </w:r>
      <w:r w:rsidRPr="0058443A">
        <w:rPr>
          <w:color w:val="000000"/>
        </w:rPr>
        <w:t>.</w:t>
      </w:r>
    </w:p>
    <w:p w14:paraId="6F62B83A" w14:textId="77777777" w:rsidR="006A0C34" w:rsidRPr="003704AC" w:rsidRDefault="00EB31E1">
      <w:pPr>
        <w:spacing w:line="480" w:lineRule="auto"/>
        <w:jc w:val="center"/>
        <w:rPr>
          <w:b/>
        </w:rPr>
      </w:pPr>
      <w:bookmarkStart w:id="1" w:name="_uohij88upp97" w:colFirst="0" w:colLast="0"/>
      <w:bookmarkStart w:id="2" w:name="_yl7bqomv5n82" w:colFirst="0" w:colLast="0"/>
      <w:bookmarkStart w:id="3" w:name="_wksh4ns2p2uq" w:colFirst="0" w:colLast="0"/>
      <w:bookmarkStart w:id="4" w:name="_6ssdhxtgtvf" w:colFirst="0" w:colLast="0"/>
      <w:bookmarkStart w:id="5" w:name="_bqyyr0hbgdx6" w:colFirst="0" w:colLast="0"/>
      <w:bookmarkStart w:id="6" w:name="_900nf62cbl6m" w:colFirst="0" w:colLast="0"/>
      <w:bookmarkStart w:id="7" w:name="_2u29o6hs6fx1" w:colFirst="0" w:colLast="0"/>
      <w:bookmarkStart w:id="8" w:name="_gjdgxs" w:colFirst="0" w:colLast="0"/>
      <w:bookmarkStart w:id="9" w:name="_1fob9te" w:colFirst="0" w:colLast="0"/>
      <w:bookmarkStart w:id="10" w:name="_3znysh7" w:colFirst="0" w:colLast="0"/>
      <w:bookmarkStart w:id="11" w:name="_2et92p0" w:colFirst="0" w:colLast="0"/>
      <w:bookmarkEnd w:id="1"/>
      <w:bookmarkEnd w:id="2"/>
      <w:bookmarkEnd w:id="3"/>
      <w:bookmarkEnd w:id="4"/>
      <w:bookmarkEnd w:id="5"/>
      <w:bookmarkEnd w:id="6"/>
      <w:bookmarkEnd w:id="7"/>
      <w:bookmarkEnd w:id="8"/>
      <w:bookmarkEnd w:id="9"/>
      <w:bookmarkEnd w:id="10"/>
      <w:bookmarkEnd w:id="11"/>
      <w:r w:rsidRPr="003704AC">
        <w:rPr>
          <w:b/>
        </w:rPr>
        <w:t>4. Discussion</w:t>
      </w:r>
    </w:p>
    <w:p w14:paraId="3942715F" w14:textId="72B15827" w:rsidR="006A0C34" w:rsidRPr="003704AC" w:rsidRDefault="00EB31E1">
      <w:pPr>
        <w:spacing w:line="480" w:lineRule="auto"/>
      </w:pPr>
      <w:r w:rsidRPr="003704AC">
        <w:tab/>
        <w:t>Meat-free pledges are an increasing</w:t>
      </w:r>
      <w:r w:rsidR="00A9257A" w:rsidRPr="003704AC">
        <w:t>ly</w:t>
      </w:r>
      <w:r w:rsidRPr="003704AC">
        <w:t xml:space="preserve"> popular strategy to promote meat reduction, however, experimental studies of their efficacy are lacking. The present study experimentally assigned participants from three countries (UK, Germany, Australia) to commit to a month without meat, or not, and tracked their eating behavior for 28 days using daily surveys sent to participants’ mobile devices. Information about participants’ attitudes towards meat was collected at the start, end, and one-month post-intervention. Pledging </w:t>
      </w:r>
      <w:r w:rsidR="00303271" w:rsidRPr="003704AC">
        <w:t xml:space="preserve">led to reductions in </w:t>
      </w:r>
      <w:r w:rsidRPr="003704AC">
        <w:t>daily meat</w:t>
      </w:r>
      <w:r w:rsidR="00A838D9" w:rsidRPr="003704AC">
        <w:t xml:space="preserve"> </w:t>
      </w:r>
      <w:r w:rsidRPr="003704AC">
        <w:t xml:space="preserve">consumption levels, across the 28 days, </w:t>
      </w:r>
      <w:r w:rsidR="00EE3287" w:rsidRPr="003704AC">
        <w:t xml:space="preserve">in all three sites, relative </w:t>
      </w:r>
      <w:r w:rsidRPr="003704AC">
        <w:t xml:space="preserve">to control participants, who were not invited to abstain from meat. </w:t>
      </w:r>
      <w:r w:rsidR="00EE3287" w:rsidRPr="0058443A">
        <w:t>A</w:t>
      </w:r>
      <w:r w:rsidR="00791BFB" w:rsidRPr="0058443A">
        <w:t>gainst expectations,</w:t>
      </w:r>
      <w:r w:rsidRPr="0058443A">
        <w:t xml:space="preserve"> the level of conflict participants experienced towards meat </w:t>
      </w:r>
      <w:r w:rsidR="00791BFB" w:rsidRPr="0058443A">
        <w:t xml:space="preserve">did not moderate participants pledging </w:t>
      </w:r>
      <w:r w:rsidR="00791BFB" w:rsidRPr="0058443A">
        <w:lastRenderedPageBreak/>
        <w:t>performance</w:t>
      </w:r>
      <w:r w:rsidR="00BF0256" w:rsidRPr="0058443A">
        <w:t xml:space="preserve"> (though </w:t>
      </w:r>
      <w:r w:rsidR="00EE3287" w:rsidRPr="0058443A">
        <w:t xml:space="preserve">it did </w:t>
      </w:r>
      <w:r w:rsidR="00BF0256" w:rsidRPr="0058443A">
        <w:t>when meat consumption was extended to include fish and seafood</w:t>
      </w:r>
      <w:r w:rsidR="00EE3287" w:rsidRPr="0058443A">
        <w:t>; see Supplementary Materials</w:t>
      </w:r>
      <w:r w:rsidR="00BF0256" w:rsidRPr="0058443A">
        <w:t>)</w:t>
      </w:r>
      <w:r w:rsidR="00791BFB" w:rsidRPr="0058443A">
        <w:t xml:space="preserve">. Participants’ </w:t>
      </w:r>
      <w:r w:rsidRPr="0058443A">
        <w:t>cultural background</w:t>
      </w:r>
      <w:r w:rsidR="00791BFB" w:rsidRPr="0058443A">
        <w:t>, however, did interact with pledging performance, with German participants exhibiting the greatest levels of meat reduction when pledging, relative to Australian and UK pledgers, who showed smaller</w:t>
      </w:r>
      <w:r w:rsidR="00EE3287" w:rsidRPr="0058443A">
        <w:t>,</w:t>
      </w:r>
      <w:r w:rsidR="00791BFB" w:rsidRPr="0058443A">
        <w:t xml:space="preserve"> </w:t>
      </w:r>
      <w:r w:rsidR="00EE3287" w:rsidRPr="0058443A">
        <w:t xml:space="preserve">albeit significant, </w:t>
      </w:r>
      <w:r w:rsidR="00791BFB" w:rsidRPr="0058443A">
        <w:t>reductions.</w:t>
      </w:r>
      <w:r w:rsidRPr="0058443A">
        <w:t xml:space="preserve"> Finally</w:t>
      </w:r>
      <w:r w:rsidRPr="003704AC">
        <w:t xml:space="preserve">, though pledging resulted in lower levels of meat consumption for many participants, engaging in a meat-free month did not generate significant changes in meat </w:t>
      </w:r>
      <w:r w:rsidR="00791BFB" w:rsidRPr="003704AC">
        <w:t xml:space="preserve">commitment </w:t>
      </w:r>
      <w:r w:rsidRPr="003704AC">
        <w:t>or sustain meat reduction one</w:t>
      </w:r>
      <w:r w:rsidR="00791BFB" w:rsidRPr="003704AC">
        <w:t>-</w:t>
      </w:r>
      <w:r w:rsidRPr="003704AC">
        <w:t>month post-intervention.</w:t>
      </w:r>
    </w:p>
    <w:p w14:paraId="45041D5B" w14:textId="3C14F367" w:rsidR="006A0C34" w:rsidRPr="003704AC" w:rsidRDefault="00BF0256">
      <w:pPr>
        <w:spacing w:line="480" w:lineRule="auto"/>
        <w:ind w:firstLine="720"/>
      </w:pPr>
      <w:r w:rsidRPr="0058443A">
        <w:t>Though omnivore conflict did not moderate the performance of pledgers</w:t>
      </w:r>
      <w:r w:rsidR="00791BFB" w:rsidRPr="003704AC">
        <w:t xml:space="preserve">, </w:t>
      </w:r>
      <w:r w:rsidR="00791BFB" w:rsidRPr="0058443A">
        <w:t>we did observe main effects of omnivore conflict on meat consumption levels and meat cravings, across the 28-day intervention</w:t>
      </w:r>
      <w:r w:rsidR="00EB31E1" w:rsidRPr="003704AC">
        <w:t xml:space="preserve">. People who experience </w:t>
      </w:r>
      <w:r w:rsidR="00EB31E1" w:rsidRPr="0058443A">
        <w:t>conflict</w:t>
      </w:r>
      <w:r w:rsidR="00EB31E1" w:rsidRPr="003704AC">
        <w:t xml:space="preserve"> </w:t>
      </w:r>
      <w:r w:rsidR="00C772AA" w:rsidRPr="0058443A">
        <w:t>or dissonance</w:t>
      </w:r>
      <w:r w:rsidR="00C772AA" w:rsidRPr="003704AC">
        <w:t xml:space="preserve"> </w:t>
      </w:r>
      <w:r w:rsidR="00EB31E1" w:rsidRPr="003704AC">
        <w:t>about meat resort to a broad array of dissonance-reduction tactics</w:t>
      </w:r>
      <w:r w:rsidR="00EE3287" w:rsidRPr="003704AC">
        <w:t xml:space="preserve"> to resolve their conflicted state, including </w:t>
      </w:r>
      <w:r w:rsidR="004E015B" w:rsidRPr="003704AC">
        <w:t>making</w:t>
      </w:r>
      <w:r w:rsidR="00EE3287" w:rsidRPr="003704AC">
        <w:t xml:space="preserve"> efforts to reduce consumption</w:t>
      </w:r>
      <w:r w:rsidR="00EB31E1" w:rsidRPr="003704AC">
        <w:t xml:space="preserve"> (</w:t>
      </w:r>
      <w:r w:rsidR="00EE3287" w:rsidRPr="003704AC">
        <w:t>see</w:t>
      </w:r>
      <w:r w:rsidR="00EB31E1" w:rsidRPr="003704AC">
        <w:t xml:space="preserve"> Bastian &amp; Loughnan, 2017; </w:t>
      </w:r>
      <w:proofErr w:type="spellStart"/>
      <w:r w:rsidR="00EB31E1" w:rsidRPr="003704AC">
        <w:t>Onwezen</w:t>
      </w:r>
      <w:proofErr w:type="spellEnd"/>
      <w:r w:rsidR="00EB31E1" w:rsidRPr="003704AC">
        <w:t xml:space="preserve"> &amp; van der </w:t>
      </w:r>
      <w:proofErr w:type="spellStart"/>
      <w:r w:rsidR="00EB31E1" w:rsidRPr="003704AC">
        <w:t>Weele</w:t>
      </w:r>
      <w:proofErr w:type="spellEnd"/>
      <w:r w:rsidR="00EB31E1" w:rsidRPr="003704AC">
        <w:t xml:space="preserve">, 2016; </w:t>
      </w:r>
      <w:proofErr w:type="spellStart"/>
      <w:r w:rsidR="00EB31E1" w:rsidRPr="003704AC">
        <w:t>Rothgerber</w:t>
      </w:r>
      <w:proofErr w:type="spellEnd"/>
      <w:r w:rsidR="00EB31E1" w:rsidRPr="003704AC">
        <w:t xml:space="preserve">, 2020). In the present study, </w:t>
      </w:r>
      <w:r w:rsidR="005226C6" w:rsidRPr="003704AC">
        <w:t xml:space="preserve">omnivore </w:t>
      </w:r>
      <w:r w:rsidR="00EB31E1" w:rsidRPr="003704AC">
        <w:t xml:space="preserve">conflict </w:t>
      </w:r>
      <w:r w:rsidR="005226C6" w:rsidRPr="003704AC">
        <w:t xml:space="preserve">was associated with </w:t>
      </w:r>
      <w:r w:rsidR="005226C6" w:rsidRPr="0058443A">
        <w:t>lower levels of</w:t>
      </w:r>
      <w:r w:rsidR="00791BFB" w:rsidRPr="0058443A">
        <w:t xml:space="preserve"> meat </w:t>
      </w:r>
      <w:r w:rsidR="005226C6" w:rsidRPr="0058443A">
        <w:t xml:space="preserve">consumption </w:t>
      </w:r>
      <w:r w:rsidR="00791BFB" w:rsidRPr="0058443A">
        <w:t xml:space="preserve">and </w:t>
      </w:r>
      <w:r w:rsidR="005226C6" w:rsidRPr="0058443A">
        <w:t>meat cravings</w:t>
      </w:r>
      <w:r w:rsidR="00791BFB" w:rsidRPr="0058443A">
        <w:t>.</w:t>
      </w:r>
      <w:r w:rsidR="00791BFB" w:rsidRPr="003704AC">
        <w:t xml:space="preserve"> </w:t>
      </w:r>
      <w:r w:rsidRPr="0058443A">
        <w:t>O</w:t>
      </w:r>
      <w:r w:rsidR="00791BFB" w:rsidRPr="0058443A">
        <w:t xml:space="preserve">mnivore conflict did not </w:t>
      </w:r>
      <w:r w:rsidRPr="0058443A">
        <w:t xml:space="preserve">reliably </w:t>
      </w:r>
      <w:r w:rsidR="00791BFB" w:rsidRPr="0058443A">
        <w:t>moderate the effect of pledging on daily meat consumption</w:t>
      </w:r>
      <w:r w:rsidR="00C772AA" w:rsidRPr="0058443A">
        <w:t xml:space="preserve"> suggesting </w:t>
      </w:r>
      <w:r w:rsidR="00101D87" w:rsidRPr="0058443A">
        <w:t>that meat-free pledges might be beneficial to a wider range of consumers</w:t>
      </w:r>
      <w:r w:rsidR="005226C6" w:rsidRPr="0058443A">
        <w:t>, beyond</w:t>
      </w:r>
      <w:r w:rsidR="00101D87" w:rsidRPr="0058443A">
        <w:t xml:space="preserve"> those who express conflict about their meat consumption.</w:t>
      </w:r>
    </w:p>
    <w:p w14:paraId="49E70FB7" w14:textId="61F7BD6D" w:rsidR="006A0C34" w:rsidRPr="003704AC" w:rsidRDefault="00EB31E1">
      <w:pPr>
        <w:spacing w:line="480" w:lineRule="auto"/>
        <w:ind w:firstLine="720"/>
      </w:pPr>
      <w:r w:rsidRPr="003704AC">
        <w:t>German pledgers exhibited the most sizable reductions in meat consumption during the 28 days, compared to UK and Australian pledgers. This moderating effect of country is likely partly explained by the fact that the German sample had a larger proportion of semi-vegetarians than the other sites</w:t>
      </w:r>
      <w:r w:rsidR="003A0D6F" w:rsidRPr="003704AC">
        <w:t>, but might also</w:t>
      </w:r>
      <w:r w:rsidRPr="003704AC">
        <w:t xml:space="preserve"> reflect genuine difference in meat reduction at the national level. </w:t>
      </w:r>
      <w:r w:rsidRPr="0058443A">
        <w:t xml:space="preserve">Germany is </w:t>
      </w:r>
      <w:r w:rsidR="00101D87" w:rsidRPr="0058443A">
        <w:t>a</w:t>
      </w:r>
      <w:r w:rsidR="00271AF7" w:rsidRPr="0058443A">
        <w:t xml:space="preserve"> global</w:t>
      </w:r>
      <w:r w:rsidR="00101D87" w:rsidRPr="0058443A">
        <w:t xml:space="preserve"> leader</w:t>
      </w:r>
      <w:r w:rsidRPr="0058443A">
        <w:t xml:space="preserve"> </w:t>
      </w:r>
      <w:r w:rsidR="00271AF7" w:rsidRPr="0058443A">
        <w:t>in</w:t>
      </w:r>
      <w:r w:rsidRPr="0058443A">
        <w:t xml:space="preserve"> the production and consumption of meat alternatives (</w:t>
      </w:r>
      <w:proofErr w:type="spellStart"/>
      <w:r w:rsidRPr="0058443A">
        <w:t>Bielinska</w:t>
      </w:r>
      <w:proofErr w:type="spellEnd"/>
      <w:r w:rsidRPr="0058443A">
        <w:t xml:space="preserve"> et al., 2020; </w:t>
      </w:r>
      <w:proofErr w:type="spellStart"/>
      <w:r w:rsidRPr="0058443A">
        <w:t>Mensink</w:t>
      </w:r>
      <w:proofErr w:type="spellEnd"/>
      <w:r w:rsidRPr="0058443A">
        <w:t xml:space="preserve"> et al., 2016; Ruby, 2012)</w:t>
      </w:r>
      <w:r w:rsidR="00271AF7" w:rsidRPr="0058443A">
        <w:t>, and</w:t>
      </w:r>
      <w:r w:rsidRPr="0058443A">
        <w:t xml:space="preserve"> </w:t>
      </w:r>
      <w:r w:rsidR="00271AF7" w:rsidRPr="0058443A">
        <w:t>m</w:t>
      </w:r>
      <w:r w:rsidRPr="0058443A">
        <w:t>eat abstention is particularly popular among German young adults (</w:t>
      </w:r>
      <w:proofErr w:type="spellStart"/>
      <w:r w:rsidRPr="0058443A">
        <w:t>Saari</w:t>
      </w:r>
      <w:proofErr w:type="spellEnd"/>
      <w:r w:rsidRPr="0058443A">
        <w:t xml:space="preserve"> et al., 2021), which comprised the </w:t>
      </w:r>
      <w:r w:rsidRPr="0058443A">
        <w:lastRenderedPageBreak/>
        <w:t>bulk of our German sample.</w:t>
      </w:r>
      <w:r w:rsidRPr="003704AC">
        <w:t xml:space="preserve"> </w:t>
      </w:r>
      <w:r w:rsidR="001F68FD" w:rsidRPr="0058443A">
        <w:t xml:space="preserve">While it is true that reduction </w:t>
      </w:r>
      <w:r w:rsidR="00271AF7" w:rsidRPr="0058443A">
        <w:t>trends are also occurring in the UK and Australia (e.g., The Vegan Society, 2021</w:t>
      </w:r>
      <w:r w:rsidR="00271AF7" w:rsidRPr="003704AC">
        <w:t>)</w:t>
      </w:r>
      <w:r w:rsidR="001F68FD" w:rsidRPr="003704AC">
        <w:t xml:space="preserve">, </w:t>
      </w:r>
      <w:r w:rsidRPr="003704AC">
        <w:t xml:space="preserve">German participants </w:t>
      </w:r>
      <w:r w:rsidR="001F68FD" w:rsidRPr="003704AC">
        <w:t>were likely</w:t>
      </w:r>
      <w:r w:rsidRPr="003704AC">
        <w:t xml:space="preserve"> better positioned both in terms of </w:t>
      </w:r>
      <w:r w:rsidR="00101D87" w:rsidRPr="003704AC">
        <w:t xml:space="preserve">the </w:t>
      </w:r>
      <w:r w:rsidRPr="003704AC">
        <w:t>consumer environment supporting their efforts to reduce and their capacity to do so</w:t>
      </w:r>
      <w:r w:rsidR="00271AF7" w:rsidRPr="003704AC">
        <w:t>.</w:t>
      </w:r>
      <w:r w:rsidRPr="003704AC">
        <w:t xml:space="preserve"> </w:t>
      </w:r>
      <w:r w:rsidR="00271AF7" w:rsidRPr="003704AC">
        <w:t>I</w:t>
      </w:r>
      <w:r w:rsidRPr="003704AC">
        <w:t xml:space="preserve">ndeed, </w:t>
      </w:r>
      <w:r w:rsidR="00BF0256" w:rsidRPr="003704AC">
        <w:t xml:space="preserve">at intake, </w:t>
      </w:r>
      <w:r w:rsidR="00271AF7" w:rsidRPr="003704AC">
        <w:t xml:space="preserve">our </w:t>
      </w:r>
      <w:r w:rsidRPr="003704AC">
        <w:t>German pledgers</w:t>
      </w:r>
      <w:r w:rsidR="00BF0256" w:rsidRPr="003704AC">
        <w:t xml:space="preserve"> reported greater </w:t>
      </w:r>
      <w:r w:rsidR="00D56F0E" w:rsidRPr="003704AC">
        <w:t xml:space="preserve">intent and </w:t>
      </w:r>
      <w:r w:rsidR="00BF0256" w:rsidRPr="003704AC">
        <w:t>capacity to follow through on their pledge</w:t>
      </w:r>
      <w:r w:rsidR="00101D87" w:rsidRPr="003704AC">
        <w:t>, relative to UK and Australian pledgers</w:t>
      </w:r>
      <w:r w:rsidRPr="003704AC">
        <w:t xml:space="preserve">. </w:t>
      </w:r>
    </w:p>
    <w:p w14:paraId="4052A949" w14:textId="7BCCF981" w:rsidR="006A0C34" w:rsidRPr="003704AC" w:rsidRDefault="00EB31E1">
      <w:pPr>
        <w:spacing w:line="480" w:lineRule="auto"/>
        <w:ind w:firstLine="720"/>
      </w:pPr>
      <w:r w:rsidRPr="003704AC">
        <w:t xml:space="preserve">Opposite to what was predicted, pledging participants experienced greater daily meat cravings than those not pledging. We </w:t>
      </w:r>
      <w:r w:rsidR="00D56F0E" w:rsidRPr="003704AC">
        <w:t xml:space="preserve">forecasted </w:t>
      </w:r>
      <w:r w:rsidRPr="003704AC">
        <w:t xml:space="preserve">that pledgers would be successful in satiating themselves on </w:t>
      </w:r>
      <w:r w:rsidR="00C2295C" w:rsidRPr="003704AC">
        <w:t xml:space="preserve">a </w:t>
      </w:r>
      <w:r w:rsidR="00C2295C" w:rsidRPr="0058443A">
        <w:t>vegetarian</w:t>
      </w:r>
      <w:r w:rsidRPr="003704AC">
        <w:t xml:space="preserve"> diet</w:t>
      </w:r>
      <w:r w:rsidR="00BF0256" w:rsidRPr="003704AC">
        <w:t xml:space="preserve"> and thus not experience higher levels of cravings than control participants</w:t>
      </w:r>
      <w:r w:rsidRPr="003704AC">
        <w:t xml:space="preserve">. This prediction was partly based on some evidence that dietary reductions in food intake </w:t>
      </w:r>
      <w:r w:rsidR="00BF0256" w:rsidRPr="003704AC">
        <w:t xml:space="preserve">can </w:t>
      </w:r>
      <w:r w:rsidR="00C17294" w:rsidRPr="003704AC">
        <w:t>suppress</w:t>
      </w:r>
      <w:r w:rsidRPr="003704AC">
        <w:t xml:space="preserve"> cravings for foods, or at least not increase them, over long periods of restraint (</w:t>
      </w:r>
      <w:r w:rsidR="00D56F0E" w:rsidRPr="003704AC">
        <w:t>see</w:t>
      </w:r>
      <w:r w:rsidRPr="003704AC">
        <w:t xml:space="preserve"> Harvey et al., 1993; Weingarten &amp; </w:t>
      </w:r>
      <w:proofErr w:type="spellStart"/>
      <w:r w:rsidRPr="003704AC">
        <w:t>Elston</w:t>
      </w:r>
      <w:proofErr w:type="spellEnd"/>
      <w:r w:rsidRPr="003704AC">
        <w:t>, 1991). In hindsight, it should not come as a surprise that many meat avoiders experienced a temporary increase in meat cravings within the one-month period. People develop strong attachments to meat (</w:t>
      </w:r>
      <w:proofErr w:type="spellStart"/>
      <w:r w:rsidRPr="003704AC">
        <w:t>Graça</w:t>
      </w:r>
      <w:proofErr w:type="spellEnd"/>
      <w:r w:rsidRPr="003704AC">
        <w:t xml:space="preserve"> et al., 2015), and </w:t>
      </w:r>
      <w:r w:rsidR="00C17294" w:rsidRPr="003704AC">
        <w:t>ex-</w:t>
      </w:r>
      <w:r w:rsidRPr="003704AC">
        <w:t>vegetarians</w:t>
      </w:r>
      <w:r w:rsidR="00C17294" w:rsidRPr="003704AC">
        <w:t>,</w:t>
      </w:r>
      <w:r w:rsidRPr="003704AC">
        <w:t xml:space="preserve"> who </w:t>
      </w:r>
      <w:r w:rsidR="00C17294" w:rsidRPr="003704AC">
        <w:t>resume</w:t>
      </w:r>
      <w:r w:rsidRPr="003704AC">
        <w:t xml:space="preserve"> eating meat</w:t>
      </w:r>
      <w:r w:rsidR="00C17294" w:rsidRPr="003704AC">
        <w:t>,</w:t>
      </w:r>
      <w:r w:rsidRPr="003704AC">
        <w:t xml:space="preserve"> </w:t>
      </w:r>
      <w:r w:rsidR="00D56F0E" w:rsidRPr="003704AC">
        <w:t>often report</w:t>
      </w:r>
      <w:r w:rsidR="00C17294" w:rsidRPr="003704AC">
        <w:t xml:space="preserve"> experiencing cravings</w:t>
      </w:r>
      <w:r w:rsidRPr="003704AC">
        <w:t xml:space="preserve"> (Rosenfeld &amp; Tomiyama, 2019; Menzies &amp; </w:t>
      </w:r>
      <w:proofErr w:type="spellStart"/>
      <w:r w:rsidRPr="003704AC">
        <w:t>Sheeshka</w:t>
      </w:r>
      <w:proofErr w:type="spellEnd"/>
      <w:r w:rsidRPr="003704AC">
        <w:t xml:space="preserve">, 2012). Perhaps, if the period of observation was extended beyond 28 days, we may have observed cravings declining or stabilizing—a possibility awaiting future investigation. </w:t>
      </w:r>
    </w:p>
    <w:p w14:paraId="18EB13A8" w14:textId="1C1779D3" w:rsidR="006A0C34" w:rsidRPr="003704AC" w:rsidRDefault="00EB31E1" w:rsidP="00660CDC">
      <w:pPr>
        <w:spacing w:line="480" w:lineRule="auto"/>
        <w:ind w:firstLine="720"/>
        <w:rPr>
          <w:b/>
        </w:rPr>
      </w:pPr>
      <w:r w:rsidRPr="003704AC">
        <w:t xml:space="preserve">Finally, </w:t>
      </w:r>
      <w:r w:rsidR="00A9257A" w:rsidRPr="003704AC">
        <w:t xml:space="preserve">no </w:t>
      </w:r>
      <w:r w:rsidRPr="003704AC">
        <w:t xml:space="preserve">long-term changes in meat consumption and attitudes </w:t>
      </w:r>
      <w:r w:rsidR="003C49D8" w:rsidRPr="003704AC">
        <w:t>occurred</w:t>
      </w:r>
      <w:r w:rsidRPr="003704AC">
        <w:t>. Instead, at one-month follow-up</w:t>
      </w:r>
      <w:r w:rsidR="00C17294" w:rsidRPr="003704AC">
        <w:t>,</w:t>
      </w:r>
      <w:r w:rsidRPr="003704AC">
        <w:t xml:space="preserve"> we observed that meat consumption rates </w:t>
      </w:r>
      <w:r w:rsidR="00C17294" w:rsidRPr="003704AC">
        <w:t>were not lower than</w:t>
      </w:r>
      <w:r w:rsidRPr="003704AC">
        <w:t xml:space="preserve"> intake levels, and </w:t>
      </w:r>
      <w:r w:rsidR="00D56F0E" w:rsidRPr="003704AC">
        <w:t xml:space="preserve">attitudes </w:t>
      </w:r>
      <w:r w:rsidRPr="003704AC">
        <w:t>to</w:t>
      </w:r>
      <w:r w:rsidR="00D56F0E" w:rsidRPr="003704AC">
        <w:t>wards</w:t>
      </w:r>
      <w:r w:rsidRPr="003704AC">
        <w:t xml:space="preserve"> eating meat remained fairly stable across the three time points. Unexpectedly, all participants, regardless of condition, reported reductions in their beliefs about the necessity, normality, naturalness, and niceness of eating meat one</w:t>
      </w:r>
      <w:r w:rsidR="00C17294" w:rsidRPr="003704AC">
        <w:t>-</w:t>
      </w:r>
      <w:r w:rsidRPr="003704AC">
        <w:t xml:space="preserve"> month </w:t>
      </w:r>
      <w:r w:rsidR="005B0DCE" w:rsidRPr="003704AC">
        <w:t>post-intervention</w:t>
      </w:r>
      <w:r w:rsidRPr="003704AC">
        <w:t xml:space="preserve">. </w:t>
      </w:r>
      <w:r w:rsidR="00C17294" w:rsidRPr="003704AC">
        <w:t>T</w:t>
      </w:r>
      <w:r w:rsidRPr="003704AC">
        <w:t>he broad</w:t>
      </w:r>
      <w:r w:rsidR="00D56F0E" w:rsidRPr="003704AC">
        <w:t>, long-term</w:t>
      </w:r>
      <w:r w:rsidRPr="003704AC">
        <w:t xml:space="preserve"> reduction in 4N endorsement might be an artifact of the methodological decision to provide all participants information about </w:t>
      </w:r>
      <w:r w:rsidR="00AA5898" w:rsidRPr="0058443A">
        <w:t>vegetarian eating</w:t>
      </w:r>
      <w:r w:rsidR="00C17294" w:rsidRPr="0058443A">
        <w:t xml:space="preserve">. It </w:t>
      </w:r>
      <w:r w:rsidR="00C17294" w:rsidRPr="0058443A">
        <w:lastRenderedPageBreak/>
        <w:t>could also reflect</w:t>
      </w:r>
      <w:r w:rsidR="00AA5898" w:rsidRPr="0058443A">
        <w:t xml:space="preserve"> independent exposure </w:t>
      </w:r>
      <w:r w:rsidR="00C17294" w:rsidRPr="0058443A">
        <w:t xml:space="preserve">of participants </w:t>
      </w:r>
      <w:r w:rsidR="00AA5898" w:rsidRPr="0058443A">
        <w:t>to counter-arguments or</w:t>
      </w:r>
      <w:r w:rsidR="00D56F0E" w:rsidRPr="0058443A">
        <w:t>, possibly,</w:t>
      </w:r>
      <w:r w:rsidR="00AA5898" w:rsidRPr="0058443A">
        <w:t xml:space="preserve"> an inclination</w:t>
      </w:r>
      <w:r w:rsidRPr="003704AC">
        <w:t xml:space="preserve"> </w:t>
      </w:r>
      <w:r w:rsidRPr="0058443A">
        <w:t xml:space="preserve">to </w:t>
      </w:r>
      <w:r w:rsidR="000229F6" w:rsidRPr="0058443A">
        <w:t>reconsider 4N</w:t>
      </w:r>
      <w:r w:rsidRPr="0058443A">
        <w:t xml:space="preserve"> beliefs</w:t>
      </w:r>
      <w:r w:rsidR="00AA5898" w:rsidRPr="003704AC">
        <w:t xml:space="preserve"> </w:t>
      </w:r>
      <w:r w:rsidR="00AA5898" w:rsidRPr="0058443A">
        <w:t>with repeat encounters</w:t>
      </w:r>
      <w:r w:rsidRPr="003704AC">
        <w:t xml:space="preserve">. </w:t>
      </w:r>
    </w:p>
    <w:p w14:paraId="6C49CFF0" w14:textId="72C2F552" w:rsidR="006A0C34" w:rsidRPr="003704AC" w:rsidRDefault="00EB31E1" w:rsidP="00660CDC">
      <w:pPr>
        <w:widowControl w:val="0"/>
        <w:spacing w:line="480" w:lineRule="auto"/>
        <w:ind w:firstLine="720"/>
      </w:pPr>
      <w:r w:rsidRPr="003704AC">
        <w:t xml:space="preserve">The present findings join with those drawn from longitudinal surveys of meat-free pledging (e.g., </w:t>
      </w:r>
      <w:proofErr w:type="spellStart"/>
      <w:r w:rsidRPr="003704AC">
        <w:t>Grassian</w:t>
      </w:r>
      <w:proofErr w:type="spellEnd"/>
      <w:r w:rsidRPr="003704AC">
        <w:t>, 2020) by highlighting the role of starting motivations in the fulfillment of meat-reduction pledges. We found that pledgers who, at the start, reported to have the intention and means to accomplish the task, tended to be more successful, and craved meat less, during the 28 days. These findings align with the COM-B model of behavioral change (</w:t>
      </w:r>
      <w:proofErr w:type="spellStart"/>
      <w:r w:rsidRPr="003704AC">
        <w:t>Graça</w:t>
      </w:r>
      <w:proofErr w:type="spellEnd"/>
      <w:r w:rsidRPr="003704AC">
        <w:t xml:space="preserve"> et al., 2019; Michie et al., 2011), </w:t>
      </w:r>
      <w:r w:rsidR="00B47D47" w:rsidRPr="003704AC">
        <w:t>as we</w:t>
      </w:r>
      <w:r w:rsidRPr="003704AC">
        <w:t xml:space="preserve"> </w:t>
      </w:r>
      <w:r w:rsidR="009D7564" w:rsidRPr="003704AC">
        <w:t>observed</w:t>
      </w:r>
      <w:r w:rsidRPr="003704AC">
        <w:t xml:space="preserve"> that pledging itself can serve as an external prompt (opportunity) to foster meat reduction</w:t>
      </w:r>
      <w:r w:rsidR="009D7564" w:rsidRPr="003704AC">
        <w:t xml:space="preserve">. </w:t>
      </w:r>
      <w:r w:rsidR="009D7564" w:rsidRPr="0058443A">
        <w:t xml:space="preserve">Yet, we also observed that motivated and capable pledgers </w:t>
      </w:r>
      <w:r w:rsidR="005B49E6" w:rsidRPr="0058443A">
        <w:t xml:space="preserve">ate </w:t>
      </w:r>
      <w:r w:rsidR="009D7564" w:rsidRPr="0058443A">
        <w:t xml:space="preserve">significantly </w:t>
      </w:r>
      <w:r w:rsidR="005B49E6" w:rsidRPr="0058443A">
        <w:t xml:space="preserve">less meat </w:t>
      </w:r>
      <w:r w:rsidR="009D7564" w:rsidRPr="0058443A">
        <w:t>than less motivated and capable pledgers</w:t>
      </w:r>
      <w:r w:rsidRPr="0058443A">
        <w:t>.</w:t>
      </w:r>
      <w:r w:rsidRPr="003704AC">
        <w:t xml:space="preserve"> </w:t>
      </w:r>
    </w:p>
    <w:p w14:paraId="66BB2033" w14:textId="7C9BCCCE" w:rsidR="006A0C34" w:rsidRPr="003704AC" w:rsidRDefault="00EB31E1">
      <w:pPr>
        <w:spacing w:line="480" w:lineRule="auto"/>
        <w:rPr>
          <w:b/>
        </w:rPr>
      </w:pPr>
      <w:r w:rsidRPr="003704AC">
        <w:rPr>
          <w:b/>
        </w:rPr>
        <w:t>4.1 Strengths and Limitations</w:t>
      </w:r>
    </w:p>
    <w:p w14:paraId="33CF21AA" w14:textId="45B44267" w:rsidR="006A0C34" w:rsidRPr="003704AC" w:rsidRDefault="00EB31E1">
      <w:pPr>
        <w:spacing w:line="480" w:lineRule="auto"/>
        <w:ind w:firstLine="720"/>
      </w:pPr>
      <w:r w:rsidRPr="003704AC">
        <w:t xml:space="preserve">The current study had several methodological strengths. First, it </w:t>
      </w:r>
      <w:r w:rsidR="00003046" w:rsidRPr="0058443A">
        <w:t xml:space="preserve">utilized daily measures of actual food consumption </w:t>
      </w:r>
      <w:r w:rsidR="00003046" w:rsidRPr="003704AC">
        <w:t xml:space="preserve">rather than </w:t>
      </w:r>
      <w:r w:rsidRPr="003704AC">
        <w:t>rely</w:t>
      </w:r>
      <w:r w:rsidR="00003046" w:rsidRPr="003704AC">
        <w:t>ing</w:t>
      </w:r>
      <w:r w:rsidRPr="003704AC">
        <w:t xml:space="preserve"> on </w:t>
      </w:r>
      <w:r w:rsidR="00003046" w:rsidRPr="003704AC">
        <w:t>self-reports of</w:t>
      </w:r>
      <w:r w:rsidRPr="003704AC">
        <w:t xml:space="preserve"> behavioral intentions or pledging adherence</w:t>
      </w:r>
      <w:r w:rsidR="00303271" w:rsidRPr="003704AC">
        <w:t xml:space="preserve"> </w:t>
      </w:r>
      <w:r w:rsidRPr="003704AC">
        <w:t>(</w:t>
      </w:r>
      <w:r w:rsidR="00303271" w:rsidRPr="003704AC">
        <w:t>cf.</w:t>
      </w:r>
      <w:r w:rsidRPr="003704AC">
        <w:t xml:space="preserve">, e.g., </w:t>
      </w:r>
      <w:proofErr w:type="spellStart"/>
      <w:r w:rsidRPr="003704AC">
        <w:t>Harguess</w:t>
      </w:r>
      <w:proofErr w:type="spellEnd"/>
      <w:r w:rsidRPr="003704AC">
        <w:t xml:space="preserve"> et al., 2020; </w:t>
      </w:r>
      <w:proofErr w:type="spellStart"/>
      <w:r w:rsidRPr="003704AC">
        <w:t>Stea</w:t>
      </w:r>
      <w:proofErr w:type="spellEnd"/>
      <w:r w:rsidRPr="003704AC">
        <w:t xml:space="preserve"> &amp; Pickering, 2018; </w:t>
      </w:r>
      <w:proofErr w:type="spellStart"/>
      <w:r w:rsidRPr="003704AC">
        <w:rPr>
          <w:color w:val="000000"/>
        </w:rPr>
        <w:t>Vainio</w:t>
      </w:r>
      <w:proofErr w:type="spellEnd"/>
      <w:r w:rsidRPr="003704AC">
        <w:rPr>
          <w:color w:val="000000"/>
        </w:rPr>
        <w:t xml:space="preserve"> et al., 2018</w:t>
      </w:r>
      <w:r w:rsidRPr="003704AC">
        <w:t xml:space="preserve">). No self-report methodology can fully mitigate the tendency for participants to engage in strategic reporting, yet experience sampling does offer an improvement upon traditional self-report methods (Ellis, 2020). </w:t>
      </w:r>
      <w:r w:rsidR="00303271" w:rsidRPr="003704AC">
        <w:t>Utilizing t</w:t>
      </w:r>
      <w:r w:rsidRPr="003704AC">
        <w:t xml:space="preserve">his method yielded a rich dataset of daily eating behaviors. A second methodological strength was that participants were experimentally assigned to condition, to allow </w:t>
      </w:r>
      <w:r w:rsidRPr="003704AC">
        <w:rPr>
          <w:i/>
        </w:rPr>
        <w:t xml:space="preserve">causal </w:t>
      </w:r>
      <w:r w:rsidRPr="003704AC">
        <w:t xml:space="preserve">inferences to be drawn about the efficacy of pledging. This is not usually possible in </w:t>
      </w:r>
      <w:r w:rsidR="00303271" w:rsidRPr="003704AC">
        <w:t xml:space="preserve">naturalistic </w:t>
      </w:r>
      <w:r w:rsidRPr="003704AC">
        <w:t xml:space="preserve">studies of meat-free pledging, which focus exclusively on pledgers and lack an appropriate </w:t>
      </w:r>
      <w:r w:rsidR="00D30872" w:rsidRPr="003704AC">
        <w:t xml:space="preserve">control </w:t>
      </w:r>
      <w:r w:rsidRPr="003704AC">
        <w:t xml:space="preserve">group. </w:t>
      </w:r>
    </w:p>
    <w:p w14:paraId="2C4B4822" w14:textId="39B9B984" w:rsidR="006A0C34" w:rsidRPr="003704AC" w:rsidRDefault="00EB31E1">
      <w:pPr>
        <w:spacing w:line="480" w:lineRule="auto"/>
        <w:ind w:firstLine="720"/>
      </w:pPr>
      <w:r w:rsidRPr="003704AC">
        <w:t xml:space="preserve">One limitation of the design was that all participants were provided information and resources to support efforts to eat meat-free. Arguably, this information may have alerted </w:t>
      </w:r>
      <w:r w:rsidRPr="003704AC">
        <w:lastRenderedPageBreak/>
        <w:t xml:space="preserve">some control participants to the </w:t>
      </w:r>
      <w:r w:rsidR="00003046" w:rsidRPr="0058443A">
        <w:t>research focus on</w:t>
      </w:r>
      <w:r w:rsidR="00003046" w:rsidRPr="003704AC">
        <w:t xml:space="preserve"> </w:t>
      </w:r>
      <w:r w:rsidRPr="003704AC">
        <w:t xml:space="preserve">meat consumption. The reason all participants were provided this information was to (a) ensure pledge participants had the essential tools needed to follow through on their commitments, and (b) avoid creating a confound between conditions with regards to the knowledge of how to eat meat-free. The downside of this decision was that some control participants may have acted upon this material, and, as a result, made efforts to reduce their meat consumption, mirroring the behavior of those pledging. However, this concern is somewhat attenuated by the fact that </w:t>
      </w:r>
      <w:r w:rsidR="00003046" w:rsidRPr="0058443A">
        <w:t>(a) pledgers consumed significantly less meat than control participants, and (b)</w:t>
      </w:r>
      <w:r w:rsidR="00003046" w:rsidRPr="003704AC">
        <w:t xml:space="preserve"> </w:t>
      </w:r>
      <w:r w:rsidRPr="003704AC">
        <w:t xml:space="preserve">the 24-hour meat-consumption scores for control participants at outtake did not differ from their scores at intake, whereas the difference </w:t>
      </w:r>
      <w:r w:rsidRPr="003704AC">
        <w:rPr>
          <w:i/>
        </w:rPr>
        <w:t>was</w:t>
      </w:r>
      <w:r w:rsidRPr="003704AC">
        <w:t xml:space="preserve"> significant for pledgers. Nonetheless, future studies could contrast the effects of meat-free commitments with and without the provision of capacity resources. </w:t>
      </w:r>
    </w:p>
    <w:p w14:paraId="68E5D25B" w14:textId="194940FF" w:rsidR="006E73C7" w:rsidRPr="003704AC" w:rsidRDefault="00EB31E1" w:rsidP="006E73C7">
      <w:pPr>
        <w:spacing w:line="480" w:lineRule="auto"/>
        <w:ind w:firstLine="720"/>
      </w:pPr>
      <w:r w:rsidRPr="003704AC">
        <w:t xml:space="preserve">Another limitation was that most samples were disproportionately populated by females, which is common in university psychology samples (Gregor &amp; O’Brien, 2015). This limits the conclusions that can be drawn about the effects of pledging on non-female-identifying individuals. The lack of </w:t>
      </w:r>
      <w:r w:rsidRPr="0058443A">
        <w:t>male</w:t>
      </w:r>
      <w:r w:rsidR="00B47D47" w:rsidRPr="0058443A">
        <w:t>-identifying</w:t>
      </w:r>
      <w:r w:rsidRPr="003704AC">
        <w:t xml:space="preserve"> participants is also an issue with real meat-reduction campaigns. </w:t>
      </w:r>
      <w:proofErr w:type="spellStart"/>
      <w:r w:rsidRPr="003704AC">
        <w:t>Grassian</w:t>
      </w:r>
      <w:proofErr w:type="spellEnd"/>
      <w:r w:rsidRPr="003704AC">
        <w:t xml:space="preserve"> (2020) reported that 80% of individuals who engaged with the sampled UK vegan, vegetarian and reduction campaigns, identified as female. Such campaigns also tend to engage predominantly white individuals (e.g., 96% in </w:t>
      </w:r>
      <w:proofErr w:type="spellStart"/>
      <w:r w:rsidRPr="003704AC">
        <w:t>Grassian’s</w:t>
      </w:r>
      <w:proofErr w:type="spellEnd"/>
      <w:r w:rsidRPr="003704AC">
        <w:t xml:space="preserve"> UK sample). The present samples were somewhat ethnically diverse, though still predominantly white. Thus, future research is needed to extend the investigation to additional groups, particularly non-white, non-female-identifying individuals from a variety of age groups and cultures, beyond those studied here.</w:t>
      </w:r>
      <w:r w:rsidR="006E73C7" w:rsidRPr="003704AC">
        <w:t xml:space="preserve"> </w:t>
      </w:r>
      <w:r w:rsidR="006E73C7" w:rsidRPr="003704AC">
        <w:rPr>
          <w:u w:val="single"/>
          <w:lang w:val="en-GB"/>
        </w:rPr>
        <w:t xml:space="preserve">Finally, future work should </w:t>
      </w:r>
      <w:r w:rsidR="00A43C67" w:rsidRPr="003704AC">
        <w:rPr>
          <w:u w:val="single"/>
          <w:lang w:val="en-GB"/>
        </w:rPr>
        <w:t xml:space="preserve">extend the assessment of long-term dietary change beyond a single, </w:t>
      </w:r>
      <w:r w:rsidR="006E73C7" w:rsidRPr="003704AC">
        <w:rPr>
          <w:u w:val="single"/>
          <w:lang w:val="en-GB"/>
        </w:rPr>
        <w:t xml:space="preserve">24-h recall measure. </w:t>
      </w:r>
    </w:p>
    <w:p w14:paraId="14B4EA05" w14:textId="2742D2B4" w:rsidR="004B63B1" w:rsidRPr="003704AC" w:rsidRDefault="004B63B1" w:rsidP="004B63B1">
      <w:pPr>
        <w:spacing w:line="480" w:lineRule="auto"/>
        <w:rPr>
          <w:b/>
        </w:rPr>
      </w:pPr>
      <w:r w:rsidRPr="003704AC">
        <w:rPr>
          <w:b/>
        </w:rPr>
        <w:t>4.2 Future Directions</w:t>
      </w:r>
    </w:p>
    <w:p w14:paraId="3526B605" w14:textId="0C49CB2C" w:rsidR="004B63B1" w:rsidRPr="0058443A" w:rsidRDefault="004B63B1" w:rsidP="004B63B1">
      <w:pPr>
        <w:spacing w:line="480" w:lineRule="auto"/>
        <w:ind w:firstLine="720"/>
      </w:pPr>
      <w:r w:rsidRPr="0058443A">
        <w:lastRenderedPageBreak/>
        <w:t>Future research should consider how the short-term behavioral changes arising within pledge campaigns might be sustained over the long term.</w:t>
      </w:r>
      <w:r w:rsidRPr="003704AC">
        <w:t xml:space="preserve"> A meta-analysis of the effects of commitment-making in environmental action (e.g., recycling) found that, whether alone or paired with other mechanisms (e.g., incentives), commitments tend to increase the target behavior, relative to non-intervention control conditions (</w:t>
      </w:r>
      <w:proofErr w:type="spellStart"/>
      <w:r w:rsidRPr="003704AC">
        <w:t>Lokhorst</w:t>
      </w:r>
      <w:proofErr w:type="spellEnd"/>
      <w:r w:rsidRPr="003704AC">
        <w:t xml:space="preserve"> et al., 2013). However, few studies have collected post-intervention data to examine the sustaining power of these interventions (see Ellis &amp; </w:t>
      </w:r>
      <w:proofErr w:type="spellStart"/>
      <w:r w:rsidRPr="003704AC">
        <w:t>Piwek</w:t>
      </w:r>
      <w:proofErr w:type="spellEnd"/>
      <w:r w:rsidRPr="003704AC">
        <w:t xml:space="preserve">, 2018, for a similar claim regarding physical fitness interventions). </w:t>
      </w:r>
      <w:r w:rsidRPr="0058443A">
        <w:t>Sustaining long-term reductions in meat consumption will likely require a multitude of strategies that endeavor to offer consumers the knowledge, skills, opportunities, and social support needed to prolong dietary commitments (</w:t>
      </w:r>
      <w:proofErr w:type="spellStart"/>
      <w:r w:rsidRPr="0058443A">
        <w:t>Amiot</w:t>
      </w:r>
      <w:proofErr w:type="spellEnd"/>
      <w:r w:rsidRPr="0058443A">
        <w:t xml:space="preserve"> et al., 2018; Atkins &amp; Michie, 2013, 2015; </w:t>
      </w:r>
      <w:proofErr w:type="spellStart"/>
      <w:r w:rsidRPr="0058443A">
        <w:t>Graça</w:t>
      </w:r>
      <w:proofErr w:type="spellEnd"/>
      <w:r w:rsidRPr="0058443A">
        <w:t xml:space="preserve"> et al., 2019). Aspects of such a multi-component strategy might include </w:t>
      </w:r>
      <w:r w:rsidRPr="0058443A">
        <w:rPr>
          <w:i/>
        </w:rPr>
        <w:t>implementation intentions</w:t>
      </w:r>
      <w:r w:rsidRPr="0058443A">
        <w:t xml:space="preserve">, </w:t>
      </w:r>
      <w:r w:rsidRPr="0058443A">
        <w:rPr>
          <w:i/>
        </w:rPr>
        <w:t xml:space="preserve">reminders, </w:t>
      </w:r>
      <w:r w:rsidR="00866533" w:rsidRPr="0058443A">
        <w:rPr>
          <w:i/>
        </w:rPr>
        <w:t>ensuring enjoyment</w:t>
      </w:r>
      <w:r w:rsidR="007007E1" w:rsidRPr="0058443A">
        <w:rPr>
          <w:i/>
        </w:rPr>
        <w:t xml:space="preserve"> with eating</w:t>
      </w:r>
      <w:r w:rsidR="00866533" w:rsidRPr="0058443A">
        <w:rPr>
          <w:i/>
        </w:rPr>
        <w:t>,</w:t>
      </w:r>
      <w:r w:rsidR="00E42ABF" w:rsidRPr="0058443A">
        <w:rPr>
          <w:i/>
        </w:rPr>
        <w:t xml:space="preserve"> </w:t>
      </w:r>
      <w:r w:rsidRPr="0058443A">
        <w:t>and</w:t>
      </w:r>
      <w:r w:rsidRPr="0058443A">
        <w:rPr>
          <w:i/>
        </w:rPr>
        <w:t xml:space="preserve"> group commitments</w:t>
      </w:r>
      <w:r w:rsidRPr="0058443A">
        <w:t xml:space="preserve">. </w:t>
      </w:r>
    </w:p>
    <w:p w14:paraId="7B8275D0" w14:textId="3C4A32F1" w:rsidR="004B63B1" w:rsidRPr="003704AC" w:rsidRDefault="004B63B1" w:rsidP="004B63B1">
      <w:pPr>
        <w:spacing w:line="480" w:lineRule="auto"/>
        <w:ind w:firstLine="720"/>
      </w:pPr>
      <w:r w:rsidRPr="0058443A">
        <w:t>Implementation intentions might involve if-then plans for pledgers to address obstacles they face in implementing their intentions to eat meat-free; e.g., “If I’m preparing my shopping list for the week, I will include ingredients for at least three meatless meals”; “If I’m craving meat, I will first look for a tasty meat substitute” (see Loy et al., 2016).</w:t>
      </w:r>
      <w:r w:rsidRPr="003704AC">
        <w:t xml:space="preserve"> Reminding individuals of their commitments might be an effective way for campaigns to make commitments salient and spark cognitive elaboration on the reasons for maintaining the commitment (</w:t>
      </w:r>
      <w:proofErr w:type="spellStart"/>
      <w:r w:rsidRPr="003704AC">
        <w:t>Lokhorst</w:t>
      </w:r>
      <w:proofErr w:type="spellEnd"/>
      <w:r w:rsidRPr="003704AC">
        <w:t xml:space="preserve"> et al., 2013).</w:t>
      </w:r>
      <w:r w:rsidR="00E42ABF" w:rsidRPr="003704AC">
        <w:t xml:space="preserve"> </w:t>
      </w:r>
      <w:r w:rsidR="00866533" w:rsidRPr="0058443A">
        <w:t xml:space="preserve">Ensuring that meat reducers are finding alternatives that they enjoy is a key to </w:t>
      </w:r>
      <w:r w:rsidR="007007E1" w:rsidRPr="0058443A">
        <w:t>maintaining plant-</w:t>
      </w:r>
      <w:r w:rsidR="00BB1928" w:rsidRPr="0058443A">
        <w:t>forward</w:t>
      </w:r>
      <w:r w:rsidR="007007E1" w:rsidRPr="0058443A">
        <w:t xml:space="preserve"> transitions, since </w:t>
      </w:r>
      <w:r w:rsidR="00BB1928" w:rsidRPr="0058443A">
        <w:t xml:space="preserve">new behaviors often fail to take hold if they are not enjoyable </w:t>
      </w:r>
      <w:r w:rsidR="007007E1" w:rsidRPr="0058443A">
        <w:t>(Sansone et al., 1992).</w:t>
      </w:r>
      <w:r w:rsidR="00BB2F64" w:rsidRPr="003704AC">
        <w:t xml:space="preserve"> </w:t>
      </w:r>
      <w:r w:rsidRPr="0058443A">
        <w:t>Finally, having pledgers recruit members of their household or network to share in their commitment may be an important mechanism for building a sustained environment of support (Atkins &amp; Michie, 2013, 2015</w:t>
      </w:r>
      <w:r w:rsidR="00B47D47" w:rsidRPr="0058443A">
        <w:t>; Lacroix &amp; Gifford, 2019</w:t>
      </w:r>
      <w:r w:rsidRPr="0058443A">
        <w:t>).</w:t>
      </w:r>
      <w:r w:rsidRPr="003704AC">
        <w:t xml:space="preserve"> Eating is a highly social activity for many people (</w:t>
      </w:r>
      <w:proofErr w:type="spellStart"/>
      <w:r w:rsidRPr="003704AC">
        <w:t>Arbit</w:t>
      </w:r>
      <w:proofErr w:type="spellEnd"/>
      <w:r w:rsidRPr="003704AC">
        <w:t xml:space="preserve"> et al., </w:t>
      </w:r>
      <w:r w:rsidRPr="003704AC">
        <w:lastRenderedPageBreak/>
        <w:t xml:space="preserve">2017; </w:t>
      </w:r>
      <w:proofErr w:type="spellStart"/>
      <w:r w:rsidRPr="003704AC">
        <w:t>Delormier</w:t>
      </w:r>
      <w:proofErr w:type="spellEnd"/>
      <w:r w:rsidRPr="003704AC">
        <w:t xml:space="preserve"> et al., 2009; Rosenfeld, 2018), and many meat avoiders report that they face challenges coordinating their meat-free meals with close others (Asher et al., 2014; </w:t>
      </w:r>
      <w:proofErr w:type="spellStart"/>
      <w:r w:rsidRPr="003704AC">
        <w:t>Markowski</w:t>
      </w:r>
      <w:proofErr w:type="spellEnd"/>
      <w:r w:rsidRPr="003704AC">
        <w:t xml:space="preserve"> &amp; Roxburgh, 2019; Menzies &amp; </w:t>
      </w:r>
      <w:proofErr w:type="spellStart"/>
      <w:r w:rsidRPr="003704AC">
        <w:t>Sheeshka</w:t>
      </w:r>
      <w:proofErr w:type="spellEnd"/>
      <w:r w:rsidRPr="003704AC">
        <w:t xml:space="preserve">, 2012; </w:t>
      </w:r>
      <w:proofErr w:type="spellStart"/>
      <w:r w:rsidRPr="003704AC">
        <w:t>Pfeiler</w:t>
      </w:r>
      <w:proofErr w:type="spellEnd"/>
      <w:r w:rsidRPr="003704AC">
        <w:t xml:space="preserve"> &amp; </w:t>
      </w:r>
      <w:proofErr w:type="spellStart"/>
      <w:r w:rsidRPr="003704AC">
        <w:t>Egloff</w:t>
      </w:r>
      <w:proofErr w:type="spellEnd"/>
      <w:r w:rsidRPr="003704AC">
        <w:t xml:space="preserve">, 2020; Rosenfeld &amp; Tomiyama, 2019). </w:t>
      </w:r>
      <w:r w:rsidRPr="0058443A">
        <w:t>Thus, group pledges should be tested as a potential means for promoting long-term maintenance of commitments, both in the context of meat consumption and beyond.</w:t>
      </w:r>
      <w:r w:rsidRPr="003704AC">
        <w:t xml:space="preserve"> </w:t>
      </w:r>
    </w:p>
    <w:p w14:paraId="3008EFAD" w14:textId="68AFC1C4" w:rsidR="006A0C34" w:rsidRPr="003704AC" w:rsidRDefault="004B63B1" w:rsidP="004B63B1">
      <w:pPr>
        <w:spacing w:line="480" w:lineRule="auto"/>
        <w:ind w:firstLine="720"/>
      </w:pPr>
      <w:r w:rsidRPr="003704AC">
        <w:t xml:space="preserve">Finally, research </w:t>
      </w:r>
      <w:r w:rsidRPr="0058443A">
        <w:t xml:space="preserve">on pledging should continue to consider how to best </w:t>
      </w:r>
      <w:r w:rsidR="0012498A" w:rsidRPr="0058443A">
        <w:t>frame pledge</w:t>
      </w:r>
      <w:r w:rsidR="007149C3" w:rsidRPr="0058443A">
        <w:t xml:space="preserve"> commitment</w:t>
      </w:r>
      <w:r w:rsidR="0012498A" w:rsidRPr="0058443A">
        <w:t>s vis-à-vis different audiences</w:t>
      </w:r>
      <w:r w:rsidRPr="0058443A">
        <w:t>.</w:t>
      </w:r>
      <w:r w:rsidRPr="003704AC">
        <w:t xml:space="preserve"> Undoubtedly, the current participants experienced greater than normal pressure to engage with the pledge, since they were participating in a scientific study and received financial incentives for their participation. Of course, in the real world, individuals</w:t>
      </w:r>
      <w:r w:rsidR="007149C3" w:rsidRPr="003704AC">
        <w:t xml:space="preserve"> </w:t>
      </w:r>
      <w:r w:rsidR="0012498A" w:rsidRPr="0058443A">
        <w:t>freely</w:t>
      </w:r>
      <w:r w:rsidR="0012498A" w:rsidRPr="003704AC">
        <w:t xml:space="preserve"> </w:t>
      </w:r>
      <w:r w:rsidRPr="003704AC">
        <w:t>elect to participate in meat-free pledges</w:t>
      </w:r>
      <w:r w:rsidR="007149C3" w:rsidRPr="003704AC">
        <w:t xml:space="preserve"> </w:t>
      </w:r>
      <w:r w:rsidR="007149C3" w:rsidRPr="0058443A">
        <w:t xml:space="preserve">often with some degree of </w:t>
      </w:r>
      <w:r w:rsidR="00ED0190" w:rsidRPr="0058443A">
        <w:t>prior</w:t>
      </w:r>
      <w:r w:rsidR="007149C3" w:rsidRPr="0058443A">
        <w:t xml:space="preserve"> </w:t>
      </w:r>
      <w:r w:rsidR="0012498A" w:rsidRPr="0058443A">
        <w:t>experience (</w:t>
      </w:r>
      <w:proofErr w:type="spellStart"/>
      <w:r w:rsidR="0012498A" w:rsidRPr="0058443A">
        <w:t>Grassian</w:t>
      </w:r>
      <w:proofErr w:type="spellEnd"/>
      <w:r w:rsidR="0012498A" w:rsidRPr="0058443A">
        <w:t>, 2020)</w:t>
      </w:r>
      <w:r w:rsidR="00ED0190" w:rsidRPr="003704AC">
        <w:t xml:space="preserve">. </w:t>
      </w:r>
      <w:r w:rsidR="00ED0190" w:rsidRPr="0058443A">
        <w:t>Further</w:t>
      </w:r>
      <w:r w:rsidR="00ED0190" w:rsidRPr="003704AC">
        <w:t xml:space="preserve"> </w:t>
      </w:r>
      <w:r w:rsidRPr="0058443A">
        <w:t>empirical attention</w:t>
      </w:r>
      <w:r w:rsidR="00ED0190" w:rsidRPr="0058443A">
        <w:t xml:space="preserve"> is needed to better understand how to make pledges both attractive and effective</w:t>
      </w:r>
      <w:r w:rsidRPr="003704AC">
        <w:t>.</w:t>
      </w:r>
    </w:p>
    <w:p w14:paraId="61DF99E9" w14:textId="08EB195F" w:rsidR="006A0C34" w:rsidRPr="003704AC" w:rsidRDefault="00EB31E1">
      <w:pPr>
        <w:spacing w:line="480" w:lineRule="auto"/>
        <w:rPr>
          <w:b/>
        </w:rPr>
      </w:pPr>
      <w:r w:rsidRPr="003704AC">
        <w:rPr>
          <w:b/>
        </w:rPr>
        <w:t>4.</w:t>
      </w:r>
      <w:r w:rsidR="004B63B1" w:rsidRPr="003704AC">
        <w:rPr>
          <w:b/>
        </w:rPr>
        <w:t>3</w:t>
      </w:r>
      <w:r w:rsidRPr="003704AC">
        <w:rPr>
          <w:b/>
        </w:rPr>
        <w:t xml:space="preserve"> Conclusion</w:t>
      </w:r>
    </w:p>
    <w:p w14:paraId="5A206638" w14:textId="53696003" w:rsidR="006A0C34" w:rsidRPr="003704AC" w:rsidRDefault="00EB31E1">
      <w:pPr>
        <w:spacing w:line="480" w:lineRule="auto"/>
      </w:pPr>
      <w:r w:rsidRPr="003704AC">
        <w:tab/>
        <w:t xml:space="preserve">What </w:t>
      </w:r>
      <w:r w:rsidR="00B47D47" w:rsidRPr="003704AC">
        <w:t>people</w:t>
      </w:r>
      <w:r w:rsidRPr="003704AC">
        <w:t xml:space="preserve"> eat has implications not only for </w:t>
      </w:r>
      <w:r w:rsidR="00B47D47" w:rsidRPr="003704AC">
        <w:t>individuals</w:t>
      </w:r>
      <w:r w:rsidRPr="003704AC">
        <w:t xml:space="preserve">, but </w:t>
      </w:r>
      <w:r w:rsidR="00B47D47" w:rsidRPr="003704AC">
        <w:t xml:space="preserve">also </w:t>
      </w:r>
      <w:r w:rsidRPr="003704AC">
        <w:t>the environment and others around the world. Eating less meat can arguably protect against fatal and costly diseases, help address the climate crisis, and mitigate social justice issues like world hunger. We observed that pledging can be an effective tool for promoting meat reduction</w:t>
      </w:r>
      <w:r w:rsidR="001509FF" w:rsidRPr="003704AC">
        <w:t xml:space="preserve">, </w:t>
      </w:r>
      <w:r w:rsidR="001509FF" w:rsidRPr="0058443A">
        <w:t xml:space="preserve">particularly in </w:t>
      </w:r>
      <w:r w:rsidR="00B47D47" w:rsidRPr="0058443A">
        <w:t>countries</w:t>
      </w:r>
      <w:r w:rsidR="001509FF" w:rsidRPr="0058443A">
        <w:t xml:space="preserve"> </w:t>
      </w:r>
      <w:r w:rsidR="00AE27D7" w:rsidRPr="0058443A">
        <w:t>where plant-based eating is currently trending</w:t>
      </w:r>
      <w:r w:rsidRPr="003704AC">
        <w:t>. However, pledging mainly serves as a</w:t>
      </w:r>
      <w:r w:rsidR="00AE27D7" w:rsidRPr="003704AC">
        <w:t xml:space="preserve"> </w:t>
      </w:r>
      <w:r w:rsidR="00AE27D7" w:rsidRPr="0058443A">
        <w:t>temporary</w:t>
      </w:r>
      <w:r w:rsidRPr="003704AC">
        <w:t xml:space="preserve"> opportunity to reduce. Further mechanisms are needed to sustain commitments beyond the </w:t>
      </w:r>
      <w:r w:rsidRPr="0058443A">
        <w:t>boundaries</w:t>
      </w:r>
      <w:r w:rsidRPr="003704AC">
        <w:t xml:space="preserve"> of the initial pledge.</w:t>
      </w:r>
    </w:p>
    <w:p w14:paraId="27FE65BC" w14:textId="77777777" w:rsidR="006A0C34" w:rsidRPr="003704AC" w:rsidRDefault="006A0C34">
      <w:pPr>
        <w:spacing w:line="480" w:lineRule="auto"/>
        <w:rPr>
          <w:rFonts w:ascii="Times" w:eastAsia="Times" w:hAnsi="Times" w:cs="Times"/>
          <w:color w:val="1D1D1D"/>
          <w:sz w:val="26"/>
          <w:szCs w:val="26"/>
        </w:rPr>
      </w:pPr>
    </w:p>
    <w:p w14:paraId="6591ACA5" w14:textId="77777777" w:rsidR="006A0C34" w:rsidRPr="003704AC" w:rsidRDefault="006A0C34"/>
    <w:p w14:paraId="20991D7F" w14:textId="77777777" w:rsidR="006A0C34" w:rsidRPr="003704AC" w:rsidRDefault="00EB31E1">
      <w:pPr>
        <w:rPr>
          <w:color w:val="000000"/>
        </w:rPr>
      </w:pPr>
      <w:r w:rsidRPr="003704AC">
        <w:br w:type="page"/>
      </w:r>
    </w:p>
    <w:p w14:paraId="2D0D45AA" w14:textId="77777777" w:rsidR="006A0C34" w:rsidRPr="003704AC" w:rsidRDefault="00EB31E1">
      <w:pPr>
        <w:spacing w:line="480" w:lineRule="auto"/>
        <w:ind w:hanging="720"/>
        <w:jc w:val="center"/>
        <w:rPr>
          <w:b/>
          <w:color w:val="000000"/>
        </w:rPr>
      </w:pPr>
      <w:r w:rsidRPr="003704AC">
        <w:rPr>
          <w:b/>
          <w:color w:val="000000"/>
        </w:rPr>
        <w:lastRenderedPageBreak/>
        <w:t>References</w:t>
      </w:r>
    </w:p>
    <w:p w14:paraId="0D9E4723" w14:textId="77777777" w:rsidR="00AB33D3" w:rsidRPr="0058443A" w:rsidRDefault="00AB33D3" w:rsidP="00660CDC">
      <w:pPr>
        <w:spacing w:line="480" w:lineRule="auto"/>
        <w:rPr>
          <w:i/>
          <w:iCs/>
          <w:shd w:val="clear" w:color="auto" w:fill="FFFFFF"/>
        </w:rPr>
      </w:pPr>
      <w:r w:rsidRPr="0058443A">
        <w:rPr>
          <w:shd w:val="clear" w:color="auto" w:fill="FFFFFF"/>
        </w:rPr>
        <w:t>Aiken, L. S., West, S. G., &amp; Reno, R. R. (1991). </w:t>
      </w:r>
      <w:r w:rsidRPr="0058443A">
        <w:rPr>
          <w:i/>
          <w:iCs/>
          <w:shd w:val="clear" w:color="auto" w:fill="FFFFFF"/>
        </w:rPr>
        <w:t xml:space="preserve">Multiple regression: Testing and </w:t>
      </w:r>
    </w:p>
    <w:p w14:paraId="7A96BE3B" w14:textId="5964DDCF" w:rsidR="00AB33D3" w:rsidRPr="003704AC" w:rsidRDefault="00AB33D3" w:rsidP="00660CDC">
      <w:pPr>
        <w:spacing w:line="480" w:lineRule="auto"/>
        <w:ind w:firstLine="720"/>
        <w:rPr>
          <w:b/>
          <w:bCs/>
          <w:lang w:val="en-GB"/>
        </w:rPr>
      </w:pPr>
      <w:r w:rsidRPr="0058443A">
        <w:rPr>
          <w:i/>
          <w:iCs/>
          <w:shd w:val="clear" w:color="auto" w:fill="FFFFFF"/>
        </w:rPr>
        <w:t>interpreting interactions</w:t>
      </w:r>
      <w:r w:rsidRPr="0058443A">
        <w:rPr>
          <w:shd w:val="clear" w:color="auto" w:fill="FFFFFF"/>
        </w:rPr>
        <w:t>. Sage.</w:t>
      </w:r>
    </w:p>
    <w:p w14:paraId="71364AE5" w14:textId="77777777" w:rsidR="006A0C34" w:rsidRPr="003704AC" w:rsidRDefault="00EB31E1">
      <w:pPr>
        <w:spacing w:line="480" w:lineRule="auto"/>
        <w:ind w:left="720" w:hanging="720"/>
        <w:rPr>
          <w:color w:val="000000"/>
        </w:rPr>
      </w:pPr>
      <w:proofErr w:type="spellStart"/>
      <w:r w:rsidRPr="0058443A">
        <w:rPr>
          <w:color w:val="000000"/>
        </w:rPr>
        <w:t>Amiot</w:t>
      </w:r>
      <w:proofErr w:type="spellEnd"/>
      <w:r w:rsidRPr="0058443A">
        <w:rPr>
          <w:color w:val="000000"/>
        </w:rPr>
        <w:t xml:space="preserve">, C. E., El Hajj Boutros, G., </w:t>
      </w:r>
      <w:proofErr w:type="spellStart"/>
      <w:r w:rsidRPr="0058443A">
        <w:rPr>
          <w:color w:val="000000"/>
        </w:rPr>
        <w:t>Sukhanova</w:t>
      </w:r>
      <w:proofErr w:type="spellEnd"/>
      <w:r w:rsidRPr="0058443A">
        <w:rPr>
          <w:color w:val="000000"/>
        </w:rPr>
        <w:t xml:space="preserve">, K., &amp; Karelis, A. D. (2018). Testing a novel multicomponent intervention to reduce meat consumption in young men. </w:t>
      </w:r>
      <w:proofErr w:type="spellStart"/>
      <w:r w:rsidRPr="0058443A">
        <w:rPr>
          <w:i/>
          <w:color w:val="000000"/>
        </w:rPr>
        <w:t>PLoS</w:t>
      </w:r>
      <w:proofErr w:type="spellEnd"/>
      <w:r w:rsidRPr="0058443A">
        <w:rPr>
          <w:i/>
          <w:color w:val="000000"/>
        </w:rPr>
        <w:t xml:space="preserve"> ONE, 13</w:t>
      </w:r>
      <w:r w:rsidRPr="0058443A">
        <w:rPr>
          <w:color w:val="000000"/>
        </w:rPr>
        <w:t>(10), e0204590.</w:t>
      </w:r>
    </w:p>
    <w:p w14:paraId="4AE41F9D" w14:textId="77777777" w:rsidR="006A0C34" w:rsidRPr="0058443A" w:rsidRDefault="00EB31E1">
      <w:pPr>
        <w:spacing w:line="480" w:lineRule="auto"/>
        <w:ind w:left="720" w:hanging="720"/>
        <w:rPr>
          <w:color w:val="222222"/>
        </w:rPr>
      </w:pPr>
      <w:r w:rsidRPr="0058443A">
        <w:rPr>
          <w:color w:val="222222"/>
        </w:rPr>
        <w:t xml:space="preserve">Animal Charity Evaluators (Dec, 2016). Dietary assessment. Retrieved from </w:t>
      </w:r>
    </w:p>
    <w:p w14:paraId="2C9D9D95" w14:textId="77777777" w:rsidR="006A0C34" w:rsidRPr="0058443A" w:rsidRDefault="00247C37">
      <w:pPr>
        <w:spacing w:line="480" w:lineRule="auto"/>
        <w:ind w:firstLine="720"/>
        <w:rPr>
          <w:color w:val="222222"/>
        </w:rPr>
      </w:pPr>
      <w:hyperlink r:id="rId11">
        <w:r w:rsidR="00EB31E1" w:rsidRPr="0058443A">
          <w:rPr>
            <w:color w:val="0000FF"/>
            <w:u w:val="single"/>
          </w:rPr>
          <w:t>https://animalcharityevaluators.org/for-charities/develop-a-survey/dietary-assessment/</w:t>
        </w:r>
      </w:hyperlink>
    </w:p>
    <w:p w14:paraId="35B324E9" w14:textId="77777777" w:rsidR="006A0C34" w:rsidRPr="0058443A" w:rsidRDefault="00EB31E1">
      <w:pPr>
        <w:spacing w:line="480" w:lineRule="auto"/>
        <w:rPr>
          <w:color w:val="222222"/>
        </w:rPr>
      </w:pPr>
      <w:r w:rsidRPr="0058443A">
        <w:rPr>
          <w:color w:val="222222"/>
        </w:rPr>
        <w:t xml:space="preserve">Animal Charity Evaluators (April, 2019). Interventions. Retrieved from </w:t>
      </w:r>
    </w:p>
    <w:p w14:paraId="349BD8EF" w14:textId="77777777" w:rsidR="006A0C34" w:rsidRPr="0058443A" w:rsidRDefault="00247C37">
      <w:pPr>
        <w:spacing w:line="480" w:lineRule="auto"/>
        <w:ind w:firstLine="720"/>
        <w:rPr>
          <w:color w:val="222222"/>
        </w:rPr>
      </w:pPr>
      <w:hyperlink r:id="rId12">
        <w:r w:rsidR="00EB31E1" w:rsidRPr="0058443A">
          <w:rPr>
            <w:color w:val="0000FF"/>
            <w:u w:val="single"/>
          </w:rPr>
          <w:t>https://animalcharityevaluators.org/advocacy-interventions/interventions/</w:t>
        </w:r>
      </w:hyperlink>
    </w:p>
    <w:p w14:paraId="59DE1DF1" w14:textId="77777777" w:rsidR="006A0C34" w:rsidRPr="0058443A" w:rsidRDefault="00EB31E1">
      <w:pPr>
        <w:spacing w:line="480" w:lineRule="auto"/>
        <w:rPr>
          <w:color w:val="222222"/>
        </w:rPr>
      </w:pPr>
      <w:proofErr w:type="spellStart"/>
      <w:r w:rsidRPr="0058443A">
        <w:rPr>
          <w:color w:val="222222"/>
        </w:rPr>
        <w:t>Arbit</w:t>
      </w:r>
      <w:proofErr w:type="spellEnd"/>
      <w:r w:rsidRPr="0058443A">
        <w:rPr>
          <w:color w:val="222222"/>
        </w:rPr>
        <w:t xml:space="preserve">, N. I., Ruby, M. B., &amp; </w:t>
      </w:r>
      <w:proofErr w:type="spellStart"/>
      <w:r w:rsidRPr="0058443A">
        <w:rPr>
          <w:color w:val="222222"/>
        </w:rPr>
        <w:t>Rozin</w:t>
      </w:r>
      <w:proofErr w:type="spellEnd"/>
      <w:r w:rsidRPr="0058443A">
        <w:rPr>
          <w:color w:val="222222"/>
        </w:rPr>
        <w:t>, P. (2017). Development and validation of the Meaning of</w:t>
      </w:r>
    </w:p>
    <w:p w14:paraId="392F8D94" w14:textId="77777777" w:rsidR="006A0C34" w:rsidRPr="0058443A" w:rsidRDefault="00EB31E1">
      <w:pPr>
        <w:spacing w:line="480" w:lineRule="auto"/>
        <w:ind w:left="720"/>
        <w:rPr>
          <w:color w:val="222222"/>
        </w:rPr>
      </w:pPr>
      <w:r w:rsidRPr="0058443A">
        <w:rPr>
          <w:color w:val="222222"/>
        </w:rPr>
        <w:t xml:space="preserve">Food in Life Questionnaire (MFLQ): Evidence for a new construct to explain eating behavior. </w:t>
      </w:r>
      <w:r w:rsidRPr="0058443A">
        <w:rPr>
          <w:i/>
          <w:color w:val="222222"/>
        </w:rPr>
        <w:t>Appetite, 59</w:t>
      </w:r>
      <w:r w:rsidRPr="0058443A">
        <w:rPr>
          <w:color w:val="222222"/>
        </w:rPr>
        <w:t>, 35-45. 10.1016/j.foodqual.2017.02.002</w:t>
      </w:r>
    </w:p>
    <w:p w14:paraId="574C0150" w14:textId="77777777" w:rsidR="006A0C34" w:rsidRPr="0058443A" w:rsidRDefault="00EB31E1">
      <w:pPr>
        <w:spacing w:line="480" w:lineRule="auto"/>
        <w:ind w:left="720" w:hanging="720"/>
        <w:rPr>
          <w:color w:val="222222"/>
        </w:rPr>
      </w:pPr>
      <w:r w:rsidRPr="0058443A">
        <w:rPr>
          <w:color w:val="222222"/>
        </w:rPr>
        <w:t xml:space="preserve">Asher, K., Green, C., </w:t>
      </w:r>
      <w:proofErr w:type="spellStart"/>
      <w:r w:rsidRPr="0058443A">
        <w:rPr>
          <w:color w:val="222222"/>
        </w:rPr>
        <w:t>Gutbrod</w:t>
      </w:r>
      <w:proofErr w:type="spellEnd"/>
      <w:r w:rsidRPr="0058443A">
        <w:rPr>
          <w:color w:val="222222"/>
        </w:rPr>
        <w:t xml:space="preserve">, H., Jewell, M., Hale, G., &amp; Bastian, B. (2014, December). Study of current and former vegetarians and vegans. Retrieved from </w:t>
      </w:r>
      <w:hyperlink r:id="rId13">
        <w:r w:rsidRPr="0058443A">
          <w:rPr>
            <w:color w:val="0000FF"/>
            <w:u w:val="single"/>
          </w:rPr>
          <w:t>https://faunalytics.org/feature-article/hrc-study-of-current-and-former-vegetarians-and-vegans/</w:t>
        </w:r>
      </w:hyperlink>
    </w:p>
    <w:p w14:paraId="19DB4D28" w14:textId="77777777" w:rsidR="006A0C34" w:rsidRPr="0058443A" w:rsidRDefault="00EB31E1">
      <w:pPr>
        <w:spacing w:line="480" w:lineRule="auto"/>
        <w:ind w:left="720" w:hanging="720"/>
        <w:rPr>
          <w:color w:val="222222"/>
        </w:rPr>
      </w:pPr>
      <w:r w:rsidRPr="0058443A">
        <w:rPr>
          <w:color w:val="222222"/>
        </w:rPr>
        <w:t xml:space="preserve">Atkins, L., &amp; Michie, S. (2013). Changing eating </w:t>
      </w:r>
      <w:proofErr w:type="spellStart"/>
      <w:r w:rsidRPr="0058443A">
        <w:rPr>
          <w:color w:val="222222"/>
        </w:rPr>
        <w:t>behaviour</w:t>
      </w:r>
      <w:proofErr w:type="spellEnd"/>
      <w:r w:rsidRPr="0058443A">
        <w:rPr>
          <w:color w:val="222222"/>
        </w:rPr>
        <w:t xml:space="preserve">: What can we learn from behavioral science? </w:t>
      </w:r>
      <w:r w:rsidRPr="0058443A">
        <w:rPr>
          <w:i/>
          <w:color w:val="222222"/>
        </w:rPr>
        <w:t>Nutrition Bulletin, 38</w:t>
      </w:r>
      <w:r w:rsidRPr="0058443A">
        <w:rPr>
          <w:color w:val="222222"/>
        </w:rPr>
        <w:t>, 30-35.</w:t>
      </w:r>
    </w:p>
    <w:p w14:paraId="0D2BAB03" w14:textId="77777777" w:rsidR="006A0C34" w:rsidRPr="0058443A" w:rsidRDefault="00EB31E1">
      <w:pPr>
        <w:spacing w:line="480" w:lineRule="auto"/>
        <w:ind w:left="720" w:hanging="720"/>
        <w:rPr>
          <w:color w:val="222222"/>
        </w:rPr>
      </w:pPr>
      <w:r w:rsidRPr="0058443A">
        <w:rPr>
          <w:color w:val="222222"/>
        </w:rPr>
        <w:t xml:space="preserve">Atkins, L., &amp; Michie, S. (2015). Designing interventions to change eating </w:t>
      </w:r>
      <w:proofErr w:type="spellStart"/>
      <w:r w:rsidRPr="0058443A">
        <w:rPr>
          <w:color w:val="222222"/>
        </w:rPr>
        <w:t>behaviours</w:t>
      </w:r>
      <w:proofErr w:type="spellEnd"/>
      <w:r w:rsidRPr="0058443A">
        <w:rPr>
          <w:color w:val="222222"/>
        </w:rPr>
        <w:t xml:space="preserve">. </w:t>
      </w:r>
      <w:r w:rsidRPr="0058443A">
        <w:rPr>
          <w:i/>
          <w:color w:val="222222"/>
        </w:rPr>
        <w:t>Proceedings of the Nutrition Society, 74</w:t>
      </w:r>
      <w:r w:rsidRPr="0058443A">
        <w:rPr>
          <w:color w:val="222222"/>
        </w:rPr>
        <w:t>, 164-170.</w:t>
      </w:r>
    </w:p>
    <w:p w14:paraId="5F4C3D66" w14:textId="77777777" w:rsidR="006A0C34" w:rsidRPr="003704AC" w:rsidRDefault="00EB31E1">
      <w:pPr>
        <w:spacing w:line="480" w:lineRule="auto"/>
        <w:ind w:left="720" w:hanging="720"/>
      </w:pPr>
      <w:proofErr w:type="spellStart"/>
      <w:r w:rsidRPr="0058443A">
        <w:rPr>
          <w:color w:val="222222"/>
        </w:rPr>
        <w:t>Baayen</w:t>
      </w:r>
      <w:proofErr w:type="spellEnd"/>
      <w:r w:rsidRPr="0058443A">
        <w:rPr>
          <w:color w:val="222222"/>
        </w:rPr>
        <w:t>, R. H., Davidson, D. J., &amp; Bates, D. M. (2008). Mixed-effects modeling with crossed random effects for subjects and items. </w:t>
      </w:r>
      <w:r w:rsidRPr="0058443A">
        <w:rPr>
          <w:i/>
          <w:color w:val="222222"/>
        </w:rPr>
        <w:t>Journal of Memory and Language</w:t>
      </w:r>
      <w:r w:rsidRPr="0058443A">
        <w:rPr>
          <w:color w:val="222222"/>
        </w:rPr>
        <w:t>, </w:t>
      </w:r>
      <w:r w:rsidRPr="0058443A">
        <w:rPr>
          <w:i/>
          <w:color w:val="222222"/>
        </w:rPr>
        <w:t>59</w:t>
      </w:r>
      <w:r w:rsidRPr="0058443A">
        <w:rPr>
          <w:color w:val="222222"/>
        </w:rPr>
        <w:t>(4), 390-412.</w:t>
      </w:r>
      <w:r w:rsidRPr="003704AC">
        <w:t xml:space="preserve"> </w:t>
      </w:r>
      <w:proofErr w:type="spellStart"/>
      <w:r w:rsidRPr="003704AC">
        <w:t>doi</w:t>
      </w:r>
      <w:proofErr w:type="spellEnd"/>
      <w:r w:rsidRPr="003704AC">
        <w:t>: 10.1016/j.jml.2007.12.005</w:t>
      </w:r>
    </w:p>
    <w:p w14:paraId="0ADC4B73" w14:textId="77777777" w:rsidR="006A0C34" w:rsidRPr="003704AC" w:rsidRDefault="00EB31E1">
      <w:pPr>
        <w:widowControl w:val="0"/>
        <w:spacing w:line="480" w:lineRule="auto"/>
        <w:ind w:left="567" w:hanging="567"/>
      </w:pPr>
      <w:r w:rsidRPr="003704AC">
        <w:t xml:space="preserve">Bachman, W., &amp; </w:t>
      </w:r>
      <w:proofErr w:type="spellStart"/>
      <w:r w:rsidRPr="003704AC">
        <w:t>Katzev</w:t>
      </w:r>
      <w:proofErr w:type="spellEnd"/>
      <w:r w:rsidRPr="003704AC">
        <w:t xml:space="preserve">, R. (1982). The effects of non-contingent free bus tickets and </w:t>
      </w:r>
      <w:r w:rsidRPr="003704AC">
        <w:lastRenderedPageBreak/>
        <w:t xml:space="preserve">personal commitment on urban bus ridership. </w:t>
      </w:r>
      <w:r w:rsidRPr="003704AC">
        <w:rPr>
          <w:i/>
        </w:rPr>
        <w:t>Transportation Research Part A. Policy and Practice, 16</w:t>
      </w:r>
      <w:r w:rsidRPr="003704AC">
        <w:t>, 103-108.</w:t>
      </w:r>
      <w:r w:rsidRPr="003704AC">
        <w:rPr>
          <w:rFonts w:ascii="MS Mincho" w:eastAsia="MS Mincho" w:hAnsi="MS Mincho" w:cs="MS Mincho"/>
        </w:rPr>
        <w:t> </w:t>
      </w:r>
    </w:p>
    <w:p w14:paraId="404722A4" w14:textId="77777777" w:rsidR="006A0C34" w:rsidRPr="0058443A" w:rsidRDefault="00EB31E1">
      <w:pPr>
        <w:spacing w:line="480" w:lineRule="auto"/>
        <w:ind w:left="567" w:hanging="567"/>
        <w:rPr>
          <w:color w:val="000000"/>
        </w:rPr>
      </w:pPr>
      <w:r w:rsidRPr="0058443A">
        <w:rPr>
          <w:color w:val="000000"/>
        </w:rPr>
        <w:t>Bass, E., College, P., &amp; Bruce, S. (2019). The Interplay of Plans and Intentions: A Pledge-Based Intervention to Reduce Participation in a Single Hazardous Event. </w:t>
      </w:r>
      <w:r w:rsidRPr="003704AC">
        <w:rPr>
          <w:i/>
          <w:color w:val="000000"/>
        </w:rPr>
        <w:t>Proceedings Of The Human Factors And Ergonomics Society Annual Meeting</w:t>
      </w:r>
      <w:r w:rsidRPr="0058443A">
        <w:rPr>
          <w:color w:val="000000"/>
        </w:rPr>
        <w:t>, </w:t>
      </w:r>
      <w:r w:rsidRPr="003704AC">
        <w:rPr>
          <w:i/>
          <w:color w:val="000000"/>
        </w:rPr>
        <w:t>63</w:t>
      </w:r>
      <w:r w:rsidRPr="0058443A">
        <w:rPr>
          <w:color w:val="000000"/>
        </w:rPr>
        <w:t xml:space="preserve">(1), 307-311. </w:t>
      </w:r>
      <w:proofErr w:type="spellStart"/>
      <w:r w:rsidRPr="0058443A">
        <w:rPr>
          <w:color w:val="000000"/>
        </w:rPr>
        <w:t>doi</w:t>
      </w:r>
      <w:proofErr w:type="spellEnd"/>
      <w:r w:rsidRPr="0058443A">
        <w:rPr>
          <w:color w:val="000000"/>
        </w:rPr>
        <w:t>: 10.1177/1071181319631236</w:t>
      </w:r>
    </w:p>
    <w:p w14:paraId="0408B956" w14:textId="77777777" w:rsidR="006A0C34" w:rsidRPr="0058443A" w:rsidRDefault="00EB31E1">
      <w:pPr>
        <w:spacing w:line="480" w:lineRule="auto"/>
        <w:ind w:left="567" w:hanging="567"/>
        <w:rPr>
          <w:color w:val="000000"/>
        </w:rPr>
      </w:pPr>
      <w:r w:rsidRPr="0058443A">
        <w:rPr>
          <w:color w:val="000000"/>
        </w:rPr>
        <w:t xml:space="preserve">Bastian, B., &amp; Loughnan, S. (2017). Resolving the meat-paradox: A motivational account of morally troublesome behavior and its maintenance. </w:t>
      </w:r>
      <w:r w:rsidRPr="0058443A">
        <w:rPr>
          <w:i/>
          <w:color w:val="000000"/>
        </w:rPr>
        <w:t>Personality and Social Psychology Review, 21</w:t>
      </w:r>
      <w:r w:rsidRPr="0058443A">
        <w:rPr>
          <w:color w:val="000000"/>
        </w:rPr>
        <w:t xml:space="preserve">(3), 278-299. </w:t>
      </w:r>
    </w:p>
    <w:p w14:paraId="5DBABDDB" w14:textId="77777777" w:rsidR="006A0C34" w:rsidRPr="0058443A" w:rsidRDefault="00EB31E1">
      <w:pPr>
        <w:spacing w:line="480" w:lineRule="auto"/>
        <w:rPr>
          <w:color w:val="000000"/>
        </w:rPr>
      </w:pPr>
      <w:r w:rsidRPr="0058443A">
        <w:rPr>
          <w:color w:val="000000"/>
        </w:rPr>
        <w:t xml:space="preserve">Bastian, B., Loughnan, S., Haslam, N., &amp; Radke, H. R. M. (2012). Don't mind meat? The </w:t>
      </w:r>
    </w:p>
    <w:p w14:paraId="60125B70" w14:textId="77777777" w:rsidR="006A0C34" w:rsidRPr="0058443A" w:rsidRDefault="00EB31E1">
      <w:pPr>
        <w:spacing w:line="480" w:lineRule="auto"/>
        <w:ind w:left="720"/>
        <w:rPr>
          <w:color w:val="000000"/>
        </w:rPr>
      </w:pPr>
      <w:r w:rsidRPr="0058443A">
        <w:rPr>
          <w:color w:val="000000"/>
        </w:rPr>
        <w:t xml:space="preserve">denial of mind to animals used for human consumption. </w:t>
      </w:r>
      <w:r w:rsidRPr="0058443A">
        <w:rPr>
          <w:i/>
          <w:color w:val="000000"/>
        </w:rPr>
        <w:t>Personality and Social Psychology Bulletin, 38</w:t>
      </w:r>
      <w:r w:rsidRPr="0058443A">
        <w:rPr>
          <w:color w:val="000000"/>
        </w:rPr>
        <w:t xml:space="preserve">(2), 247-256. </w:t>
      </w:r>
      <w:proofErr w:type="spellStart"/>
      <w:r w:rsidRPr="0058443A">
        <w:rPr>
          <w:color w:val="000000"/>
        </w:rPr>
        <w:t>doi:https</w:t>
      </w:r>
      <w:proofErr w:type="spellEnd"/>
      <w:r w:rsidRPr="0058443A">
        <w:rPr>
          <w:color w:val="000000"/>
        </w:rPr>
        <w:t>://doi.org/10.1177/0146167211424291</w:t>
      </w:r>
    </w:p>
    <w:p w14:paraId="4B44D1CA" w14:textId="77777777" w:rsidR="00652A90" w:rsidRPr="0058443A" w:rsidRDefault="00652A90" w:rsidP="00660CDC">
      <w:pPr>
        <w:spacing w:line="480" w:lineRule="auto"/>
      </w:pPr>
      <w:r w:rsidRPr="0058443A">
        <w:rPr>
          <w:rStyle w:val="hlfld-contribauthor"/>
        </w:rPr>
        <w:t>Bates, </w:t>
      </w:r>
      <w:r w:rsidRPr="0058443A">
        <w:rPr>
          <w:rStyle w:val="nlmgiven-names"/>
        </w:rPr>
        <w:t>D.</w:t>
      </w:r>
      <w:r w:rsidRPr="0058443A">
        <w:t>, </w:t>
      </w:r>
      <w:proofErr w:type="spellStart"/>
      <w:r w:rsidRPr="0058443A">
        <w:rPr>
          <w:rStyle w:val="hlfld-contribauthor"/>
        </w:rPr>
        <w:t>Maechler</w:t>
      </w:r>
      <w:proofErr w:type="spellEnd"/>
      <w:r w:rsidRPr="0058443A">
        <w:rPr>
          <w:rStyle w:val="hlfld-contribauthor"/>
        </w:rPr>
        <w:t>, </w:t>
      </w:r>
      <w:r w:rsidRPr="0058443A">
        <w:rPr>
          <w:rStyle w:val="nlmgiven-names"/>
        </w:rPr>
        <w:t>M.</w:t>
      </w:r>
      <w:r w:rsidRPr="0058443A">
        <w:t>, </w:t>
      </w:r>
      <w:proofErr w:type="spellStart"/>
      <w:r w:rsidRPr="0058443A">
        <w:rPr>
          <w:rStyle w:val="hlfld-contribauthor"/>
        </w:rPr>
        <w:t>Bolker</w:t>
      </w:r>
      <w:proofErr w:type="spellEnd"/>
      <w:r w:rsidRPr="0058443A">
        <w:rPr>
          <w:rStyle w:val="hlfld-contribauthor"/>
        </w:rPr>
        <w:t>, </w:t>
      </w:r>
      <w:r w:rsidRPr="0058443A">
        <w:rPr>
          <w:rStyle w:val="nlmgiven-names"/>
        </w:rPr>
        <w:t>B.</w:t>
      </w:r>
      <w:r w:rsidRPr="0058443A">
        <w:t>, &amp; </w:t>
      </w:r>
      <w:r w:rsidRPr="0058443A">
        <w:rPr>
          <w:rStyle w:val="hlfld-contribauthor"/>
        </w:rPr>
        <w:t>Walker, </w:t>
      </w:r>
      <w:r w:rsidRPr="0058443A">
        <w:rPr>
          <w:rStyle w:val="nlmgiven-names"/>
        </w:rPr>
        <w:t>S.</w:t>
      </w:r>
      <w:r w:rsidRPr="0058443A">
        <w:t> (</w:t>
      </w:r>
      <w:r w:rsidRPr="0058443A">
        <w:rPr>
          <w:rStyle w:val="nlmyear"/>
        </w:rPr>
        <w:t>2014</w:t>
      </w:r>
      <w:r w:rsidRPr="0058443A">
        <w:t xml:space="preserve">). lme4: Linear mixed-effects models </w:t>
      </w:r>
    </w:p>
    <w:p w14:paraId="1856B3E7" w14:textId="77777777" w:rsidR="00652A90" w:rsidRPr="0058443A" w:rsidRDefault="00652A90" w:rsidP="00660CDC">
      <w:pPr>
        <w:spacing w:line="480" w:lineRule="auto"/>
        <w:ind w:firstLine="567"/>
      </w:pPr>
      <w:r w:rsidRPr="0058443A">
        <w:t xml:space="preserve">using Eigen and S4. [Computer program and manual] R package version 1.1-7. </w:t>
      </w:r>
    </w:p>
    <w:p w14:paraId="2F312832" w14:textId="6492BDB8" w:rsidR="00652A90" w:rsidRPr="003704AC" w:rsidRDefault="00247C37" w:rsidP="00660CDC">
      <w:pPr>
        <w:spacing w:line="480" w:lineRule="auto"/>
        <w:ind w:firstLine="567"/>
        <w:rPr>
          <w:rStyle w:val="googlescholar-container"/>
          <w:b/>
          <w:bCs/>
          <w:lang w:val="en-GB"/>
        </w:rPr>
      </w:pPr>
      <w:hyperlink r:id="rId14" w:history="1">
        <w:r w:rsidR="00652A90" w:rsidRPr="0058443A">
          <w:rPr>
            <w:rStyle w:val="Hyperlink"/>
          </w:rPr>
          <w:t>http://CRAN.R-project.org/package = lme4</w:t>
        </w:r>
      </w:hyperlink>
      <w:r w:rsidR="00652A90" w:rsidRPr="0058443A">
        <w:t>.</w:t>
      </w:r>
      <w:r w:rsidR="00652A90" w:rsidRPr="003704AC">
        <w:rPr>
          <w:rStyle w:val="reflink-block"/>
        </w:rPr>
        <w:t> </w:t>
      </w:r>
      <w:r w:rsidR="00652A90" w:rsidRPr="003704AC">
        <w:rPr>
          <w:rStyle w:val="googlescholar-container"/>
          <w:b/>
          <w:bCs/>
          <w:lang w:val="en-GB"/>
        </w:rPr>
        <w:t xml:space="preserve"> </w:t>
      </w:r>
    </w:p>
    <w:p w14:paraId="2E0F54A9" w14:textId="77777777" w:rsidR="006A0C34" w:rsidRPr="003704AC" w:rsidRDefault="00EB31E1">
      <w:pPr>
        <w:widowControl w:val="0"/>
        <w:spacing w:line="480" w:lineRule="auto"/>
        <w:ind w:left="567" w:hanging="567"/>
        <w:rPr>
          <w:color w:val="000000"/>
        </w:rPr>
      </w:pPr>
      <w:proofErr w:type="spellStart"/>
      <w:r w:rsidRPr="003704AC">
        <w:rPr>
          <w:color w:val="000000"/>
        </w:rPr>
        <w:t>Berndsen</w:t>
      </w:r>
      <w:proofErr w:type="spellEnd"/>
      <w:r w:rsidRPr="003704AC">
        <w:rPr>
          <w:color w:val="000000"/>
        </w:rPr>
        <w:t xml:space="preserve">, M., &amp; Van der </w:t>
      </w:r>
      <w:proofErr w:type="spellStart"/>
      <w:r w:rsidRPr="003704AC">
        <w:rPr>
          <w:color w:val="000000"/>
        </w:rPr>
        <w:t>Pligt</w:t>
      </w:r>
      <w:proofErr w:type="spellEnd"/>
      <w:r w:rsidRPr="003704AC">
        <w:rPr>
          <w:color w:val="000000"/>
        </w:rPr>
        <w:t xml:space="preserve">, J. (2004). Ambivalence towards meat. </w:t>
      </w:r>
      <w:r w:rsidRPr="003704AC">
        <w:rPr>
          <w:i/>
          <w:color w:val="000000"/>
        </w:rPr>
        <w:t xml:space="preserve">Appetite, 42, </w:t>
      </w:r>
      <w:r w:rsidRPr="003704AC">
        <w:rPr>
          <w:color w:val="000000"/>
        </w:rPr>
        <w:t>71-78.</w:t>
      </w:r>
    </w:p>
    <w:p w14:paraId="44CCB4BA" w14:textId="0F538117" w:rsidR="006A0C34" w:rsidRPr="003704AC" w:rsidRDefault="00EB31E1" w:rsidP="005A307B">
      <w:pPr>
        <w:widowControl w:val="0"/>
        <w:spacing w:line="480" w:lineRule="auto"/>
        <w:ind w:left="567" w:hanging="567"/>
      </w:pPr>
      <w:proofErr w:type="spellStart"/>
      <w:r w:rsidRPr="003704AC">
        <w:rPr>
          <w:color w:val="000000"/>
        </w:rPr>
        <w:t>Bielinska</w:t>
      </w:r>
      <w:proofErr w:type="spellEnd"/>
      <w:r w:rsidRPr="003704AC">
        <w:rPr>
          <w:color w:val="000000"/>
        </w:rPr>
        <w:t xml:space="preserve">, K., </w:t>
      </w:r>
      <w:proofErr w:type="spellStart"/>
      <w:r w:rsidRPr="003704AC">
        <w:rPr>
          <w:color w:val="000000"/>
        </w:rPr>
        <w:t>Rehder</w:t>
      </w:r>
      <w:proofErr w:type="spellEnd"/>
      <w:r w:rsidRPr="003704AC">
        <w:rPr>
          <w:color w:val="000000"/>
        </w:rPr>
        <w:t xml:space="preserve">, L., &amp; </w:t>
      </w:r>
      <w:proofErr w:type="spellStart"/>
      <w:r w:rsidRPr="003704AC">
        <w:rPr>
          <w:color w:val="000000"/>
        </w:rPr>
        <w:t>Trautmann</w:t>
      </w:r>
      <w:proofErr w:type="spellEnd"/>
      <w:r w:rsidRPr="003704AC">
        <w:rPr>
          <w:color w:val="000000"/>
        </w:rPr>
        <w:t xml:space="preserve">, W. (2020). Germany is leading a </w:t>
      </w:r>
      <w:proofErr w:type="spellStart"/>
      <w:r w:rsidRPr="003704AC">
        <w:rPr>
          <w:color w:val="000000"/>
        </w:rPr>
        <w:t>vegalution</w:t>
      </w:r>
      <w:proofErr w:type="spellEnd"/>
      <w:r w:rsidRPr="003704AC">
        <w:rPr>
          <w:color w:val="000000"/>
        </w:rPr>
        <w:t xml:space="preserve"> – vegan revolution – in Europe. United States Department of Agriculture, Foreign Agricultural Service and Global Agricultural Information Network report. </w:t>
      </w:r>
    </w:p>
    <w:p w14:paraId="46C52F3E" w14:textId="77777777" w:rsidR="006A0C34" w:rsidRPr="003704AC" w:rsidRDefault="00EB31E1">
      <w:pPr>
        <w:spacing w:line="480" w:lineRule="auto"/>
        <w:ind w:left="567" w:hanging="567"/>
        <w:rPr>
          <w:color w:val="000000"/>
        </w:rPr>
      </w:pPr>
      <w:r w:rsidRPr="003704AC">
        <w:rPr>
          <w:color w:val="000000"/>
        </w:rPr>
        <w:t xml:space="preserve">Burgess, D., Haney, B., Snyder, M., Sullivan, J., &amp; </w:t>
      </w:r>
      <w:proofErr w:type="spellStart"/>
      <w:r w:rsidRPr="003704AC">
        <w:rPr>
          <w:color w:val="000000"/>
        </w:rPr>
        <w:t>Transue</w:t>
      </w:r>
      <w:proofErr w:type="spellEnd"/>
      <w:r w:rsidRPr="003704AC">
        <w:rPr>
          <w:color w:val="000000"/>
        </w:rPr>
        <w:t>, J. (2000). Rocking the vote. </w:t>
      </w:r>
      <w:r w:rsidRPr="003704AC">
        <w:rPr>
          <w:i/>
          <w:color w:val="000000"/>
        </w:rPr>
        <w:t>Public Opinion Quarterly</w:t>
      </w:r>
      <w:r w:rsidRPr="003704AC">
        <w:rPr>
          <w:color w:val="000000"/>
        </w:rPr>
        <w:t>, </w:t>
      </w:r>
      <w:r w:rsidRPr="003704AC">
        <w:rPr>
          <w:i/>
          <w:color w:val="000000"/>
        </w:rPr>
        <w:t>64</w:t>
      </w:r>
      <w:r w:rsidRPr="003704AC">
        <w:rPr>
          <w:color w:val="000000"/>
        </w:rPr>
        <w:t xml:space="preserve">(1), 29-52. </w:t>
      </w:r>
      <w:proofErr w:type="spellStart"/>
      <w:r w:rsidRPr="003704AC">
        <w:rPr>
          <w:color w:val="000000"/>
        </w:rPr>
        <w:t>doi</w:t>
      </w:r>
      <w:proofErr w:type="spellEnd"/>
      <w:r w:rsidRPr="003704AC">
        <w:rPr>
          <w:color w:val="000000"/>
        </w:rPr>
        <w:t>: 10.1086/316758</w:t>
      </w:r>
    </w:p>
    <w:p w14:paraId="15B24933" w14:textId="77777777" w:rsidR="006A0C34" w:rsidRPr="003704AC" w:rsidRDefault="00EB31E1">
      <w:pPr>
        <w:spacing w:line="480" w:lineRule="auto"/>
        <w:ind w:left="567" w:hanging="567"/>
        <w:rPr>
          <w:color w:val="000000"/>
        </w:rPr>
      </w:pPr>
      <w:proofErr w:type="spellStart"/>
      <w:r w:rsidRPr="0058443A">
        <w:rPr>
          <w:color w:val="000000"/>
        </w:rPr>
        <w:t>Buttlar</w:t>
      </w:r>
      <w:proofErr w:type="spellEnd"/>
      <w:r w:rsidRPr="0058443A">
        <w:rPr>
          <w:color w:val="000000"/>
        </w:rPr>
        <w:t xml:space="preserve">, B., &amp; Walther, E. (2018). Measuring the meat paradox: How ambivalence towards meat influences moral disengagement. </w:t>
      </w:r>
      <w:r w:rsidRPr="0058443A">
        <w:rPr>
          <w:i/>
          <w:color w:val="000000"/>
        </w:rPr>
        <w:t>Appetite, 128</w:t>
      </w:r>
      <w:r w:rsidRPr="0058443A">
        <w:rPr>
          <w:color w:val="000000"/>
        </w:rPr>
        <w:t>, 152-158.</w:t>
      </w:r>
    </w:p>
    <w:p w14:paraId="73AEDDAD" w14:textId="77777777" w:rsidR="006A0C34" w:rsidRPr="003704AC" w:rsidRDefault="00EB31E1">
      <w:pPr>
        <w:spacing w:line="480" w:lineRule="auto"/>
        <w:ind w:left="567" w:hanging="567"/>
        <w:rPr>
          <w:color w:val="000000"/>
        </w:rPr>
      </w:pPr>
      <w:r w:rsidRPr="003704AC">
        <w:t xml:space="preserve">Cahill, K. &amp; </w:t>
      </w:r>
      <w:proofErr w:type="spellStart"/>
      <w:r w:rsidRPr="003704AC">
        <w:t>Perera</w:t>
      </w:r>
      <w:proofErr w:type="spellEnd"/>
      <w:r w:rsidRPr="003704AC">
        <w:t xml:space="preserve">, R. (2011). Competitions and incentives for smoking cessation. </w:t>
      </w:r>
      <w:r w:rsidRPr="003704AC">
        <w:rPr>
          <w:i/>
        </w:rPr>
        <w:t>Cochrane Database of Systematic Reviews</w:t>
      </w:r>
      <w:r w:rsidRPr="003704AC">
        <w:t>.</w:t>
      </w:r>
    </w:p>
    <w:p w14:paraId="167B1FE0" w14:textId="77777777" w:rsidR="006A0C34" w:rsidRPr="003704AC" w:rsidRDefault="00EB31E1">
      <w:pPr>
        <w:spacing w:line="480" w:lineRule="auto"/>
        <w:ind w:left="720" w:hanging="720"/>
        <w:rPr>
          <w:color w:val="000000"/>
        </w:rPr>
      </w:pPr>
      <w:r w:rsidRPr="0058443A">
        <w:rPr>
          <w:color w:val="000000"/>
        </w:rPr>
        <w:lastRenderedPageBreak/>
        <w:t>Castell, G. S., Serra-</w:t>
      </w:r>
      <w:proofErr w:type="spellStart"/>
      <w:r w:rsidRPr="0058443A">
        <w:rPr>
          <w:color w:val="000000"/>
        </w:rPr>
        <w:t>Majem</w:t>
      </w:r>
      <w:proofErr w:type="spellEnd"/>
      <w:r w:rsidRPr="0058443A">
        <w:rPr>
          <w:color w:val="000000"/>
        </w:rPr>
        <w:t xml:space="preserve">, L., &amp; </w:t>
      </w:r>
      <w:proofErr w:type="spellStart"/>
      <w:r w:rsidRPr="0058443A">
        <w:rPr>
          <w:color w:val="000000"/>
        </w:rPr>
        <w:t>Ribas</w:t>
      </w:r>
      <w:proofErr w:type="spellEnd"/>
      <w:r w:rsidRPr="0058443A">
        <w:rPr>
          <w:color w:val="000000"/>
        </w:rPr>
        <w:t xml:space="preserve">-Barba, L. (2015). What and how much do we eat? 24-hour dietary recall method. </w:t>
      </w:r>
      <w:proofErr w:type="spellStart"/>
      <w:r w:rsidRPr="0058443A">
        <w:rPr>
          <w:i/>
          <w:color w:val="000000"/>
        </w:rPr>
        <w:t>Nutricion</w:t>
      </w:r>
      <w:proofErr w:type="spellEnd"/>
      <w:r w:rsidRPr="0058443A">
        <w:rPr>
          <w:i/>
          <w:color w:val="000000"/>
        </w:rPr>
        <w:t xml:space="preserve"> </w:t>
      </w:r>
      <w:proofErr w:type="spellStart"/>
      <w:r w:rsidRPr="0058443A">
        <w:rPr>
          <w:i/>
          <w:color w:val="000000"/>
        </w:rPr>
        <w:t>Hospitaliaria</w:t>
      </w:r>
      <w:proofErr w:type="spellEnd"/>
      <w:r w:rsidRPr="0058443A">
        <w:rPr>
          <w:i/>
          <w:color w:val="000000"/>
        </w:rPr>
        <w:t>, 31</w:t>
      </w:r>
      <w:r w:rsidRPr="0058443A">
        <w:rPr>
          <w:color w:val="000000"/>
        </w:rPr>
        <w:t>(3), 46-48.</w:t>
      </w:r>
    </w:p>
    <w:p w14:paraId="0C8288C1" w14:textId="77777777" w:rsidR="006A0C34" w:rsidRPr="0058443A" w:rsidRDefault="00EB31E1">
      <w:pPr>
        <w:spacing w:line="480" w:lineRule="auto"/>
        <w:ind w:left="720" w:hanging="720"/>
        <w:rPr>
          <w:color w:val="222222"/>
        </w:rPr>
      </w:pPr>
      <w:r w:rsidRPr="0058443A">
        <w:rPr>
          <w:color w:val="222222"/>
        </w:rPr>
        <w:t>Christensen, R. H. B. (2019). A tutorial on fitting cumulative link mixed models with clmm2 from the ordinal package. Available online.</w:t>
      </w:r>
    </w:p>
    <w:p w14:paraId="06C50652" w14:textId="77777777" w:rsidR="006A0C34" w:rsidRPr="003704AC" w:rsidRDefault="00EB31E1">
      <w:pPr>
        <w:widowControl w:val="0"/>
        <w:spacing w:line="480" w:lineRule="auto"/>
        <w:ind w:left="567" w:hanging="567"/>
      </w:pPr>
      <w:r w:rsidRPr="003704AC">
        <w:t xml:space="preserve">Cioffi, D., &amp; Garner, R. (1996). On doing the decision: Effects of active versus passive choice on commitment and self-perception. </w:t>
      </w:r>
      <w:r w:rsidRPr="003704AC">
        <w:rPr>
          <w:i/>
        </w:rPr>
        <w:t>Personality and Social Psychology Bulletin</w:t>
      </w:r>
      <w:r w:rsidRPr="003704AC">
        <w:t xml:space="preserve">, 22 (2), 133–47. </w:t>
      </w:r>
    </w:p>
    <w:p w14:paraId="2B28CA89" w14:textId="77777777" w:rsidR="00C65357" w:rsidRPr="003704AC" w:rsidRDefault="00C65357" w:rsidP="00C65357">
      <w:pPr>
        <w:widowControl w:val="0"/>
        <w:spacing w:line="480" w:lineRule="auto"/>
        <w:ind w:left="567" w:hanging="567"/>
      </w:pPr>
      <w:r w:rsidRPr="0058443A">
        <w:t>Collins, R. (2019). Waitrose &amp; Partners food and drink report 2018-19: The era of the mindful consumer. Retrieved from https://www.waitrose.com/content/dam/waitrose/Inspiration/Waitrose%20&amp;%20Partners%20Food%20and%20Drink%20Report%202018.pdf</w:t>
      </w:r>
    </w:p>
    <w:p w14:paraId="671DF54A" w14:textId="77777777" w:rsidR="006A0C34" w:rsidRPr="003704AC" w:rsidRDefault="00EB31E1">
      <w:pPr>
        <w:spacing w:line="480" w:lineRule="auto"/>
      </w:pPr>
      <w:r w:rsidRPr="003704AC">
        <w:t>Csikszentmihalyi, M., &amp; Larson, R. (1987). Validity and reliability of the experience-</w:t>
      </w:r>
    </w:p>
    <w:p w14:paraId="0358061B" w14:textId="77777777" w:rsidR="006A0C34" w:rsidRPr="003704AC" w:rsidRDefault="00EB31E1">
      <w:pPr>
        <w:spacing w:line="480" w:lineRule="auto"/>
        <w:ind w:firstLine="720"/>
      </w:pPr>
      <w:r w:rsidRPr="003704AC">
        <w:t xml:space="preserve">sampling method. </w:t>
      </w:r>
      <w:r w:rsidRPr="003704AC">
        <w:rPr>
          <w:i/>
        </w:rPr>
        <w:t xml:space="preserve">Journal of Nervous and Mental Disease, 175, </w:t>
      </w:r>
      <w:r w:rsidRPr="003704AC">
        <w:t>526-536.</w:t>
      </w:r>
    </w:p>
    <w:p w14:paraId="62EEF4B3" w14:textId="77777777" w:rsidR="006A0C34" w:rsidRPr="003704AC" w:rsidRDefault="00EB31E1">
      <w:pPr>
        <w:spacing w:line="480" w:lineRule="auto"/>
        <w:ind w:left="567" w:hanging="567"/>
        <w:rPr>
          <w:color w:val="000000"/>
        </w:rPr>
      </w:pPr>
      <w:r w:rsidRPr="003704AC">
        <w:rPr>
          <w:color w:val="000000"/>
        </w:rPr>
        <w:t xml:space="preserve">de Boer, J., </w:t>
      </w:r>
      <w:proofErr w:type="spellStart"/>
      <w:r w:rsidRPr="003704AC">
        <w:rPr>
          <w:color w:val="000000"/>
        </w:rPr>
        <w:t>Schösler</w:t>
      </w:r>
      <w:proofErr w:type="spellEnd"/>
      <w:r w:rsidRPr="003704AC">
        <w:rPr>
          <w:color w:val="000000"/>
        </w:rPr>
        <w:t xml:space="preserve">, H., &amp; </w:t>
      </w:r>
      <w:proofErr w:type="spellStart"/>
      <w:r w:rsidRPr="003704AC">
        <w:rPr>
          <w:color w:val="000000"/>
        </w:rPr>
        <w:t>Boersema</w:t>
      </w:r>
      <w:proofErr w:type="spellEnd"/>
      <w:r w:rsidRPr="003704AC">
        <w:rPr>
          <w:color w:val="000000"/>
        </w:rPr>
        <w:t>, J. (2013). Climate change and meat eating: An inconvenient couple? </w:t>
      </w:r>
      <w:r w:rsidRPr="003704AC">
        <w:rPr>
          <w:i/>
          <w:color w:val="000000"/>
        </w:rPr>
        <w:t>Journal of Environmental Psychology</w:t>
      </w:r>
      <w:r w:rsidRPr="003704AC">
        <w:rPr>
          <w:color w:val="000000"/>
        </w:rPr>
        <w:t>, </w:t>
      </w:r>
      <w:r w:rsidRPr="003704AC">
        <w:rPr>
          <w:i/>
          <w:color w:val="000000"/>
        </w:rPr>
        <w:t>33</w:t>
      </w:r>
      <w:r w:rsidRPr="003704AC">
        <w:rPr>
          <w:color w:val="000000"/>
        </w:rPr>
        <w:t xml:space="preserve">, 1-8. </w:t>
      </w:r>
      <w:proofErr w:type="spellStart"/>
      <w:r w:rsidRPr="003704AC">
        <w:rPr>
          <w:color w:val="000000"/>
        </w:rPr>
        <w:t>doi</w:t>
      </w:r>
      <w:proofErr w:type="spellEnd"/>
      <w:r w:rsidRPr="003704AC">
        <w:rPr>
          <w:color w:val="000000"/>
        </w:rPr>
        <w:t>: 10.1016/j.jenvp.2012.09.001</w:t>
      </w:r>
    </w:p>
    <w:p w14:paraId="042E6E64" w14:textId="77777777" w:rsidR="006A0C34" w:rsidRPr="0058443A" w:rsidRDefault="00EB31E1">
      <w:pPr>
        <w:widowControl w:val="0"/>
        <w:spacing w:line="480" w:lineRule="auto"/>
        <w:ind w:left="567" w:hanging="567"/>
        <w:rPr>
          <w:color w:val="000000"/>
        </w:rPr>
      </w:pPr>
      <w:r w:rsidRPr="003704AC">
        <w:t xml:space="preserve">DeLeon, I. G., &amp; Fuqua, R. W. (1995). The effects of public commitment and group feedback on curbside recycling. </w:t>
      </w:r>
      <w:r w:rsidRPr="003704AC">
        <w:rPr>
          <w:i/>
        </w:rPr>
        <w:t>Environment and Behavior, 27</w:t>
      </w:r>
      <w:r w:rsidRPr="003704AC">
        <w:t>, 233-250.</w:t>
      </w:r>
    </w:p>
    <w:p w14:paraId="33E6EA1A" w14:textId="5B475EC5" w:rsidR="006A0C34" w:rsidRPr="003704AC" w:rsidRDefault="00EB31E1" w:rsidP="005A307B">
      <w:pPr>
        <w:widowControl w:val="0"/>
        <w:spacing w:line="480" w:lineRule="auto"/>
        <w:ind w:left="567" w:hanging="567"/>
      </w:pPr>
      <w:proofErr w:type="spellStart"/>
      <w:r w:rsidRPr="003704AC">
        <w:t>Delormier</w:t>
      </w:r>
      <w:proofErr w:type="spellEnd"/>
      <w:r w:rsidRPr="003704AC">
        <w:t>, T., Frohlich, K. L., and Potvin, L. (2009). Food and eating as social practice--understanding eating patterns as social phenomena and implications for public health.</w:t>
      </w:r>
      <w:r w:rsidRPr="003704AC">
        <w:rPr>
          <w:i/>
        </w:rPr>
        <w:t xml:space="preserve"> Sociology of Health &amp; Illness, 31</w:t>
      </w:r>
      <w:r w:rsidRPr="003704AC">
        <w:t>(2), 215-228.</w:t>
      </w:r>
    </w:p>
    <w:p w14:paraId="3CAFAFD4" w14:textId="77777777" w:rsidR="006A0C34" w:rsidRPr="003704AC" w:rsidRDefault="00EB31E1">
      <w:pPr>
        <w:widowControl w:val="0"/>
        <w:spacing w:line="480" w:lineRule="auto"/>
        <w:ind w:left="567" w:hanging="567"/>
      </w:pPr>
      <w:r w:rsidRPr="003704AC">
        <w:t xml:space="preserve">Ellis, D. A. (2020). </w:t>
      </w:r>
      <w:r w:rsidRPr="003704AC">
        <w:rPr>
          <w:i/>
        </w:rPr>
        <w:t xml:space="preserve">Smartphones within psychological science. </w:t>
      </w:r>
      <w:r w:rsidRPr="003704AC">
        <w:t>Cambridge University Press.</w:t>
      </w:r>
    </w:p>
    <w:p w14:paraId="3AF91D53" w14:textId="77777777" w:rsidR="006A0C34" w:rsidRPr="003704AC" w:rsidRDefault="00EB31E1">
      <w:pPr>
        <w:widowControl w:val="0"/>
        <w:spacing w:line="480" w:lineRule="auto"/>
        <w:ind w:left="567" w:hanging="567"/>
      </w:pPr>
      <w:r w:rsidRPr="003704AC">
        <w:t xml:space="preserve">Ellis, D. A., &amp; </w:t>
      </w:r>
      <w:proofErr w:type="spellStart"/>
      <w:r w:rsidRPr="003704AC">
        <w:t>Piwek</w:t>
      </w:r>
      <w:proofErr w:type="spellEnd"/>
      <w:r w:rsidRPr="003704AC">
        <w:t>, L. (2018). Failing to encourage physical activity with wearable technology: What next? </w:t>
      </w:r>
      <w:r w:rsidRPr="003704AC">
        <w:rPr>
          <w:i/>
        </w:rPr>
        <w:t>Journal of the Royal Society of Medicine</w:t>
      </w:r>
      <w:r w:rsidRPr="003704AC">
        <w:t>, </w:t>
      </w:r>
      <w:r w:rsidRPr="003704AC">
        <w:rPr>
          <w:i/>
        </w:rPr>
        <w:t>111</w:t>
      </w:r>
      <w:r w:rsidRPr="003704AC">
        <w:t>(9), 310-313.</w:t>
      </w:r>
    </w:p>
    <w:p w14:paraId="0F530AC9" w14:textId="77777777" w:rsidR="006A0C34" w:rsidRPr="003704AC" w:rsidRDefault="00EB31E1">
      <w:pPr>
        <w:spacing w:line="480" w:lineRule="auto"/>
        <w:ind w:left="567" w:hanging="567"/>
        <w:rPr>
          <w:color w:val="000000"/>
        </w:rPr>
      </w:pPr>
      <w:r w:rsidRPr="003704AC">
        <w:rPr>
          <w:color w:val="000000"/>
        </w:rPr>
        <w:lastRenderedPageBreak/>
        <w:t xml:space="preserve">Gamble, K. A., &amp; </w:t>
      </w:r>
      <w:proofErr w:type="spellStart"/>
      <w:r w:rsidRPr="003704AC">
        <w:rPr>
          <w:color w:val="000000"/>
        </w:rPr>
        <w:t>Kalsher</w:t>
      </w:r>
      <w:proofErr w:type="spellEnd"/>
      <w:r w:rsidRPr="003704AC">
        <w:rPr>
          <w:color w:val="000000"/>
        </w:rPr>
        <w:t xml:space="preserve">, M. J. (1990). Designing antecedent strategies for increasing safe driving: A </w:t>
      </w:r>
      <w:proofErr w:type="spellStart"/>
      <w:r w:rsidRPr="003704AC">
        <w:rPr>
          <w:color w:val="000000"/>
        </w:rPr>
        <w:t>pledgecard</w:t>
      </w:r>
      <w:proofErr w:type="spellEnd"/>
      <w:r w:rsidRPr="003704AC">
        <w:rPr>
          <w:color w:val="000000"/>
        </w:rPr>
        <w:t xml:space="preserve"> for encouraging belts and discouraging booze. </w:t>
      </w:r>
      <w:r w:rsidRPr="003704AC">
        <w:rPr>
          <w:i/>
          <w:color w:val="000000"/>
        </w:rPr>
        <w:t>Proceedings of the Human Factors Society Annual Meeting, 34(14),</w:t>
      </w:r>
      <w:r w:rsidRPr="003704AC">
        <w:rPr>
          <w:color w:val="000000"/>
        </w:rPr>
        <w:t xml:space="preserve"> 1091–1094. https://doi.org/10.1177/154193129003401428</w:t>
      </w:r>
    </w:p>
    <w:p w14:paraId="7FD17551" w14:textId="77777777" w:rsidR="006A0C34" w:rsidRPr="003704AC" w:rsidRDefault="00EB31E1">
      <w:pPr>
        <w:pBdr>
          <w:top w:val="nil"/>
          <w:left w:val="nil"/>
          <w:bottom w:val="nil"/>
          <w:right w:val="nil"/>
          <w:between w:val="nil"/>
        </w:pBdr>
        <w:spacing w:line="480" w:lineRule="auto"/>
        <w:ind w:left="567" w:hanging="567"/>
        <w:rPr>
          <w:color w:val="000000"/>
        </w:rPr>
      </w:pPr>
      <w:r w:rsidRPr="003704AC">
        <w:rPr>
          <w:color w:val="000000"/>
        </w:rPr>
        <w:t xml:space="preserve">Geller, E. S. &amp; Bigelow. B. E. (1984). Development of corporate incentive programs for motivating safety belt use: a review. </w:t>
      </w:r>
      <w:r w:rsidRPr="003704AC">
        <w:rPr>
          <w:i/>
          <w:color w:val="000000"/>
        </w:rPr>
        <w:t xml:space="preserve">Traffic Safety Evaluation Research Review, </w:t>
      </w:r>
      <w:r w:rsidRPr="003704AC">
        <w:rPr>
          <w:color w:val="000000"/>
        </w:rPr>
        <w:t xml:space="preserve">3, No. 5. </w:t>
      </w:r>
    </w:p>
    <w:p w14:paraId="218EB364" w14:textId="77777777" w:rsidR="006A0C34" w:rsidRPr="003704AC" w:rsidRDefault="00EB31E1">
      <w:pPr>
        <w:pBdr>
          <w:top w:val="nil"/>
          <w:left w:val="nil"/>
          <w:bottom w:val="nil"/>
          <w:right w:val="nil"/>
          <w:between w:val="nil"/>
        </w:pBdr>
        <w:spacing w:line="480" w:lineRule="auto"/>
        <w:ind w:left="567" w:hanging="567"/>
        <w:rPr>
          <w:color w:val="000000"/>
        </w:rPr>
      </w:pPr>
      <w:r w:rsidRPr="003704AC">
        <w:rPr>
          <w:color w:val="000000"/>
        </w:rPr>
        <w:t xml:space="preserve">Gerber, P. J., Steinfeld, H., Henderson, B., </w:t>
      </w:r>
      <w:proofErr w:type="spellStart"/>
      <w:r w:rsidRPr="003704AC">
        <w:rPr>
          <w:color w:val="000000"/>
        </w:rPr>
        <w:t>Mottet</w:t>
      </w:r>
      <w:proofErr w:type="spellEnd"/>
      <w:r w:rsidRPr="003704AC">
        <w:rPr>
          <w:color w:val="000000"/>
        </w:rPr>
        <w:t xml:space="preserve">, A., </w:t>
      </w:r>
      <w:proofErr w:type="spellStart"/>
      <w:r w:rsidRPr="003704AC">
        <w:rPr>
          <w:color w:val="000000"/>
        </w:rPr>
        <w:t>Opio</w:t>
      </w:r>
      <w:proofErr w:type="spellEnd"/>
      <w:r w:rsidRPr="003704AC">
        <w:rPr>
          <w:color w:val="000000"/>
        </w:rPr>
        <w:t xml:space="preserve">, C., </w:t>
      </w:r>
      <w:proofErr w:type="spellStart"/>
      <w:r w:rsidRPr="003704AC">
        <w:rPr>
          <w:color w:val="000000"/>
        </w:rPr>
        <w:t>Dijkman</w:t>
      </w:r>
      <w:proofErr w:type="spellEnd"/>
      <w:r w:rsidRPr="003704AC">
        <w:rPr>
          <w:color w:val="000000"/>
        </w:rPr>
        <w:t>, J., et al. (2013). Tackling climate change through livestock: A global assessment of emissions and mitigation opportunities. Rome: Food and Agriculture Organization of the United Nations (FAO).</w:t>
      </w:r>
    </w:p>
    <w:p w14:paraId="7A84CCAE" w14:textId="47F80228" w:rsidR="006A0C34" w:rsidRPr="003704AC" w:rsidRDefault="00EB31E1">
      <w:pPr>
        <w:pBdr>
          <w:top w:val="nil"/>
          <w:left w:val="nil"/>
          <w:bottom w:val="nil"/>
          <w:right w:val="nil"/>
          <w:between w:val="nil"/>
        </w:pBdr>
        <w:spacing w:line="480" w:lineRule="auto"/>
        <w:ind w:left="567" w:hanging="567"/>
        <w:rPr>
          <w:color w:val="000000"/>
        </w:rPr>
      </w:pPr>
      <w:proofErr w:type="spellStart"/>
      <w:r w:rsidRPr="003704AC">
        <w:rPr>
          <w:color w:val="000000"/>
        </w:rPr>
        <w:t>Graça</w:t>
      </w:r>
      <w:proofErr w:type="spellEnd"/>
      <w:r w:rsidRPr="003704AC">
        <w:rPr>
          <w:color w:val="000000"/>
        </w:rPr>
        <w:t xml:space="preserve">, J., </w:t>
      </w:r>
      <w:proofErr w:type="spellStart"/>
      <w:r w:rsidRPr="003704AC">
        <w:rPr>
          <w:color w:val="000000"/>
        </w:rPr>
        <w:t>Calheiros</w:t>
      </w:r>
      <w:proofErr w:type="spellEnd"/>
      <w:r w:rsidRPr="003704AC">
        <w:rPr>
          <w:color w:val="000000"/>
        </w:rPr>
        <w:t xml:space="preserve">, M., &amp; Oliveira, A. (2015). Attached to meat? (Un)Willingness and intentions to adopt a </w:t>
      </w:r>
      <w:r w:rsidR="00A838D9" w:rsidRPr="003704AC">
        <w:rPr>
          <w:color w:val="000000"/>
        </w:rPr>
        <w:t>m</w:t>
      </w:r>
      <w:r w:rsidRPr="003704AC">
        <w:rPr>
          <w:color w:val="000000"/>
        </w:rPr>
        <w:t xml:space="preserve">ore plant-based diet. </w:t>
      </w:r>
      <w:r w:rsidRPr="003704AC">
        <w:rPr>
          <w:i/>
          <w:color w:val="000000"/>
        </w:rPr>
        <w:t xml:space="preserve">Appetite, 95, </w:t>
      </w:r>
      <w:r w:rsidRPr="003704AC">
        <w:rPr>
          <w:color w:val="000000"/>
        </w:rPr>
        <w:t>113-125.</w:t>
      </w:r>
    </w:p>
    <w:p w14:paraId="53AD28BE" w14:textId="77777777" w:rsidR="006A0C34" w:rsidRPr="003704AC" w:rsidRDefault="00EB31E1">
      <w:pPr>
        <w:pBdr>
          <w:top w:val="nil"/>
          <w:left w:val="nil"/>
          <w:bottom w:val="nil"/>
          <w:right w:val="nil"/>
          <w:between w:val="nil"/>
        </w:pBdr>
        <w:spacing w:line="480" w:lineRule="auto"/>
        <w:ind w:left="567" w:hanging="567"/>
        <w:rPr>
          <w:color w:val="000000"/>
        </w:rPr>
      </w:pPr>
      <w:proofErr w:type="spellStart"/>
      <w:r w:rsidRPr="003704AC">
        <w:rPr>
          <w:color w:val="000000"/>
        </w:rPr>
        <w:t>Graça</w:t>
      </w:r>
      <w:proofErr w:type="spellEnd"/>
      <w:r w:rsidRPr="003704AC">
        <w:rPr>
          <w:color w:val="000000"/>
        </w:rPr>
        <w:t xml:space="preserve">, J., </w:t>
      </w:r>
      <w:proofErr w:type="spellStart"/>
      <w:r w:rsidRPr="003704AC">
        <w:rPr>
          <w:color w:val="000000"/>
        </w:rPr>
        <w:t>Godinho</w:t>
      </w:r>
      <w:proofErr w:type="spellEnd"/>
      <w:r w:rsidRPr="003704AC">
        <w:rPr>
          <w:color w:val="000000"/>
        </w:rPr>
        <w:t xml:space="preserve">, C. A., &amp; </w:t>
      </w:r>
      <w:proofErr w:type="spellStart"/>
      <w:r w:rsidRPr="003704AC">
        <w:rPr>
          <w:color w:val="000000"/>
        </w:rPr>
        <w:t>Truninger</w:t>
      </w:r>
      <w:proofErr w:type="spellEnd"/>
      <w:r w:rsidRPr="003704AC">
        <w:rPr>
          <w:color w:val="000000"/>
        </w:rPr>
        <w:t xml:space="preserve">, M. (2019). Reducing meat consumption and following plant-based diets: Current evidence and future directions to inform integrated transitions. </w:t>
      </w:r>
      <w:r w:rsidRPr="003704AC">
        <w:rPr>
          <w:i/>
          <w:color w:val="000000"/>
        </w:rPr>
        <w:t xml:space="preserve">Trends in Food Science &amp; Technology, 91, </w:t>
      </w:r>
      <w:r w:rsidRPr="003704AC">
        <w:rPr>
          <w:color w:val="000000"/>
        </w:rPr>
        <w:t>380-390.</w:t>
      </w:r>
    </w:p>
    <w:p w14:paraId="3500F2D7" w14:textId="77777777" w:rsidR="006A0C34" w:rsidRPr="003704AC" w:rsidRDefault="00EB31E1">
      <w:pPr>
        <w:spacing w:line="480" w:lineRule="auto"/>
        <w:ind w:left="567" w:hanging="567"/>
      </w:pPr>
      <w:proofErr w:type="spellStart"/>
      <w:r w:rsidRPr="003704AC">
        <w:t>Grassian</w:t>
      </w:r>
      <w:proofErr w:type="spellEnd"/>
      <w:r w:rsidRPr="003704AC">
        <w:t xml:space="preserve">, D. T. (2020). The dietary behaviors of participants in UK-based meat reduction and vegan campaigns – A longitudinal, mixed-methods study. </w:t>
      </w:r>
      <w:r w:rsidRPr="003704AC">
        <w:rPr>
          <w:i/>
        </w:rPr>
        <w:t xml:space="preserve">Appetite, 154, </w:t>
      </w:r>
      <w:r w:rsidRPr="003704AC">
        <w:t>104788.</w:t>
      </w:r>
    </w:p>
    <w:p w14:paraId="0070F894" w14:textId="77777777" w:rsidR="006A0C34" w:rsidRPr="0058443A" w:rsidRDefault="00EB31E1">
      <w:pPr>
        <w:widowControl w:val="0"/>
        <w:spacing w:line="480" w:lineRule="auto"/>
        <w:ind w:left="567" w:hanging="567"/>
        <w:rPr>
          <w:color w:val="000000"/>
        </w:rPr>
      </w:pPr>
      <w:r w:rsidRPr="0058443A">
        <w:rPr>
          <w:color w:val="000000"/>
        </w:rPr>
        <w:t>Gregor, M., &amp; O’Brien, K. (2015). The changing face of psychology. </w:t>
      </w:r>
      <w:r w:rsidRPr="003704AC">
        <w:rPr>
          <w:i/>
          <w:color w:val="000000"/>
        </w:rPr>
        <w:t>The Counseling Psychologist</w:t>
      </w:r>
      <w:r w:rsidRPr="0058443A">
        <w:rPr>
          <w:color w:val="000000"/>
        </w:rPr>
        <w:t>, </w:t>
      </w:r>
      <w:r w:rsidRPr="003704AC">
        <w:rPr>
          <w:i/>
          <w:color w:val="000000"/>
        </w:rPr>
        <w:t>43</w:t>
      </w:r>
      <w:r w:rsidRPr="0058443A">
        <w:rPr>
          <w:color w:val="000000"/>
        </w:rPr>
        <w:t>(8), 1090-1113. doi:10.1177/0011000015608949</w:t>
      </w:r>
    </w:p>
    <w:p w14:paraId="08FCEA69" w14:textId="77777777" w:rsidR="006A0C34" w:rsidRPr="003704AC" w:rsidRDefault="00EB31E1">
      <w:pPr>
        <w:widowControl w:val="0"/>
        <w:spacing w:line="480" w:lineRule="auto"/>
        <w:ind w:left="567" w:hanging="567"/>
      </w:pPr>
      <w:proofErr w:type="spellStart"/>
      <w:r w:rsidRPr="003704AC">
        <w:t>Hallaq</w:t>
      </w:r>
      <w:proofErr w:type="spellEnd"/>
      <w:r w:rsidRPr="003704AC">
        <w:t xml:space="preserve">, J. H. (1976). The pledge as an instrument of </w:t>
      </w:r>
      <w:proofErr w:type="spellStart"/>
      <w:r w:rsidRPr="003704AC">
        <w:t>behavioural</w:t>
      </w:r>
      <w:proofErr w:type="spellEnd"/>
      <w:r w:rsidRPr="003704AC">
        <w:t xml:space="preserve"> change. </w:t>
      </w:r>
      <w:r w:rsidRPr="003704AC">
        <w:rPr>
          <w:i/>
        </w:rPr>
        <w:t>The Journal of Social Psychology, 98</w:t>
      </w:r>
      <w:r w:rsidRPr="003704AC">
        <w:t xml:space="preserve">, 147–148. </w:t>
      </w:r>
    </w:p>
    <w:p w14:paraId="69B96ACD" w14:textId="77777777" w:rsidR="006A0C34" w:rsidRPr="003704AC" w:rsidRDefault="00EB31E1">
      <w:pPr>
        <w:widowControl w:val="0"/>
        <w:spacing w:line="480" w:lineRule="auto"/>
        <w:ind w:left="567" w:hanging="567"/>
      </w:pPr>
      <w:proofErr w:type="spellStart"/>
      <w:r w:rsidRPr="003704AC">
        <w:t>Harguess</w:t>
      </w:r>
      <w:proofErr w:type="spellEnd"/>
      <w:r w:rsidRPr="003704AC">
        <w:t xml:space="preserve">, J. M., Crespo, N. C., &amp; Yong Hong, M. (2020). Strategies to reduce meat consumption: A systematic literature review of experimental studies. </w:t>
      </w:r>
      <w:r w:rsidRPr="003704AC">
        <w:rPr>
          <w:i/>
        </w:rPr>
        <w:t xml:space="preserve">Appetite, 144, </w:t>
      </w:r>
      <w:r w:rsidRPr="003704AC">
        <w:t>104478.</w:t>
      </w:r>
    </w:p>
    <w:p w14:paraId="094329B5" w14:textId="77777777" w:rsidR="006A0C34" w:rsidRPr="003704AC" w:rsidRDefault="00EB31E1">
      <w:pPr>
        <w:widowControl w:val="0"/>
        <w:spacing w:line="480" w:lineRule="auto"/>
        <w:ind w:left="567" w:hanging="567"/>
      </w:pPr>
      <w:r w:rsidRPr="003704AC">
        <w:lastRenderedPageBreak/>
        <w:t xml:space="preserve">Harvey, J., Wing, R. R., &amp; Mullen, M. (1993). Effects on food cravings of a very low calorie diet or a balanced, low calorie diet. </w:t>
      </w:r>
      <w:r w:rsidRPr="003704AC">
        <w:rPr>
          <w:i/>
        </w:rPr>
        <w:t>Appetite, 21</w:t>
      </w:r>
      <w:r w:rsidRPr="003704AC">
        <w:t>(2), 105-115.</w:t>
      </w:r>
    </w:p>
    <w:p w14:paraId="0F09C813" w14:textId="77777777" w:rsidR="006A0C34" w:rsidRPr="003704AC" w:rsidRDefault="00EB31E1">
      <w:pPr>
        <w:widowControl w:val="0"/>
        <w:spacing w:line="480" w:lineRule="auto"/>
        <w:ind w:left="567" w:hanging="567"/>
      </w:pPr>
      <w:r w:rsidRPr="003704AC">
        <w:t xml:space="preserve">Hofmann, W., </w:t>
      </w:r>
      <w:proofErr w:type="spellStart"/>
      <w:r w:rsidRPr="003704AC">
        <w:t>Adriaanse</w:t>
      </w:r>
      <w:proofErr w:type="spellEnd"/>
      <w:r w:rsidRPr="003704AC">
        <w:t xml:space="preserve">, M., </w:t>
      </w:r>
      <w:proofErr w:type="spellStart"/>
      <w:r w:rsidRPr="003704AC">
        <w:t>Vohs</w:t>
      </w:r>
      <w:proofErr w:type="spellEnd"/>
      <w:r w:rsidRPr="003704AC">
        <w:t xml:space="preserve">, K. D., &amp; Baumeister, R. F. (2014). Dieting and </w:t>
      </w:r>
    </w:p>
    <w:p w14:paraId="054D4BD6" w14:textId="77777777" w:rsidR="006A0C34" w:rsidRPr="003704AC" w:rsidRDefault="00EB31E1">
      <w:pPr>
        <w:widowControl w:val="0"/>
        <w:spacing w:line="480" w:lineRule="auto"/>
        <w:ind w:left="567"/>
      </w:pPr>
      <w:r w:rsidRPr="003704AC">
        <w:t xml:space="preserve">the self-control of eating in everyday environments: An experience sampling study. </w:t>
      </w:r>
      <w:r w:rsidRPr="003704AC">
        <w:rPr>
          <w:i/>
        </w:rPr>
        <w:t xml:space="preserve">British Journal of Health Psychology, 19, </w:t>
      </w:r>
      <w:r w:rsidRPr="003704AC">
        <w:t>523-539.</w:t>
      </w:r>
    </w:p>
    <w:p w14:paraId="0162F66F" w14:textId="77777777" w:rsidR="006A0C34" w:rsidRPr="003704AC" w:rsidRDefault="00EB31E1">
      <w:pPr>
        <w:widowControl w:val="0"/>
        <w:spacing w:line="480" w:lineRule="auto"/>
        <w:ind w:left="567" w:hanging="567"/>
      </w:pPr>
      <w:r w:rsidRPr="003704AC">
        <w:t xml:space="preserve">Hofmann, W., &amp; Patel, P. V. (2014). </w:t>
      </w:r>
      <w:proofErr w:type="spellStart"/>
      <w:r w:rsidRPr="003704AC">
        <w:t>SurveySignal</w:t>
      </w:r>
      <w:proofErr w:type="spellEnd"/>
      <w:r w:rsidRPr="003704AC">
        <w:t xml:space="preserve">: A convenient solution for </w:t>
      </w:r>
    </w:p>
    <w:p w14:paraId="4C94C1D0" w14:textId="77777777" w:rsidR="006A0C34" w:rsidRPr="003704AC" w:rsidRDefault="00EB31E1">
      <w:pPr>
        <w:widowControl w:val="0"/>
        <w:spacing w:line="480" w:lineRule="auto"/>
        <w:ind w:left="567"/>
      </w:pPr>
      <w:r w:rsidRPr="003704AC">
        <w:t xml:space="preserve">experience sampling research using participants’ own smartphones. </w:t>
      </w:r>
      <w:r w:rsidRPr="003704AC">
        <w:rPr>
          <w:i/>
        </w:rPr>
        <w:t xml:space="preserve">Social Science Computer Review, 33(2), </w:t>
      </w:r>
      <w:r w:rsidRPr="003704AC">
        <w:t>235-253.</w:t>
      </w:r>
    </w:p>
    <w:p w14:paraId="5A00FD31" w14:textId="77777777" w:rsidR="004C73EE" w:rsidRPr="003704AC" w:rsidRDefault="004C73EE" w:rsidP="004C73EE">
      <w:pPr>
        <w:widowControl w:val="0"/>
        <w:spacing w:line="480" w:lineRule="auto"/>
        <w:ind w:left="567" w:hanging="567"/>
      </w:pPr>
      <w:r w:rsidRPr="003704AC">
        <w:t xml:space="preserve">Hughes, J. (2021). </w:t>
      </w:r>
      <w:proofErr w:type="spellStart"/>
      <w:r w:rsidRPr="003704AC">
        <w:t>reghelper</w:t>
      </w:r>
      <w:proofErr w:type="spellEnd"/>
      <w:r w:rsidRPr="003704AC">
        <w:t xml:space="preserve">: Helper functions for regression analysis. R package version </w:t>
      </w:r>
    </w:p>
    <w:p w14:paraId="0EDBC99B" w14:textId="5E774E55" w:rsidR="004C73EE" w:rsidRPr="0058443A" w:rsidRDefault="004C73EE" w:rsidP="0058443A">
      <w:pPr>
        <w:widowControl w:val="0"/>
        <w:spacing w:line="480" w:lineRule="auto"/>
        <w:ind w:left="567"/>
        <w:rPr>
          <w:lang w:val="en-GB"/>
        </w:rPr>
      </w:pPr>
      <w:r w:rsidRPr="003704AC">
        <w:t xml:space="preserve">1.02. </w:t>
      </w:r>
      <w:r w:rsidRPr="003704AC">
        <w:rPr>
          <w:lang w:val="en-GB"/>
        </w:rPr>
        <w:t>https://cran.r-project.org/web/packages/reghelper/index.html.</w:t>
      </w:r>
    </w:p>
    <w:p w14:paraId="01DC18F7" w14:textId="197A9611" w:rsidR="006A0C34" w:rsidRPr="003704AC" w:rsidRDefault="00EB31E1">
      <w:pPr>
        <w:widowControl w:val="0"/>
        <w:spacing w:line="480" w:lineRule="auto"/>
        <w:ind w:left="567" w:hanging="567"/>
      </w:pPr>
      <w:r w:rsidRPr="003704AC">
        <w:t xml:space="preserve">Hunter, J. P., &amp; </w:t>
      </w:r>
      <w:proofErr w:type="spellStart"/>
      <w:r w:rsidRPr="003704AC">
        <w:t>Czikszentmihalyi</w:t>
      </w:r>
      <w:proofErr w:type="spellEnd"/>
      <w:r w:rsidRPr="003704AC">
        <w:t xml:space="preserve">, M. (2003). The positive psychology of interested adolescents. </w:t>
      </w:r>
      <w:r w:rsidRPr="003704AC">
        <w:rPr>
          <w:i/>
        </w:rPr>
        <w:t xml:space="preserve">Journal of Youth and Adolescence, 32, </w:t>
      </w:r>
      <w:r w:rsidRPr="003704AC">
        <w:t>27-35.</w:t>
      </w:r>
    </w:p>
    <w:p w14:paraId="503C724B" w14:textId="3D0C33E5" w:rsidR="000864B7" w:rsidRPr="003704AC" w:rsidRDefault="00AB33D3" w:rsidP="00660CDC">
      <w:pPr>
        <w:spacing w:line="480" w:lineRule="auto"/>
        <w:rPr>
          <w:rStyle w:val="nlmarticle-title"/>
        </w:rPr>
      </w:pPr>
      <w:r w:rsidRPr="003704AC">
        <w:rPr>
          <w:rStyle w:val="hlfld-contribauthor"/>
        </w:rPr>
        <w:t>Jaeger, </w:t>
      </w:r>
      <w:r w:rsidRPr="003704AC">
        <w:rPr>
          <w:rStyle w:val="nlmgiven-names"/>
        </w:rPr>
        <w:t>T. F.</w:t>
      </w:r>
      <w:r w:rsidRPr="003704AC">
        <w:t> (</w:t>
      </w:r>
      <w:r w:rsidRPr="003704AC">
        <w:rPr>
          <w:rStyle w:val="nlmyear"/>
        </w:rPr>
        <w:t>2008</w:t>
      </w:r>
      <w:r w:rsidRPr="003704AC">
        <w:t>). </w:t>
      </w:r>
      <w:r w:rsidRPr="003704AC">
        <w:rPr>
          <w:rStyle w:val="nlmarticle-title"/>
        </w:rPr>
        <w:t xml:space="preserve">Categorical data analysis: </w:t>
      </w:r>
      <w:r w:rsidR="000864B7" w:rsidRPr="003704AC">
        <w:rPr>
          <w:rStyle w:val="nlmarticle-title"/>
        </w:rPr>
        <w:t>A</w:t>
      </w:r>
      <w:r w:rsidRPr="003704AC">
        <w:rPr>
          <w:rStyle w:val="nlmarticle-title"/>
        </w:rPr>
        <w:t xml:space="preserve">way from ANOVAs (transformation or not) </w:t>
      </w:r>
    </w:p>
    <w:p w14:paraId="73B676D9" w14:textId="23F797F0" w:rsidR="006A0C34" w:rsidRPr="003704AC" w:rsidRDefault="00AB33D3" w:rsidP="00660CDC">
      <w:pPr>
        <w:spacing w:line="480" w:lineRule="auto"/>
        <w:ind w:left="720"/>
        <w:rPr>
          <w:b/>
          <w:bCs/>
          <w:lang w:val="en-GB"/>
        </w:rPr>
      </w:pPr>
      <w:r w:rsidRPr="003704AC">
        <w:rPr>
          <w:rStyle w:val="nlmarticle-title"/>
        </w:rPr>
        <w:t>and towards logit mixed models</w:t>
      </w:r>
      <w:r w:rsidRPr="003704AC">
        <w:t xml:space="preserve">. </w:t>
      </w:r>
      <w:r w:rsidRPr="003704AC">
        <w:rPr>
          <w:i/>
          <w:iCs/>
        </w:rPr>
        <w:t>Journal of Memory and Language, 59</w:t>
      </w:r>
      <w:r w:rsidRPr="003704AC">
        <w:t>, </w:t>
      </w:r>
      <w:r w:rsidRPr="003704AC">
        <w:rPr>
          <w:rStyle w:val="nlmfpage"/>
        </w:rPr>
        <w:t>434</w:t>
      </w:r>
      <w:r w:rsidRPr="003704AC">
        <w:t>–</w:t>
      </w:r>
      <w:r w:rsidRPr="003704AC">
        <w:rPr>
          <w:rStyle w:val="nlmlpage"/>
        </w:rPr>
        <w:t>446</w:t>
      </w:r>
      <w:r w:rsidRPr="003704AC">
        <w:t>.</w:t>
      </w:r>
      <w:r w:rsidRPr="003704AC">
        <w:rPr>
          <w:b/>
          <w:bCs/>
          <w:shd w:val="clear" w:color="auto" w:fill="F8F8F8"/>
        </w:rPr>
        <w:t xml:space="preserve"> </w:t>
      </w:r>
      <w:r w:rsidRPr="003704AC">
        <w:rPr>
          <w:rFonts w:eastAsiaTheme="majorEastAsia"/>
        </w:rPr>
        <w:t>https://doi.org/</w:t>
      </w:r>
      <w:r w:rsidRPr="003704AC">
        <w:t>10.1016/j.jml.2007.11.007</w:t>
      </w:r>
    </w:p>
    <w:p w14:paraId="39FA48BD" w14:textId="77777777" w:rsidR="006A0C34" w:rsidRPr="0058443A" w:rsidRDefault="00EB31E1">
      <w:pPr>
        <w:spacing w:line="480" w:lineRule="auto"/>
        <w:ind w:left="720" w:hanging="720"/>
        <w:rPr>
          <w:color w:val="222222"/>
        </w:rPr>
      </w:pPr>
      <w:proofErr w:type="spellStart"/>
      <w:r w:rsidRPr="0058443A">
        <w:rPr>
          <w:color w:val="222222"/>
        </w:rPr>
        <w:t>Kreft</w:t>
      </w:r>
      <w:proofErr w:type="spellEnd"/>
      <w:r w:rsidRPr="0058443A">
        <w:rPr>
          <w:color w:val="222222"/>
        </w:rPr>
        <w:t>, I. G., &amp; De Leeuw, J. (1998). </w:t>
      </w:r>
      <w:r w:rsidRPr="0058443A">
        <w:rPr>
          <w:i/>
          <w:color w:val="222222"/>
        </w:rPr>
        <w:t>Introducing multilevel modeling</w:t>
      </w:r>
      <w:r w:rsidRPr="0058443A">
        <w:rPr>
          <w:color w:val="222222"/>
        </w:rPr>
        <w:t>. London, UK: Sage.</w:t>
      </w:r>
    </w:p>
    <w:p w14:paraId="42E2CC8A" w14:textId="514214B6" w:rsidR="00E42ABF" w:rsidRPr="003704AC" w:rsidRDefault="00E42ABF">
      <w:pPr>
        <w:spacing w:line="480" w:lineRule="auto"/>
        <w:ind w:left="567" w:hanging="567"/>
        <w:rPr>
          <w:color w:val="000000"/>
        </w:rPr>
      </w:pPr>
      <w:r w:rsidRPr="0058443A">
        <w:rPr>
          <w:color w:val="000000"/>
        </w:rPr>
        <w:t xml:space="preserve">Lacroix, K., &amp; Gifford, R. (2019). Reducing meat consumption: Identifying group-specific inhibitors using latent profile analysis. </w:t>
      </w:r>
      <w:r w:rsidRPr="0058443A">
        <w:rPr>
          <w:i/>
          <w:color w:val="000000"/>
        </w:rPr>
        <w:t xml:space="preserve">Appetite, 138, </w:t>
      </w:r>
      <w:r w:rsidRPr="0058443A">
        <w:rPr>
          <w:color w:val="000000"/>
        </w:rPr>
        <w:t>233-241.</w:t>
      </w:r>
    </w:p>
    <w:p w14:paraId="48F0A1EE" w14:textId="77B3AC38" w:rsidR="006A0C34" w:rsidRPr="003704AC" w:rsidRDefault="00EB31E1">
      <w:pPr>
        <w:spacing w:line="480" w:lineRule="auto"/>
        <w:ind w:left="567" w:hanging="567"/>
        <w:rPr>
          <w:color w:val="000000"/>
        </w:rPr>
      </w:pPr>
      <w:r w:rsidRPr="003704AC">
        <w:rPr>
          <w:color w:val="000000"/>
        </w:rPr>
        <w:t xml:space="preserve">Liu, W., Sparks, B., &amp; Coghlan, A. (2016). Measuring customer experience </w:t>
      </w:r>
      <w:r w:rsidRPr="003704AC">
        <w:rPr>
          <w:i/>
          <w:color w:val="000000"/>
        </w:rPr>
        <w:t>in situ</w:t>
      </w:r>
      <w:r w:rsidRPr="003704AC">
        <w:rPr>
          <w:color w:val="000000"/>
        </w:rPr>
        <w:t xml:space="preserve">: </w:t>
      </w:r>
    </w:p>
    <w:p w14:paraId="5280FBFB" w14:textId="77777777" w:rsidR="006A0C34" w:rsidRPr="003704AC" w:rsidRDefault="00EB31E1">
      <w:pPr>
        <w:spacing w:line="480" w:lineRule="auto"/>
        <w:ind w:left="567"/>
        <w:rPr>
          <w:color w:val="000000"/>
        </w:rPr>
      </w:pPr>
      <w:r w:rsidRPr="003704AC">
        <w:rPr>
          <w:color w:val="000000"/>
        </w:rPr>
        <w:t xml:space="preserve">The link between appraisals, emotions and overall assessments. </w:t>
      </w:r>
      <w:r w:rsidRPr="003704AC">
        <w:rPr>
          <w:i/>
          <w:color w:val="000000"/>
        </w:rPr>
        <w:t xml:space="preserve">International Journal of Hospitality Management, 59, </w:t>
      </w:r>
      <w:r w:rsidRPr="003704AC">
        <w:rPr>
          <w:color w:val="000000"/>
        </w:rPr>
        <w:t>42-49.</w:t>
      </w:r>
    </w:p>
    <w:p w14:paraId="394FA1D4" w14:textId="77777777" w:rsidR="006A0C34" w:rsidRPr="003704AC" w:rsidRDefault="00EB31E1">
      <w:pPr>
        <w:spacing w:line="480" w:lineRule="auto"/>
        <w:ind w:left="567" w:hanging="567"/>
        <w:rPr>
          <w:color w:val="000000"/>
        </w:rPr>
      </w:pPr>
      <w:proofErr w:type="spellStart"/>
      <w:r w:rsidRPr="003704AC">
        <w:rPr>
          <w:color w:val="000000"/>
        </w:rPr>
        <w:t>Lokhorst</w:t>
      </w:r>
      <w:proofErr w:type="spellEnd"/>
      <w:r w:rsidRPr="003704AC">
        <w:rPr>
          <w:color w:val="000000"/>
        </w:rPr>
        <w:t xml:space="preserve">, A., Werner, C., </w:t>
      </w:r>
      <w:proofErr w:type="spellStart"/>
      <w:r w:rsidRPr="003704AC">
        <w:rPr>
          <w:color w:val="000000"/>
        </w:rPr>
        <w:t>Staats</w:t>
      </w:r>
      <w:proofErr w:type="spellEnd"/>
      <w:r w:rsidRPr="003704AC">
        <w:rPr>
          <w:color w:val="000000"/>
        </w:rPr>
        <w:t>, H., van Dijk, E., &amp; Gale, J. (2013). Commitment and behavior change: A meta-analysis and critical review of commitment-making strategies in environmental research. </w:t>
      </w:r>
      <w:r w:rsidRPr="003704AC">
        <w:rPr>
          <w:i/>
          <w:color w:val="000000"/>
        </w:rPr>
        <w:t>Environment And Behavior</w:t>
      </w:r>
      <w:r w:rsidRPr="003704AC">
        <w:rPr>
          <w:color w:val="000000"/>
        </w:rPr>
        <w:t>, </w:t>
      </w:r>
      <w:r w:rsidRPr="003704AC">
        <w:rPr>
          <w:i/>
          <w:color w:val="000000"/>
        </w:rPr>
        <w:t>45</w:t>
      </w:r>
      <w:r w:rsidRPr="003704AC">
        <w:rPr>
          <w:color w:val="000000"/>
        </w:rPr>
        <w:t xml:space="preserve">(1), 3-34. </w:t>
      </w:r>
      <w:proofErr w:type="spellStart"/>
      <w:r w:rsidRPr="003704AC">
        <w:rPr>
          <w:color w:val="000000"/>
        </w:rPr>
        <w:t>doi</w:t>
      </w:r>
      <w:proofErr w:type="spellEnd"/>
      <w:r w:rsidRPr="003704AC">
        <w:rPr>
          <w:color w:val="000000"/>
        </w:rPr>
        <w:t>: 10.1177/0013916511411477</w:t>
      </w:r>
    </w:p>
    <w:p w14:paraId="3F000D18" w14:textId="77777777" w:rsidR="006A0C34" w:rsidRPr="0058443A" w:rsidRDefault="00EB31E1">
      <w:pPr>
        <w:spacing w:line="480" w:lineRule="auto"/>
        <w:rPr>
          <w:color w:val="000000"/>
        </w:rPr>
      </w:pPr>
      <w:r w:rsidRPr="0058443A">
        <w:rPr>
          <w:color w:val="000000"/>
        </w:rPr>
        <w:lastRenderedPageBreak/>
        <w:t xml:space="preserve">Loughnan, S., Bastian, B., &amp; Haslam, N. (2014). The psychology of eating animals. Current </w:t>
      </w:r>
    </w:p>
    <w:p w14:paraId="00032BB6" w14:textId="77777777" w:rsidR="006A0C34" w:rsidRPr="0058443A" w:rsidRDefault="00EB31E1">
      <w:pPr>
        <w:spacing w:line="480" w:lineRule="auto"/>
        <w:ind w:left="720"/>
        <w:rPr>
          <w:color w:val="000000"/>
        </w:rPr>
      </w:pPr>
      <w:r w:rsidRPr="0058443A">
        <w:rPr>
          <w:i/>
          <w:color w:val="000000"/>
        </w:rPr>
        <w:t>Directions in Psychological Science, 23</w:t>
      </w:r>
      <w:r w:rsidRPr="0058443A">
        <w:rPr>
          <w:color w:val="000000"/>
        </w:rPr>
        <w:t xml:space="preserve">(2), 104-108. </w:t>
      </w:r>
      <w:proofErr w:type="spellStart"/>
      <w:r w:rsidRPr="0058443A">
        <w:rPr>
          <w:color w:val="000000"/>
        </w:rPr>
        <w:t>doi:https</w:t>
      </w:r>
      <w:proofErr w:type="spellEnd"/>
      <w:r w:rsidRPr="0058443A">
        <w:rPr>
          <w:color w:val="000000"/>
        </w:rPr>
        <w:t>://doi.org/10.1177/0963721414525781</w:t>
      </w:r>
    </w:p>
    <w:p w14:paraId="14B09E5E" w14:textId="77777777" w:rsidR="006A0C34" w:rsidRPr="0058443A" w:rsidRDefault="00EB31E1">
      <w:pPr>
        <w:spacing w:line="480" w:lineRule="auto"/>
        <w:rPr>
          <w:color w:val="000000"/>
        </w:rPr>
      </w:pPr>
      <w:r w:rsidRPr="0058443A">
        <w:rPr>
          <w:color w:val="000000"/>
        </w:rPr>
        <w:t xml:space="preserve">Loughnan, S., Haslam, N., &amp; Bastian, B. (2010). The role of meat consumption in the denial </w:t>
      </w:r>
    </w:p>
    <w:p w14:paraId="56B826EF" w14:textId="77777777" w:rsidR="006A0C34" w:rsidRPr="003704AC" w:rsidRDefault="00EB31E1">
      <w:pPr>
        <w:spacing w:line="480" w:lineRule="auto"/>
        <w:ind w:left="720"/>
        <w:rPr>
          <w:color w:val="000000"/>
        </w:rPr>
      </w:pPr>
      <w:r w:rsidRPr="0058443A">
        <w:rPr>
          <w:color w:val="000000"/>
        </w:rPr>
        <w:t xml:space="preserve">of moral status and mind to meat animals. </w:t>
      </w:r>
      <w:r w:rsidRPr="0058443A">
        <w:rPr>
          <w:i/>
          <w:color w:val="000000"/>
        </w:rPr>
        <w:t>Appetite, 55,</w:t>
      </w:r>
      <w:r w:rsidRPr="0058443A">
        <w:rPr>
          <w:color w:val="000000"/>
        </w:rPr>
        <w:t xml:space="preserve"> 156-159. </w:t>
      </w:r>
      <w:proofErr w:type="spellStart"/>
      <w:r w:rsidRPr="0058443A">
        <w:rPr>
          <w:color w:val="000000"/>
        </w:rPr>
        <w:t>doi:https</w:t>
      </w:r>
      <w:proofErr w:type="spellEnd"/>
      <w:r w:rsidRPr="0058443A">
        <w:rPr>
          <w:color w:val="000000"/>
        </w:rPr>
        <w:t>://doi.org/10.1016/j.appet.2010.05.043</w:t>
      </w:r>
    </w:p>
    <w:p w14:paraId="71BA7B9F" w14:textId="77777777" w:rsidR="006A0C34" w:rsidRPr="003704AC" w:rsidRDefault="00EB31E1">
      <w:pPr>
        <w:spacing w:line="480" w:lineRule="auto"/>
        <w:ind w:left="567" w:hanging="567"/>
        <w:rPr>
          <w:color w:val="000000"/>
        </w:rPr>
      </w:pPr>
      <w:proofErr w:type="spellStart"/>
      <w:r w:rsidRPr="003704AC">
        <w:rPr>
          <w:color w:val="000000"/>
        </w:rPr>
        <w:t>Macht</w:t>
      </w:r>
      <w:proofErr w:type="spellEnd"/>
      <w:r w:rsidRPr="003704AC">
        <w:rPr>
          <w:color w:val="000000"/>
        </w:rPr>
        <w:t xml:space="preserve">, M., Haupt, C., &amp; </w:t>
      </w:r>
      <w:proofErr w:type="spellStart"/>
      <w:r w:rsidRPr="003704AC">
        <w:rPr>
          <w:color w:val="000000"/>
        </w:rPr>
        <w:t>Salwesky</w:t>
      </w:r>
      <w:proofErr w:type="spellEnd"/>
      <w:r w:rsidRPr="003704AC">
        <w:rPr>
          <w:color w:val="000000"/>
        </w:rPr>
        <w:t xml:space="preserve">, A. (2004). Emotions and eating in everyday life: Application of the experience-sampling method. </w:t>
      </w:r>
      <w:r w:rsidRPr="003704AC">
        <w:rPr>
          <w:i/>
          <w:color w:val="000000"/>
        </w:rPr>
        <w:t xml:space="preserve">Ecology of Food and Nutrition, 43, </w:t>
      </w:r>
      <w:r w:rsidRPr="003704AC">
        <w:rPr>
          <w:color w:val="000000"/>
        </w:rPr>
        <w:t>11-21.</w:t>
      </w:r>
    </w:p>
    <w:p w14:paraId="1A256E5D" w14:textId="77777777" w:rsidR="006A0C34" w:rsidRPr="003704AC" w:rsidRDefault="00EB31E1">
      <w:pPr>
        <w:spacing w:line="480" w:lineRule="auto"/>
        <w:ind w:left="567" w:hanging="567"/>
        <w:rPr>
          <w:color w:val="000000"/>
        </w:rPr>
      </w:pPr>
      <w:proofErr w:type="spellStart"/>
      <w:r w:rsidRPr="003704AC">
        <w:rPr>
          <w:color w:val="000000"/>
        </w:rPr>
        <w:t>Markowski</w:t>
      </w:r>
      <w:proofErr w:type="spellEnd"/>
      <w:r w:rsidRPr="003704AC">
        <w:rPr>
          <w:color w:val="000000"/>
        </w:rPr>
        <w:t>, K., &amp; Roxburgh, S. (2019). “If I became a vegan, my family and friends would hate me:” Anticipating vegan stigma as a barrier to plant-based diets. </w:t>
      </w:r>
      <w:r w:rsidRPr="003704AC">
        <w:rPr>
          <w:i/>
          <w:color w:val="000000"/>
        </w:rPr>
        <w:t>Appetite</w:t>
      </w:r>
      <w:r w:rsidRPr="003704AC">
        <w:rPr>
          <w:color w:val="000000"/>
        </w:rPr>
        <w:t>, </w:t>
      </w:r>
      <w:r w:rsidRPr="003704AC">
        <w:rPr>
          <w:i/>
          <w:color w:val="000000"/>
        </w:rPr>
        <w:t>135</w:t>
      </w:r>
      <w:r w:rsidRPr="003704AC">
        <w:rPr>
          <w:color w:val="000000"/>
        </w:rPr>
        <w:t xml:space="preserve">, 1-9. </w:t>
      </w:r>
      <w:proofErr w:type="spellStart"/>
      <w:r w:rsidRPr="003704AC">
        <w:rPr>
          <w:color w:val="000000"/>
        </w:rPr>
        <w:t>doi</w:t>
      </w:r>
      <w:proofErr w:type="spellEnd"/>
      <w:r w:rsidRPr="003704AC">
        <w:rPr>
          <w:color w:val="000000"/>
        </w:rPr>
        <w:t>: 10.1016/j.appet.2018.12.040</w:t>
      </w:r>
    </w:p>
    <w:p w14:paraId="290792F8" w14:textId="77777777" w:rsidR="006A0C34" w:rsidRPr="003704AC" w:rsidRDefault="00EB31E1">
      <w:pPr>
        <w:spacing w:line="480" w:lineRule="auto"/>
        <w:ind w:left="567" w:hanging="567"/>
        <w:rPr>
          <w:color w:val="000000"/>
        </w:rPr>
      </w:pPr>
      <w:proofErr w:type="spellStart"/>
      <w:r w:rsidRPr="0058443A">
        <w:rPr>
          <w:color w:val="000000"/>
        </w:rPr>
        <w:t>Mensink</w:t>
      </w:r>
      <w:proofErr w:type="spellEnd"/>
      <w:r w:rsidRPr="0058443A">
        <w:rPr>
          <w:color w:val="000000"/>
        </w:rPr>
        <w:t xml:space="preserve">, G. B. M., Barbosa, C. L., &amp; Brettschneider, A.-K. (2016). Prevalence of persons following a vegetarian diet in Germany. </w:t>
      </w:r>
      <w:r w:rsidRPr="0058443A">
        <w:rPr>
          <w:i/>
          <w:color w:val="000000"/>
        </w:rPr>
        <w:t>Journal of Health Monitoring, 1</w:t>
      </w:r>
      <w:r w:rsidRPr="0058443A">
        <w:rPr>
          <w:color w:val="000000"/>
        </w:rPr>
        <w:t>(2). Doi:10.17886/RKI-GBE-2016-039</w:t>
      </w:r>
    </w:p>
    <w:p w14:paraId="229DFBE1" w14:textId="77777777" w:rsidR="006A0C34" w:rsidRPr="003704AC" w:rsidRDefault="00EB31E1">
      <w:pPr>
        <w:spacing w:line="480" w:lineRule="auto"/>
        <w:ind w:left="567" w:hanging="567"/>
        <w:rPr>
          <w:color w:val="000000"/>
        </w:rPr>
      </w:pPr>
      <w:r w:rsidRPr="003704AC">
        <w:rPr>
          <w:color w:val="000000"/>
        </w:rPr>
        <w:t xml:space="preserve">Menzies, K., &amp; </w:t>
      </w:r>
      <w:proofErr w:type="spellStart"/>
      <w:r w:rsidRPr="003704AC">
        <w:rPr>
          <w:color w:val="000000"/>
        </w:rPr>
        <w:t>Sheeshka</w:t>
      </w:r>
      <w:proofErr w:type="spellEnd"/>
      <w:r w:rsidRPr="003704AC">
        <w:rPr>
          <w:color w:val="000000"/>
        </w:rPr>
        <w:t xml:space="preserve">, J. (2012). The process of exiting vegetarianism: An exploratory study. </w:t>
      </w:r>
      <w:r w:rsidRPr="003704AC">
        <w:rPr>
          <w:i/>
          <w:color w:val="000000"/>
        </w:rPr>
        <w:t>Canadian Journal of Dietetic Practice and Research, 73</w:t>
      </w:r>
      <w:r w:rsidRPr="003704AC">
        <w:rPr>
          <w:color w:val="000000"/>
        </w:rPr>
        <w:t>(4), 163-168.</w:t>
      </w:r>
    </w:p>
    <w:p w14:paraId="21D49AAA" w14:textId="77777777" w:rsidR="006A0C34" w:rsidRPr="003704AC" w:rsidRDefault="00EB31E1">
      <w:pPr>
        <w:widowControl w:val="0"/>
        <w:spacing w:line="480" w:lineRule="auto"/>
        <w:ind w:left="567" w:hanging="567"/>
      </w:pPr>
      <w:proofErr w:type="spellStart"/>
      <w:r w:rsidRPr="003704AC">
        <w:t>Mepham</w:t>
      </w:r>
      <w:proofErr w:type="spellEnd"/>
      <w:r w:rsidRPr="003704AC">
        <w:t xml:space="preserve">, B., 2004. Farm animal diseases in context. </w:t>
      </w:r>
      <w:r w:rsidRPr="003704AC">
        <w:rPr>
          <w:i/>
        </w:rPr>
        <w:t>Journal of Agricultural and Environmental Ethics, 17</w:t>
      </w:r>
      <w:r w:rsidRPr="003704AC">
        <w:t>(4-5), 331-340.</w:t>
      </w:r>
    </w:p>
    <w:p w14:paraId="743E40E0" w14:textId="7831F085" w:rsidR="006A0C34" w:rsidRPr="003704AC" w:rsidRDefault="00EB31E1">
      <w:pPr>
        <w:widowControl w:val="0"/>
        <w:spacing w:line="480" w:lineRule="auto"/>
        <w:ind w:left="567" w:hanging="567"/>
      </w:pPr>
      <w:r w:rsidRPr="003704AC">
        <w:t xml:space="preserve">Michie, S., van </w:t>
      </w:r>
      <w:proofErr w:type="spellStart"/>
      <w:r w:rsidRPr="003704AC">
        <w:t>Stralen</w:t>
      </w:r>
      <w:proofErr w:type="spellEnd"/>
      <w:r w:rsidRPr="003704AC">
        <w:t xml:space="preserve">, M. M., &amp; West, R. (2011). The behavior change wheel: A new method for characterizing and designing </w:t>
      </w:r>
      <w:proofErr w:type="spellStart"/>
      <w:r w:rsidRPr="003704AC">
        <w:t>behaviour</w:t>
      </w:r>
      <w:proofErr w:type="spellEnd"/>
      <w:r w:rsidRPr="003704AC">
        <w:t xml:space="preserve"> change interventions. </w:t>
      </w:r>
      <w:r w:rsidRPr="003704AC">
        <w:rPr>
          <w:i/>
        </w:rPr>
        <w:t>Implementation Science, 6</w:t>
      </w:r>
      <w:r w:rsidRPr="003704AC">
        <w:t xml:space="preserve">(42). Retrieved from </w:t>
      </w:r>
      <w:hyperlink r:id="rId15" w:history="1">
        <w:r w:rsidR="00AD7BD1" w:rsidRPr="003704AC">
          <w:rPr>
            <w:rStyle w:val="Hyperlink"/>
          </w:rPr>
          <w:t>www.implementationscience.com/content/6/1/42</w:t>
        </w:r>
      </w:hyperlink>
      <w:r w:rsidRPr="003704AC">
        <w:t xml:space="preserve">. </w:t>
      </w:r>
    </w:p>
    <w:p w14:paraId="093A0A77" w14:textId="77777777" w:rsidR="00AD7BD1" w:rsidRPr="0058443A" w:rsidRDefault="00AD7BD1">
      <w:pPr>
        <w:spacing w:line="480" w:lineRule="auto"/>
      </w:pPr>
      <w:proofErr w:type="spellStart"/>
      <w:r w:rsidRPr="0058443A">
        <w:t>Oberst</w:t>
      </w:r>
      <w:proofErr w:type="spellEnd"/>
      <w:r w:rsidRPr="0058443A">
        <w:t xml:space="preserve">, L. (2018, Jan). Why the global rise in vegan and plant-based eating isn’t a fad (600% </w:t>
      </w:r>
    </w:p>
    <w:p w14:paraId="531AE710" w14:textId="10CE7BA3" w:rsidR="00AD7BD1" w:rsidRPr="003704AC" w:rsidRDefault="00AD7BD1" w:rsidP="00660CDC">
      <w:pPr>
        <w:spacing w:line="480" w:lineRule="auto"/>
        <w:ind w:left="567"/>
      </w:pPr>
      <w:r w:rsidRPr="0058443A">
        <w:lastRenderedPageBreak/>
        <w:t>increase in U.S. vegans and other astounding stats). Future Food report. Retrieved from https://foodrevolution.org/blog/vegan-statistics-global/</w:t>
      </w:r>
    </w:p>
    <w:p w14:paraId="7B1A42AE" w14:textId="77777777" w:rsidR="006A0C34" w:rsidRPr="003704AC" w:rsidRDefault="00EB31E1">
      <w:pPr>
        <w:widowControl w:val="0"/>
        <w:spacing w:line="480" w:lineRule="auto"/>
        <w:ind w:left="567" w:hanging="567"/>
      </w:pPr>
      <w:proofErr w:type="spellStart"/>
      <w:r w:rsidRPr="003704AC">
        <w:t>Onwezen</w:t>
      </w:r>
      <w:proofErr w:type="spellEnd"/>
      <w:r w:rsidRPr="003704AC">
        <w:t xml:space="preserve">, M. C., &amp; van der </w:t>
      </w:r>
      <w:proofErr w:type="spellStart"/>
      <w:r w:rsidRPr="003704AC">
        <w:t>Weele</w:t>
      </w:r>
      <w:proofErr w:type="spellEnd"/>
      <w:r w:rsidRPr="003704AC">
        <w:t>, C. N. (2016). When indifference is ambivalence: Strategic ignorance about meat consumption. </w:t>
      </w:r>
      <w:r w:rsidRPr="003704AC">
        <w:rPr>
          <w:i/>
        </w:rPr>
        <w:t>Food Quality and Preference</w:t>
      </w:r>
      <w:r w:rsidRPr="003704AC">
        <w:t>, </w:t>
      </w:r>
      <w:r w:rsidRPr="003704AC">
        <w:rPr>
          <w:i/>
        </w:rPr>
        <w:t>52</w:t>
      </w:r>
      <w:r w:rsidRPr="003704AC">
        <w:t>, 96-105.  10.1016/j.foodqual.2016.04.001</w:t>
      </w:r>
    </w:p>
    <w:p w14:paraId="397D1941" w14:textId="77777777" w:rsidR="006A0C34" w:rsidRPr="003704AC" w:rsidRDefault="00EB31E1">
      <w:pPr>
        <w:widowControl w:val="0"/>
        <w:spacing w:line="480" w:lineRule="auto"/>
        <w:ind w:left="567" w:hanging="567"/>
      </w:pPr>
      <w:proofErr w:type="spellStart"/>
      <w:r w:rsidRPr="003704AC">
        <w:t>Pallack</w:t>
      </w:r>
      <w:proofErr w:type="spellEnd"/>
      <w:r w:rsidRPr="003704AC">
        <w:t xml:space="preserve">, M., &amp; Cummings, N. (1976). Commitment and voluntary energy conservation. </w:t>
      </w:r>
      <w:r w:rsidRPr="003704AC">
        <w:rPr>
          <w:i/>
        </w:rPr>
        <w:t>Personality and Social Psychology Bulletin, 2</w:t>
      </w:r>
      <w:r w:rsidRPr="003704AC">
        <w:t>, 27-31.</w:t>
      </w:r>
    </w:p>
    <w:p w14:paraId="6F7991B1" w14:textId="65C12366" w:rsidR="006A0C34" w:rsidRPr="003704AC" w:rsidRDefault="00EB31E1" w:rsidP="005A307B">
      <w:pPr>
        <w:widowControl w:val="0"/>
        <w:spacing w:line="480" w:lineRule="auto"/>
        <w:ind w:left="567" w:hanging="567"/>
        <w:rPr>
          <w:rFonts w:ascii="MS Mincho" w:eastAsia="MS Mincho" w:hAnsi="MS Mincho" w:cs="MS Mincho"/>
        </w:rPr>
      </w:pPr>
      <w:r w:rsidRPr="003704AC">
        <w:t xml:space="preserve">Pan, A., Sun, Q., Bernstein, A., Schulze, M., Manson, J., Willett, W., &amp; Hu, F. (2011). Red meat consumption and risk of type 2 diabetes: 3 cohorts of US adults and an updated meta-analysis. </w:t>
      </w:r>
      <w:r w:rsidRPr="003704AC">
        <w:rPr>
          <w:i/>
        </w:rPr>
        <w:t>The American Journal of Clinical Nutrition, 94</w:t>
      </w:r>
      <w:r w:rsidRPr="003704AC">
        <w:t xml:space="preserve">(4), 1088-1096. </w:t>
      </w:r>
      <w:proofErr w:type="spellStart"/>
      <w:r w:rsidRPr="003704AC">
        <w:t>doi</w:t>
      </w:r>
      <w:proofErr w:type="spellEnd"/>
      <w:r w:rsidRPr="003704AC">
        <w:t>: 10.3945/ajcn.111.018978</w:t>
      </w:r>
    </w:p>
    <w:p w14:paraId="25D7389A" w14:textId="77777777" w:rsidR="006A0C34" w:rsidRPr="0058443A" w:rsidRDefault="00EB31E1">
      <w:pPr>
        <w:spacing w:line="480" w:lineRule="auto"/>
        <w:ind w:left="567" w:hanging="567"/>
        <w:rPr>
          <w:color w:val="000000"/>
        </w:rPr>
      </w:pPr>
      <w:r w:rsidRPr="0058443A">
        <w:rPr>
          <w:color w:val="000000"/>
        </w:rPr>
        <w:t xml:space="preserve">Piazza, J., </w:t>
      </w:r>
      <w:proofErr w:type="spellStart"/>
      <w:r w:rsidRPr="0058443A">
        <w:rPr>
          <w:color w:val="000000"/>
        </w:rPr>
        <w:t>McLatchie</w:t>
      </w:r>
      <w:proofErr w:type="spellEnd"/>
      <w:r w:rsidRPr="0058443A">
        <w:rPr>
          <w:color w:val="000000"/>
        </w:rPr>
        <w:t xml:space="preserve">, N., &amp; Olesen, C. (2018). Are baby animals less appetizing? Tenderness toward baby animals and appetite for meat. </w:t>
      </w:r>
      <w:proofErr w:type="spellStart"/>
      <w:r w:rsidRPr="0058443A">
        <w:rPr>
          <w:i/>
          <w:color w:val="000000"/>
        </w:rPr>
        <w:t>Anthrozoös</w:t>
      </w:r>
      <w:proofErr w:type="spellEnd"/>
      <w:r w:rsidRPr="0058443A">
        <w:rPr>
          <w:i/>
          <w:color w:val="000000"/>
        </w:rPr>
        <w:t>, 31</w:t>
      </w:r>
      <w:r w:rsidRPr="0058443A">
        <w:rPr>
          <w:color w:val="000000"/>
        </w:rPr>
        <w:t>(3), 319-335.</w:t>
      </w:r>
    </w:p>
    <w:p w14:paraId="4CA324D1" w14:textId="77777777" w:rsidR="006A0C34" w:rsidRPr="0058443A" w:rsidRDefault="00EB31E1">
      <w:pPr>
        <w:spacing w:line="480" w:lineRule="auto"/>
        <w:ind w:left="567" w:hanging="567"/>
        <w:rPr>
          <w:color w:val="000000"/>
        </w:rPr>
      </w:pPr>
      <w:r w:rsidRPr="0058443A">
        <w:rPr>
          <w:color w:val="000000"/>
        </w:rPr>
        <w:t xml:space="preserve">Piazza, J., Ruby, M. B., Loughnan, S., Luong, M., Kulik, J., Watkins, H. M., &amp; </w:t>
      </w:r>
    </w:p>
    <w:p w14:paraId="29C83A99" w14:textId="77777777" w:rsidR="006A0C34" w:rsidRPr="0058443A" w:rsidRDefault="00EB31E1">
      <w:pPr>
        <w:spacing w:line="480" w:lineRule="auto"/>
        <w:ind w:left="567"/>
        <w:rPr>
          <w:color w:val="000000"/>
        </w:rPr>
      </w:pPr>
      <w:proofErr w:type="spellStart"/>
      <w:r w:rsidRPr="0058443A">
        <w:rPr>
          <w:color w:val="000000"/>
        </w:rPr>
        <w:t>Seigerman</w:t>
      </w:r>
      <w:proofErr w:type="spellEnd"/>
      <w:r w:rsidRPr="0058443A">
        <w:rPr>
          <w:color w:val="000000"/>
        </w:rPr>
        <w:t>, M. (2015). Rationalizing meat consumption: The 4Ns.</w:t>
      </w:r>
      <w:r w:rsidRPr="0058443A">
        <w:rPr>
          <w:i/>
          <w:color w:val="000000"/>
        </w:rPr>
        <w:t> Appetite, 91, </w:t>
      </w:r>
      <w:r w:rsidRPr="0058443A">
        <w:rPr>
          <w:color w:val="000000"/>
        </w:rPr>
        <w:t>114-128.</w:t>
      </w:r>
    </w:p>
    <w:p w14:paraId="2963C74F" w14:textId="77777777" w:rsidR="006A0C34" w:rsidRPr="0058443A" w:rsidRDefault="00EB31E1">
      <w:pPr>
        <w:spacing w:line="480" w:lineRule="auto"/>
        <w:ind w:left="567" w:hanging="567"/>
        <w:rPr>
          <w:color w:val="000000"/>
        </w:rPr>
      </w:pPr>
      <w:proofErr w:type="spellStart"/>
      <w:r w:rsidRPr="0058443A">
        <w:rPr>
          <w:color w:val="000000"/>
        </w:rPr>
        <w:t>Pfeiler</w:t>
      </w:r>
      <w:proofErr w:type="spellEnd"/>
      <w:r w:rsidRPr="0058443A">
        <w:rPr>
          <w:color w:val="000000"/>
        </w:rPr>
        <w:t xml:space="preserve">, T. M. &amp; </w:t>
      </w:r>
      <w:proofErr w:type="spellStart"/>
      <w:r w:rsidRPr="0058443A">
        <w:rPr>
          <w:color w:val="000000"/>
        </w:rPr>
        <w:t>Egloff</w:t>
      </w:r>
      <w:proofErr w:type="spellEnd"/>
      <w:r w:rsidRPr="0058443A">
        <w:rPr>
          <w:color w:val="000000"/>
        </w:rPr>
        <w:t>, B. (2020). Do vegetarians feel bad? Examining the associations between eating vegetarian and subjective well-being in two representative samples. </w:t>
      </w:r>
      <w:r w:rsidRPr="0058443A">
        <w:rPr>
          <w:i/>
          <w:color w:val="000000"/>
        </w:rPr>
        <w:t>Food Quality and Preference, 86,</w:t>
      </w:r>
      <w:r w:rsidRPr="0058443A">
        <w:rPr>
          <w:color w:val="000000"/>
        </w:rPr>
        <w:t xml:space="preserve"> 104018. </w:t>
      </w:r>
      <w:proofErr w:type="spellStart"/>
      <w:r w:rsidRPr="0058443A">
        <w:rPr>
          <w:color w:val="000000"/>
        </w:rPr>
        <w:t>doi</w:t>
      </w:r>
      <w:proofErr w:type="spellEnd"/>
      <w:r w:rsidRPr="0058443A">
        <w:rPr>
          <w:color w:val="000000"/>
        </w:rPr>
        <w:t>: </w:t>
      </w:r>
      <w:hyperlink r:id="rId16">
        <w:r w:rsidRPr="0058443A">
          <w:rPr>
            <w:color w:val="0000FF"/>
            <w:u w:val="single"/>
          </w:rPr>
          <w:t>10.1016/j.foodqual.2020.104018</w:t>
        </w:r>
      </w:hyperlink>
    </w:p>
    <w:p w14:paraId="73E1FC70" w14:textId="77777777" w:rsidR="006A0C34" w:rsidRPr="0058443A" w:rsidRDefault="00EB31E1">
      <w:pPr>
        <w:spacing w:line="480" w:lineRule="auto"/>
        <w:ind w:left="567" w:hanging="567"/>
        <w:rPr>
          <w:color w:val="000000"/>
        </w:rPr>
      </w:pPr>
      <w:r w:rsidRPr="0058443A">
        <w:rPr>
          <w:color w:val="000000"/>
        </w:rPr>
        <w:t xml:space="preserve">Povey, R., </w:t>
      </w:r>
      <w:proofErr w:type="spellStart"/>
      <w:r w:rsidRPr="0058443A">
        <w:rPr>
          <w:color w:val="000000"/>
        </w:rPr>
        <w:t>Wellens</w:t>
      </w:r>
      <w:proofErr w:type="spellEnd"/>
      <w:r w:rsidRPr="0058443A">
        <w:rPr>
          <w:color w:val="000000"/>
        </w:rPr>
        <w:t>, B., &amp; Conner, M. (2001). Attitudes towards following meat, vegetarian and vegan diets: An examination of the role of ambivalence. </w:t>
      </w:r>
      <w:r w:rsidRPr="0058443A">
        <w:rPr>
          <w:i/>
          <w:color w:val="000000"/>
        </w:rPr>
        <w:t>Appetite</w:t>
      </w:r>
      <w:r w:rsidRPr="0058443A">
        <w:rPr>
          <w:color w:val="000000"/>
        </w:rPr>
        <w:t>, </w:t>
      </w:r>
      <w:r w:rsidRPr="0058443A">
        <w:rPr>
          <w:i/>
          <w:color w:val="000000"/>
        </w:rPr>
        <w:t>37</w:t>
      </w:r>
      <w:r w:rsidRPr="0058443A">
        <w:rPr>
          <w:color w:val="000000"/>
        </w:rPr>
        <w:t>(1), 15-26.  10.1006/appe.2001.0406</w:t>
      </w:r>
    </w:p>
    <w:p w14:paraId="7E7025A0" w14:textId="77777777" w:rsidR="00AB33D3" w:rsidRPr="0058443A" w:rsidRDefault="00AB33D3" w:rsidP="00AB33D3">
      <w:pPr>
        <w:spacing w:line="480" w:lineRule="auto"/>
        <w:rPr>
          <w:shd w:val="clear" w:color="auto" w:fill="FFFFFF"/>
        </w:rPr>
      </w:pPr>
      <w:r w:rsidRPr="0058443A">
        <w:rPr>
          <w:shd w:val="clear" w:color="auto" w:fill="FFFFFF"/>
        </w:rPr>
        <w:t>Rabe-</w:t>
      </w:r>
      <w:proofErr w:type="spellStart"/>
      <w:r w:rsidRPr="0058443A">
        <w:rPr>
          <w:shd w:val="clear" w:color="auto" w:fill="FFFFFF"/>
        </w:rPr>
        <w:t>Hesketh</w:t>
      </w:r>
      <w:proofErr w:type="spellEnd"/>
      <w:r w:rsidRPr="0058443A">
        <w:rPr>
          <w:shd w:val="clear" w:color="auto" w:fill="FFFFFF"/>
        </w:rPr>
        <w:t xml:space="preserve">, S., &amp; </w:t>
      </w:r>
      <w:proofErr w:type="spellStart"/>
      <w:r w:rsidRPr="0058443A">
        <w:rPr>
          <w:shd w:val="clear" w:color="auto" w:fill="FFFFFF"/>
        </w:rPr>
        <w:t>Skrondal</w:t>
      </w:r>
      <w:proofErr w:type="spellEnd"/>
      <w:r w:rsidRPr="0058443A">
        <w:rPr>
          <w:shd w:val="clear" w:color="auto" w:fill="FFFFFF"/>
        </w:rPr>
        <w:t xml:space="preserve">, A. (2012, April). Understanding variability in multilevel </w:t>
      </w:r>
    </w:p>
    <w:p w14:paraId="0ECA44DF" w14:textId="0D33271C" w:rsidR="00AB33D3" w:rsidRPr="003704AC" w:rsidRDefault="00AB33D3" w:rsidP="00660CDC">
      <w:pPr>
        <w:spacing w:line="480" w:lineRule="auto"/>
        <w:ind w:firstLine="720"/>
        <w:rPr>
          <w:shd w:val="clear" w:color="auto" w:fill="FFFFFF"/>
        </w:rPr>
      </w:pPr>
      <w:r w:rsidRPr="0058443A">
        <w:rPr>
          <w:shd w:val="clear" w:color="auto" w:fill="FFFFFF"/>
        </w:rPr>
        <w:t>models for categorical responses. In </w:t>
      </w:r>
      <w:r w:rsidRPr="0058443A">
        <w:rPr>
          <w:i/>
          <w:iCs/>
          <w:shd w:val="clear" w:color="auto" w:fill="FFFFFF"/>
        </w:rPr>
        <w:t>AERA Annual Meeting, Vancouver, Canada</w:t>
      </w:r>
      <w:r w:rsidRPr="0058443A">
        <w:rPr>
          <w:shd w:val="clear" w:color="auto" w:fill="FFFFFF"/>
        </w:rPr>
        <w:t>.</w:t>
      </w:r>
    </w:p>
    <w:p w14:paraId="3F9E38C1" w14:textId="77777777" w:rsidR="006A0C34" w:rsidRPr="0058443A" w:rsidRDefault="00EB31E1">
      <w:pPr>
        <w:spacing w:line="480" w:lineRule="auto"/>
        <w:rPr>
          <w:color w:val="000000"/>
        </w:rPr>
      </w:pPr>
      <w:proofErr w:type="spellStart"/>
      <w:r w:rsidRPr="0058443A">
        <w:rPr>
          <w:color w:val="000000"/>
        </w:rPr>
        <w:lastRenderedPageBreak/>
        <w:t>Rammstedt</w:t>
      </w:r>
      <w:proofErr w:type="spellEnd"/>
      <w:r w:rsidRPr="0058443A">
        <w:rPr>
          <w:color w:val="000000"/>
        </w:rPr>
        <w:t xml:space="preserve">, B., Kemper, C., Klein, M. C., </w:t>
      </w:r>
      <w:proofErr w:type="spellStart"/>
      <w:r w:rsidRPr="0058443A">
        <w:rPr>
          <w:color w:val="000000"/>
        </w:rPr>
        <w:t>Beierlein</w:t>
      </w:r>
      <w:proofErr w:type="spellEnd"/>
      <w:r w:rsidRPr="0058443A">
        <w:rPr>
          <w:color w:val="000000"/>
        </w:rPr>
        <w:t xml:space="preserve">, C., &amp; </w:t>
      </w:r>
      <w:proofErr w:type="spellStart"/>
      <w:r w:rsidRPr="0058443A">
        <w:rPr>
          <w:color w:val="000000"/>
        </w:rPr>
        <w:t>Kovaleva</w:t>
      </w:r>
      <w:proofErr w:type="spellEnd"/>
      <w:r w:rsidRPr="0058443A">
        <w:rPr>
          <w:color w:val="000000"/>
        </w:rPr>
        <w:t xml:space="preserve">, A. (2014). Big Five </w:t>
      </w:r>
    </w:p>
    <w:p w14:paraId="33F4211A" w14:textId="77777777" w:rsidR="006A0C34" w:rsidRPr="0058443A" w:rsidRDefault="00EB31E1">
      <w:pPr>
        <w:spacing w:line="480" w:lineRule="auto"/>
        <w:ind w:left="720"/>
        <w:rPr>
          <w:color w:val="000000"/>
        </w:rPr>
      </w:pPr>
      <w:r w:rsidRPr="0058443A">
        <w:rPr>
          <w:color w:val="000000"/>
        </w:rPr>
        <w:t xml:space="preserve">Inventory (BFI-10). </w:t>
      </w:r>
      <w:proofErr w:type="spellStart"/>
      <w:r w:rsidRPr="0058443A">
        <w:rPr>
          <w:color w:val="000000"/>
        </w:rPr>
        <w:t>Zusammenstellung</w:t>
      </w:r>
      <w:proofErr w:type="spellEnd"/>
      <w:r w:rsidRPr="0058443A">
        <w:rPr>
          <w:color w:val="000000"/>
        </w:rPr>
        <w:t xml:space="preserve"> </w:t>
      </w:r>
      <w:proofErr w:type="spellStart"/>
      <w:r w:rsidRPr="0058443A">
        <w:rPr>
          <w:color w:val="000000"/>
        </w:rPr>
        <w:t>sozialwissenschaftlicher</w:t>
      </w:r>
      <w:proofErr w:type="spellEnd"/>
      <w:r w:rsidRPr="0058443A">
        <w:rPr>
          <w:color w:val="000000"/>
        </w:rPr>
        <w:t xml:space="preserve"> Items und </w:t>
      </w:r>
      <w:proofErr w:type="spellStart"/>
      <w:r w:rsidRPr="0058443A">
        <w:rPr>
          <w:color w:val="000000"/>
        </w:rPr>
        <w:t>Skalen</w:t>
      </w:r>
      <w:proofErr w:type="spellEnd"/>
      <w:r w:rsidRPr="0058443A">
        <w:rPr>
          <w:color w:val="000000"/>
        </w:rPr>
        <w:t xml:space="preserve">. </w:t>
      </w:r>
      <w:proofErr w:type="spellStart"/>
      <w:r w:rsidRPr="0058443A">
        <w:rPr>
          <w:color w:val="000000"/>
        </w:rPr>
        <w:t>doi</w:t>
      </w:r>
      <w:proofErr w:type="spellEnd"/>
      <w:r w:rsidRPr="0058443A">
        <w:rPr>
          <w:color w:val="000000"/>
        </w:rPr>
        <w:t>: 10.6102/zis76</w:t>
      </w:r>
    </w:p>
    <w:p w14:paraId="0F3694DD" w14:textId="77777777" w:rsidR="006A0C34" w:rsidRPr="0058443A" w:rsidRDefault="00EB31E1">
      <w:pPr>
        <w:spacing w:line="480" w:lineRule="auto"/>
        <w:ind w:left="567" w:hanging="567"/>
        <w:rPr>
          <w:color w:val="000000"/>
        </w:rPr>
      </w:pPr>
      <w:r w:rsidRPr="0058443A">
        <w:rPr>
          <w:color w:val="000000"/>
        </w:rPr>
        <w:t xml:space="preserve">Renner, B., </w:t>
      </w:r>
      <w:proofErr w:type="spellStart"/>
      <w:r w:rsidRPr="0058443A">
        <w:rPr>
          <w:color w:val="000000"/>
        </w:rPr>
        <w:t>Sproesser</w:t>
      </w:r>
      <w:proofErr w:type="spellEnd"/>
      <w:r w:rsidRPr="0058443A">
        <w:rPr>
          <w:color w:val="000000"/>
        </w:rPr>
        <w:t xml:space="preserve">, G., </w:t>
      </w:r>
      <w:proofErr w:type="spellStart"/>
      <w:r w:rsidRPr="0058443A">
        <w:rPr>
          <w:color w:val="000000"/>
        </w:rPr>
        <w:t>Strohbach</w:t>
      </w:r>
      <w:proofErr w:type="spellEnd"/>
      <w:r w:rsidRPr="0058443A">
        <w:rPr>
          <w:color w:val="000000"/>
        </w:rPr>
        <w:t xml:space="preserve">, S., &amp; Schupp, H. T. (2012). Why we eat what we eat: The Eating Motivation Survey (TEMS). </w:t>
      </w:r>
      <w:r w:rsidRPr="0058443A">
        <w:rPr>
          <w:i/>
          <w:color w:val="000000"/>
        </w:rPr>
        <w:t>Appetite, 59</w:t>
      </w:r>
      <w:r w:rsidRPr="0058443A">
        <w:rPr>
          <w:color w:val="000000"/>
        </w:rPr>
        <w:t>(1), 117-128. doi.org/10.1016/j.appet.2012.04.004</w:t>
      </w:r>
    </w:p>
    <w:p w14:paraId="71914465" w14:textId="77777777" w:rsidR="006A0C34" w:rsidRPr="0058443A" w:rsidRDefault="00EB31E1">
      <w:pPr>
        <w:spacing w:line="480" w:lineRule="auto"/>
        <w:rPr>
          <w:color w:val="000000"/>
        </w:rPr>
      </w:pPr>
      <w:r w:rsidRPr="0058443A">
        <w:rPr>
          <w:color w:val="000000"/>
        </w:rPr>
        <w:t xml:space="preserve">Rosenfeld, D. L. (2018). The psychology of vegetarianism: Recent advances and future </w:t>
      </w:r>
    </w:p>
    <w:p w14:paraId="6CF9D9F7" w14:textId="77777777" w:rsidR="006A0C34" w:rsidRPr="0058443A" w:rsidRDefault="00EB31E1">
      <w:pPr>
        <w:spacing w:line="480" w:lineRule="auto"/>
        <w:ind w:firstLine="567"/>
        <w:rPr>
          <w:color w:val="000000"/>
        </w:rPr>
      </w:pPr>
      <w:r w:rsidRPr="0058443A">
        <w:rPr>
          <w:color w:val="000000"/>
        </w:rPr>
        <w:t xml:space="preserve">directions. </w:t>
      </w:r>
      <w:r w:rsidRPr="0058443A">
        <w:rPr>
          <w:i/>
          <w:color w:val="000000"/>
        </w:rPr>
        <w:t xml:space="preserve">Appetite, 131, </w:t>
      </w:r>
      <w:r w:rsidRPr="0058443A">
        <w:rPr>
          <w:color w:val="000000"/>
        </w:rPr>
        <w:t>125-138.</w:t>
      </w:r>
    </w:p>
    <w:p w14:paraId="50C74D44" w14:textId="77777777" w:rsidR="006A0C34" w:rsidRPr="003704AC" w:rsidRDefault="00EB31E1">
      <w:pPr>
        <w:widowControl w:val="0"/>
        <w:spacing w:line="480" w:lineRule="auto"/>
        <w:ind w:left="567" w:hanging="567"/>
      </w:pPr>
      <w:r w:rsidRPr="003704AC">
        <w:t xml:space="preserve">Rosenfeld, D. L., &amp; Tomiyama, A. J. (2019). When vegetarians eat meat: Why vegetarians violate their diets and how they feel about doing so. </w:t>
      </w:r>
      <w:r w:rsidRPr="003704AC">
        <w:rPr>
          <w:i/>
        </w:rPr>
        <w:t xml:space="preserve">Appetite, 143, </w:t>
      </w:r>
      <w:r w:rsidRPr="003704AC">
        <w:t>104417.</w:t>
      </w:r>
    </w:p>
    <w:p w14:paraId="08EC0E43" w14:textId="77777777" w:rsidR="006A0C34" w:rsidRPr="0058443A" w:rsidRDefault="00EB31E1">
      <w:pPr>
        <w:widowControl w:val="0"/>
        <w:spacing w:line="480" w:lineRule="auto"/>
      </w:pPr>
      <w:proofErr w:type="spellStart"/>
      <w:r w:rsidRPr="0058443A">
        <w:t>Rothgerber</w:t>
      </w:r>
      <w:proofErr w:type="spellEnd"/>
      <w:r w:rsidRPr="0058443A">
        <w:t xml:space="preserve">, H. (2014). Efforts to overcome vegetarian-induced dissonance among meat </w:t>
      </w:r>
    </w:p>
    <w:p w14:paraId="62EBCAAC" w14:textId="77777777" w:rsidR="006A0C34" w:rsidRPr="003704AC" w:rsidRDefault="00EB31E1">
      <w:pPr>
        <w:widowControl w:val="0"/>
        <w:spacing w:line="480" w:lineRule="auto"/>
        <w:ind w:firstLine="720"/>
      </w:pPr>
      <w:r w:rsidRPr="0058443A">
        <w:t xml:space="preserve">eaters. </w:t>
      </w:r>
      <w:r w:rsidRPr="0058443A">
        <w:rPr>
          <w:i/>
        </w:rPr>
        <w:t>Appetite, 79,</w:t>
      </w:r>
      <w:r w:rsidRPr="0058443A">
        <w:t xml:space="preserve"> 32-41.</w:t>
      </w:r>
    </w:p>
    <w:p w14:paraId="0ACB1A61" w14:textId="77777777" w:rsidR="006A0C34" w:rsidRPr="003704AC" w:rsidRDefault="00EB31E1">
      <w:pPr>
        <w:widowControl w:val="0"/>
        <w:spacing w:line="480" w:lineRule="auto"/>
      </w:pPr>
      <w:proofErr w:type="spellStart"/>
      <w:r w:rsidRPr="003704AC">
        <w:t>Rothgerber</w:t>
      </w:r>
      <w:proofErr w:type="spellEnd"/>
      <w:r w:rsidRPr="003704AC">
        <w:t xml:space="preserve">, H. (2020). Meat-related cognitive dissonance: A conceptual framework for </w:t>
      </w:r>
    </w:p>
    <w:p w14:paraId="2CBFB250" w14:textId="77777777" w:rsidR="006A0C34" w:rsidRPr="003704AC" w:rsidRDefault="00EB31E1">
      <w:pPr>
        <w:widowControl w:val="0"/>
        <w:spacing w:line="480" w:lineRule="auto"/>
        <w:ind w:left="720"/>
      </w:pPr>
      <w:r w:rsidRPr="003704AC">
        <w:t>understanding how meat eaters reduce negative arousal from eating animals. </w:t>
      </w:r>
      <w:r w:rsidRPr="003704AC">
        <w:rPr>
          <w:i/>
        </w:rPr>
        <w:t>Appetite</w:t>
      </w:r>
      <w:r w:rsidRPr="003704AC">
        <w:t>, </w:t>
      </w:r>
      <w:r w:rsidRPr="003704AC">
        <w:rPr>
          <w:i/>
        </w:rPr>
        <w:t>146</w:t>
      </w:r>
      <w:r w:rsidRPr="003704AC">
        <w:t>, 104511. 10.1016/j.appet.2019.104511</w:t>
      </w:r>
    </w:p>
    <w:p w14:paraId="51286DF2" w14:textId="77777777" w:rsidR="006A0C34" w:rsidRPr="003704AC" w:rsidRDefault="00EB31E1">
      <w:pPr>
        <w:widowControl w:val="0"/>
        <w:spacing w:line="480" w:lineRule="auto"/>
        <w:rPr>
          <w:i/>
        </w:rPr>
      </w:pPr>
      <w:r w:rsidRPr="003704AC">
        <w:t xml:space="preserve">Ruby, M. B. (2012). Vegetarianism: A blossoming field of study. </w:t>
      </w:r>
      <w:r w:rsidRPr="003704AC">
        <w:rPr>
          <w:i/>
        </w:rPr>
        <w:t xml:space="preserve">Appetite, 56,  </w:t>
      </w:r>
      <w:r w:rsidRPr="003704AC">
        <w:t>447-450.</w:t>
      </w:r>
    </w:p>
    <w:p w14:paraId="170EB050" w14:textId="77777777" w:rsidR="006A0C34" w:rsidRPr="003704AC" w:rsidRDefault="00EB31E1">
      <w:pPr>
        <w:widowControl w:val="0"/>
        <w:spacing w:line="480" w:lineRule="auto"/>
        <w:ind w:left="567" w:hanging="567"/>
        <w:rPr>
          <w:i/>
        </w:rPr>
      </w:pPr>
      <w:r w:rsidRPr="003704AC">
        <w:t xml:space="preserve">Ruby, M.B., </w:t>
      </w:r>
      <w:proofErr w:type="spellStart"/>
      <w:r w:rsidRPr="003704AC">
        <w:t>Rozin</w:t>
      </w:r>
      <w:proofErr w:type="spellEnd"/>
      <w:r w:rsidRPr="003704AC">
        <w:t xml:space="preserve">, P., Gendelman, B., Li, Y., &amp; </w:t>
      </w:r>
      <w:proofErr w:type="spellStart"/>
      <w:r w:rsidRPr="003704AC">
        <w:t>Peelish</w:t>
      </w:r>
      <w:proofErr w:type="spellEnd"/>
      <w:r w:rsidRPr="003704AC">
        <w:t xml:space="preserve">, N. (in prep). </w:t>
      </w:r>
      <w:r w:rsidRPr="003704AC">
        <w:rPr>
          <w:i/>
        </w:rPr>
        <w:t xml:space="preserve">Conflict </w:t>
      </w:r>
    </w:p>
    <w:p w14:paraId="298EA6E9" w14:textId="77777777" w:rsidR="006A0C34" w:rsidRPr="003704AC" w:rsidRDefault="00EB31E1">
      <w:pPr>
        <w:widowControl w:val="0"/>
        <w:spacing w:line="480" w:lineRule="auto"/>
        <w:ind w:left="567"/>
        <w:rPr>
          <w:i/>
        </w:rPr>
      </w:pPr>
      <w:r w:rsidRPr="003704AC">
        <w:rPr>
          <w:i/>
        </w:rPr>
        <w:t xml:space="preserve">around eating meat: Incidence, associations, and implications for behavioral </w:t>
      </w:r>
    </w:p>
    <w:p w14:paraId="60A5F4CF" w14:textId="77777777" w:rsidR="006A0C34" w:rsidRPr="003704AC" w:rsidRDefault="00EB31E1">
      <w:pPr>
        <w:widowControl w:val="0"/>
        <w:spacing w:line="480" w:lineRule="auto"/>
        <w:ind w:left="567"/>
      </w:pPr>
      <w:r w:rsidRPr="003704AC">
        <w:rPr>
          <w:i/>
        </w:rPr>
        <w:t>change.</w:t>
      </w:r>
      <w:r w:rsidRPr="003704AC">
        <w:t xml:space="preserve"> Manuscript in preparation. </w:t>
      </w:r>
    </w:p>
    <w:p w14:paraId="59ADA3EE" w14:textId="77777777" w:rsidR="006A0C34" w:rsidRPr="003704AC" w:rsidRDefault="00EB31E1">
      <w:pPr>
        <w:widowControl w:val="0"/>
        <w:spacing w:line="480" w:lineRule="auto"/>
        <w:ind w:left="567" w:hanging="567"/>
      </w:pPr>
      <w:proofErr w:type="spellStart"/>
      <w:r w:rsidRPr="0058443A">
        <w:t>Saari</w:t>
      </w:r>
      <w:proofErr w:type="spellEnd"/>
      <w:r w:rsidRPr="0058443A">
        <w:t xml:space="preserve">, U. A., </w:t>
      </w:r>
      <w:proofErr w:type="spellStart"/>
      <w:r w:rsidRPr="0058443A">
        <w:t>Herstatt</w:t>
      </w:r>
      <w:proofErr w:type="spellEnd"/>
      <w:r w:rsidRPr="0058443A">
        <w:t xml:space="preserve">, C., Tiwari, R., </w:t>
      </w:r>
      <w:proofErr w:type="spellStart"/>
      <w:r w:rsidRPr="0058443A">
        <w:t>Dedehayir</w:t>
      </w:r>
      <w:proofErr w:type="spellEnd"/>
      <w:r w:rsidRPr="0058443A">
        <w:t xml:space="preserve">, O., &amp; </w:t>
      </w:r>
      <w:proofErr w:type="spellStart"/>
      <w:r w:rsidRPr="0058443A">
        <w:t>Mäkinen</w:t>
      </w:r>
      <w:proofErr w:type="spellEnd"/>
      <w:r w:rsidRPr="0058443A">
        <w:t xml:space="preserve">, S. J. (2021). The vegan trend and the </w:t>
      </w:r>
      <w:proofErr w:type="spellStart"/>
      <w:r w:rsidRPr="0058443A">
        <w:t>microfoundations</w:t>
      </w:r>
      <w:proofErr w:type="spellEnd"/>
      <w:r w:rsidRPr="0058443A">
        <w:t xml:space="preserve"> of institutional change: A commentary on food producers’ sustainable innovation journeys in Europe. </w:t>
      </w:r>
      <w:r w:rsidRPr="0058443A">
        <w:rPr>
          <w:i/>
        </w:rPr>
        <w:t>Trends in Food Science &amp; Technology, 107</w:t>
      </w:r>
      <w:r w:rsidRPr="0058443A">
        <w:t>, 161-167.</w:t>
      </w:r>
    </w:p>
    <w:p w14:paraId="26907480" w14:textId="71309F30" w:rsidR="00A435D4" w:rsidRPr="003704AC" w:rsidRDefault="00A435D4">
      <w:pPr>
        <w:widowControl w:val="0"/>
        <w:spacing w:line="480" w:lineRule="auto"/>
        <w:ind w:left="567" w:hanging="567"/>
      </w:pPr>
      <w:r w:rsidRPr="0058443A">
        <w:t xml:space="preserve">Sansone, C., Weir, C., Harpster, L., &amp; Morgan, C. (1992). Once a boring task, always a boring task: Interest as a self-regulatory mechanism. </w:t>
      </w:r>
      <w:r w:rsidRPr="0058443A">
        <w:rPr>
          <w:i/>
        </w:rPr>
        <w:t xml:space="preserve">Journal of Personality and Social </w:t>
      </w:r>
      <w:r w:rsidRPr="0058443A">
        <w:rPr>
          <w:i/>
        </w:rPr>
        <w:lastRenderedPageBreak/>
        <w:t xml:space="preserve">Psychology, 63, </w:t>
      </w:r>
      <w:r w:rsidRPr="0058443A">
        <w:t>379-390.</w:t>
      </w:r>
    </w:p>
    <w:p w14:paraId="7576CF87" w14:textId="5297D9EF" w:rsidR="006A0C34" w:rsidRPr="003704AC" w:rsidRDefault="00EB31E1">
      <w:pPr>
        <w:widowControl w:val="0"/>
        <w:spacing w:line="480" w:lineRule="auto"/>
        <w:ind w:left="567" w:hanging="567"/>
        <w:rPr>
          <w:rFonts w:ascii="MS Mincho" w:eastAsia="MS Mincho" w:hAnsi="MS Mincho" w:cs="MS Mincho"/>
        </w:rPr>
      </w:pPr>
      <w:proofErr w:type="spellStart"/>
      <w:r w:rsidRPr="003704AC">
        <w:t>Shippee</w:t>
      </w:r>
      <w:proofErr w:type="spellEnd"/>
      <w:r w:rsidRPr="003704AC">
        <w:t xml:space="preserve">, G., &amp; Gregory, W. (1982). Public commitment in energy conservation. </w:t>
      </w:r>
      <w:r w:rsidRPr="003704AC">
        <w:rPr>
          <w:i/>
        </w:rPr>
        <w:t>American Journal of Community Psychology, 10</w:t>
      </w:r>
      <w:r w:rsidRPr="003704AC">
        <w:t>, 81-93.</w:t>
      </w:r>
      <w:r w:rsidRPr="003704AC">
        <w:rPr>
          <w:rFonts w:ascii="MS Mincho" w:eastAsia="MS Mincho" w:hAnsi="MS Mincho" w:cs="MS Mincho"/>
        </w:rPr>
        <w:t> </w:t>
      </w:r>
    </w:p>
    <w:p w14:paraId="6A0467B9" w14:textId="77777777" w:rsidR="006A0C34" w:rsidRPr="003704AC" w:rsidRDefault="00EB31E1">
      <w:pPr>
        <w:widowControl w:val="0"/>
        <w:spacing w:line="480" w:lineRule="auto"/>
        <w:ind w:left="567" w:hanging="567"/>
      </w:pPr>
      <w:proofErr w:type="spellStart"/>
      <w:r w:rsidRPr="003704AC">
        <w:t>Smil</w:t>
      </w:r>
      <w:proofErr w:type="spellEnd"/>
      <w:r w:rsidRPr="003704AC">
        <w:t xml:space="preserve">, V. (2002). Worldwide transformation of diets, burdens of meat production and opportunities for novel food proteins. </w:t>
      </w:r>
      <w:r w:rsidRPr="003704AC">
        <w:rPr>
          <w:i/>
        </w:rPr>
        <w:t>Enzyme and Microbial Technology, 30</w:t>
      </w:r>
      <w:r w:rsidRPr="003704AC">
        <w:t>, 305–311.</w:t>
      </w:r>
    </w:p>
    <w:p w14:paraId="460C23CF" w14:textId="77777777" w:rsidR="006A0C34" w:rsidRPr="003704AC" w:rsidRDefault="00EB31E1">
      <w:pPr>
        <w:widowControl w:val="0"/>
        <w:spacing w:line="480" w:lineRule="auto"/>
      </w:pPr>
      <w:r w:rsidRPr="003704AC">
        <w:t xml:space="preserve">Spelt, H., Kersten-van Dijk, E., Ham, J., </w:t>
      </w:r>
      <w:proofErr w:type="spellStart"/>
      <w:r w:rsidRPr="003704AC">
        <w:t>Westerink</w:t>
      </w:r>
      <w:proofErr w:type="spellEnd"/>
      <w:r w:rsidRPr="003704AC">
        <w:t xml:space="preserve">, J., &amp; </w:t>
      </w:r>
      <w:proofErr w:type="spellStart"/>
      <w:r w:rsidRPr="003704AC">
        <w:t>IJsselsteijn</w:t>
      </w:r>
      <w:proofErr w:type="spellEnd"/>
      <w:r w:rsidRPr="003704AC">
        <w:t xml:space="preserve">, W. (2019). </w:t>
      </w:r>
    </w:p>
    <w:p w14:paraId="5AC6A2DA" w14:textId="77777777" w:rsidR="006A0C34" w:rsidRPr="003704AC" w:rsidRDefault="00EB31E1">
      <w:pPr>
        <w:widowControl w:val="0"/>
        <w:spacing w:line="480" w:lineRule="auto"/>
        <w:ind w:left="720"/>
      </w:pPr>
      <w:r w:rsidRPr="003704AC">
        <w:t xml:space="preserve">Psychophysiological measures of reactance to persuasive messages advocating limited meat consumption. </w:t>
      </w:r>
      <w:r w:rsidRPr="003704AC">
        <w:rPr>
          <w:i/>
        </w:rPr>
        <w:t xml:space="preserve">Information, 10, </w:t>
      </w:r>
      <w:r w:rsidRPr="003704AC">
        <w:t>320. Doi:10.3390/info10100320</w:t>
      </w:r>
    </w:p>
    <w:p w14:paraId="11625931" w14:textId="77777777" w:rsidR="006A0C34" w:rsidRPr="003704AC" w:rsidRDefault="00EB31E1">
      <w:pPr>
        <w:widowControl w:val="0"/>
        <w:spacing w:line="480" w:lineRule="auto"/>
      </w:pPr>
      <w:proofErr w:type="spellStart"/>
      <w:r w:rsidRPr="003704AC">
        <w:t>Stea</w:t>
      </w:r>
      <w:proofErr w:type="spellEnd"/>
      <w:r w:rsidRPr="003704AC">
        <w:t xml:space="preserve">, S., &amp; Pickering, G. J. (2018). Optimizing messaging to reduce red meat consumption. </w:t>
      </w:r>
    </w:p>
    <w:p w14:paraId="05047808" w14:textId="77777777" w:rsidR="006A0C34" w:rsidRPr="003704AC" w:rsidRDefault="00EB31E1">
      <w:pPr>
        <w:widowControl w:val="0"/>
        <w:spacing w:line="480" w:lineRule="auto"/>
        <w:ind w:firstLine="567"/>
      </w:pPr>
      <w:r w:rsidRPr="003704AC">
        <w:rPr>
          <w:i/>
        </w:rPr>
        <w:t>Environmental Communication, 13</w:t>
      </w:r>
      <w:r w:rsidRPr="003704AC">
        <w:t>(5), 633-648.</w:t>
      </w:r>
    </w:p>
    <w:p w14:paraId="376B008A" w14:textId="37BFD3CE" w:rsidR="00DE6985" w:rsidRPr="0058443A" w:rsidRDefault="00DE6985" w:rsidP="00DE6985">
      <w:pPr>
        <w:spacing w:line="480" w:lineRule="auto"/>
        <w:ind w:left="567" w:hanging="567"/>
        <w:rPr>
          <w:color w:val="000000"/>
          <w:lang w:val="en-GB"/>
        </w:rPr>
      </w:pPr>
      <w:r w:rsidRPr="0058443A">
        <w:rPr>
          <w:color w:val="000000"/>
          <w:lang w:val="en-GB"/>
        </w:rPr>
        <w:t xml:space="preserve">Tenenbaum, G., &amp; Filho, E. (2016). Measurement considerations in performance psychology. In M. </w:t>
      </w:r>
      <w:proofErr w:type="spellStart"/>
      <w:r w:rsidRPr="0058443A">
        <w:rPr>
          <w:color w:val="000000"/>
          <w:lang w:val="en-GB"/>
        </w:rPr>
        <w:t>Raab</w:t>
      </w:r>
      <w:proofErr w:type="spellEnd"/>
      <w:r w:rsidRPr="0058443A">
        <w:rPr>
          <w:color w:val="000000"/>
          <w:lang w:val="en-GB"/>
        </w:rPr>
        <w:t xml:space="preserve">, B. </w:t>
      </w:r>
      <w:proofErr w:type="spellStart"/>
      <w:r w:rsidRPr="0058443A">
        <w:rPr>
          <w:color w:val="000000"/>
          <w:lang w:val="en-GB"/>
        </w:rPr>
        <w:t>Lobinger</w:t>
      </w:r>
      <w:proofErr w:type="spellEnd"/>
      <w:r w:rsidRPr="0058443A">
        <w:rPr>
          <w:color w:val="000000"/>
          <w:lang w:val="en-GB"/>
        </w:rPr>
        <w:t xml:space="preserve">, S. Hoffmann, A. </w:t>
      </w:r>
      <w:proofErr w:type="spellStart"/>
      <w:r w:rsidRPr="0058443A">
        <w:rPr>
          <w:color w:val="000000"/>
          <w:lang w:val="en-GB"/>
        </w:rPr>
        <w:t>Pizzera</w:t>
      </w:r>
      <w:proofErr w:type="spellEnd"/>
      <w:r w:rsidRPr="0058443A">
        <w:rPr>
          <w:color w:val="000000"/>
          <w:lang w:val="en-GB"/>
        </w:rPr>
        <w:t>, &amp; S. Laborde (Eds.). </w:t>
      </w:r>
      <w:r w:rsidRPr="0058443A">
        <w:rPr>
          <w:i/>
          <w:iCs/>
          <w:color w:val="000000"/>
          <w:lang w:val="en-GB"/>
        </w:rPr>
        <w:t>Performance psychology</w:t>
      </w:r>
      <w:r w:rsidRPr="0058443A">
        <w:rPr>
          <w:color w:val="000000"/>
          <w:lang w:val="en-GB"/>
        </w:rPr>
        <w:t xml:space="preserve"> (pp. 31-44). Academic Press. </w:t>
      </w:r>
      <w:hyperlink r:id="rId17" w:history="1">
        <w:r w:rsidRPr="0058443A">
          <w:rPr>
            <w:rStyle w:val="Hyperlink"/>
            <w:lang w:val="en-GB"/>
          </w:rPr>
          <w:t>https://doi.org/10.1016/B978-0-12-803377-7.00003-X</w:t>
        </w:r>
      </w:hyperlink>
    </w:p>
    <w:p w14:paraId="177D8C79" w14:textId="30B9B8BA" w:rsidR="006A0C34" w:rsidRPr="003704AC" w:rsidRDefault="00271AF7">
      <w:pPr>
        <w:spacing w:line="480" w:lineRule="auto"/>
        <w:ind w:left="567" w:hanging="567"/>
        <w:rPr>
          <w:color w:val="000000"/>
        </w:rPr>
      </w:pPr>
      <w:r w:rsidRPr="0058443A">
        <w:rPr>
          <w:color w:val="000000"/>
        </w:rPr>
        <w:t>The Vegan Society. (2021). Worldwide statistics. Retrieved from https://www.vegansociety.com/news/media/statistics/worldwide</w:t>
      </w:r>
    </w:p>
    <w:p w14:paraId="4682AEF6" w14:textId="77777777" w:rsidR="006A0C34" w:rsidRPr="003704AC" w:rsidRDefault="00EB31E1">
      <w:pPr>
        <w:spacing w:line="480" w:lineRule="auto"/>
        <w:ind w:left="567" w:hanging="567"/>
        <w:rPr>
          <w:color w:val="000000"/>
        </w:rPr>
      </w:pPr>
      <w:r w:rsidRPr="003704AC">
        <w:rPr>
          <w:color w:val="000000"/>
        </w:rPr>
        <w:t>Tilman, D., &amp; Clark, M. (2014). Global diets link environmental sustainability and human</w:t>
      </w:r>
    </w:p>
    <w:p w14:paraId="1E7EE544" w14:textId="77777777" w:rsidR="006A0C34" w:rsidRPr="003704AC" w:rsidRDefault="00EB31E1">
      <w:pPr>
        <w:spacing w:line="480" w:lineRule="auto"/>
        <w:ind w:left="567"/>
        <w:rPr>
          <w:color w:val="000000"/>
        </w:rPr>
      </w:pPr>
      <w:r w:rsidRPr="003704AC">
        <w:rPr>
          <w:color w:val="000000"/>
        </w:rPr>
        <w:t xml:space="preserve">health. </w:t>
      </w:r>
      <w:r w:rsidRPr="003704AC">
        <w:rPr>
          <w:i/>
          <w:color w:val="000000"/>
        </w:rPr>
        <w:t>Nature, 515</w:t>
      </w:r>
      <w:r w:rsidRPr="003704AC">
        <w:rPr>
          <w:color w:val="000000"/>
        </w:rPr>
        <w:t xml:space="preserve">(7528), 518-522. </w:t>
      </w:r>
      <w:proofErr w:type="spellStart"/>
      <w:r w:rsidRPr="003704AC">
        <w:rPr>
          <w:color w:val="000000"/>
        </w:rPr>
        <w:t>doi</w:t>
      </w:r>
      <w:proofErr w:type="spellEnd"/>
      <w:r w:rsidRPr="003704AC">
        <w:rPr>
          <w:color w:val="000000"/>
        </w:rPr>
        <w:t>: 10.1038/nature13959</w:t>
      </w:r>
    </w:p>
    <w:p w14:paraId="052E29A3" w14:textId="77777777" w:rsidR="006A0C34" w:rsidRPr="003704AC" w:rsidRDefault="00EB31E1">
      <w:pPr>
        <w:spacing w:line="480" w:lineRule="auto"/>
        <w:ind w:left="567" w:hanging="567"/>
        <w:rPr>
          <w:color w:val="000000"/>
        </w:rPr>
      </w:pPr>
      <w:proofErr w:type="spellStart"/>
      <w:r w:rsidRPr="003704AC">
        <w:rPr>
          <w:color w:val="000000"/>
        </w:rPr>
        <w:t>Vainio</w:t>
      </w:r>
      <w:proofErr w:type="spellEnd"/>
      <w:r w:rsidRPr="003704AC">
        <w:rPr>
          <w:color w:val="000000"/>
        </w:rPr>
        <w:t xml:space="preserve">, A., </w:t>
      </w:r>
      <w:proofErr w:type="spellStart"/>
      <w:r w:rsidRPr="003704AC">
        <w:rPr>
          <w:color w:val="000000"/>
        </w:rPr>
        <w:t>Irz</w:t>
      </w:r>
      <w:proofErr w:type="spellEnd"/>
      <w:r w:rsidRPr="003704AC">
        <w:rPr>
          <w:color w:val="000000"/>
        </w:rPr>
        <w:t xml:space="preserve">, X., &amp; </w:t>
      </w:r>
      <w:proofErr w:type="spellStart"/>
      <w:r w:rsidRPr="003704AC">
        <w:rPr>
          <w:color w:val="000000"/>
        </w:rPr>
        <w:t>Hartikainen</w:t>
      </w:r>
      <w:proofErr w:type="spellEnd"/>
      <w:r w:rsidRPr="003704AC">
        <w:rPr>
          <w:color w:val="000000"/>
        </w:rPr>
        <w:t xml:space="preserve">, H. (2018). How effective are messages and their characteristics in changing </w:t>
      </w:r>
      <w:proofErr w:type="spellStart"/>
      <w:r w:rsidRPr="003704AC">
        <w:rPr>
          <w:color w:val="000000"/>
        </w:rPr>
        <w:t>behavioural</w:t>
      </w:r>
      <w:proofErr w:type="spellEnd"/>
      <w:r w:rsidRPr="003704AC">
        <w:rPr>
          <w:color w:val="000000"/>
        </w:rPr>
        <w:t xml:space="preserve"> intentions to substitute plant-based foods for red meat? The mediating role of prior beliefs. </w:t>
      </w:r>
      <w:r w:rsidRPr="003704AC">
        <w:rPr>
          <w:i/>
          <w:color w:val="000000"/>
        </w:rPr>
        <w:t>Appetite</w:t>
      </w:r>
      <w:r w:rsidRPr="003704AC">
        <w:rPr>
          <w:color w:val="000000"/>
        </w:rPr>
        <w:t>, </w:t>
      </w:r>
      <w:r w:rsidRPr="003704AC">
        <w:rPr>
          <w:i/>
          <w:color w:val="000000"/>
        </w:rPr>
        <w:t>125</w:t>
      </w:r>
      <w:r w:rsidRPr="003704AC">
        <w:rPr>
          <w:color w:val="000000"/>
        </w:rPr>
        <w:t xml:space="preserve">, 217-224. </w:t>
      </w:r>
      <w:proofErr w:type="spellStart"/>
      <w:r w:rsidRPr="003704AC">
        <w:rPr>
          <w:color w:val="000000"/>
        </w:rPr>
        <w:t>doi</w:t>
      </w:r>
      <w:proofErr w:type="spellEnd"/>
      <w:r w:rsidRPr="003704AC">
        <w:rPr>
          <w:color w:val="000000"/>
        </w:rPr>
        <w:t>: 10.1016/j.appet.2018.02.002</w:t>
      </w:r>
    </w:p>
    <w:p w14:paraId="390F1025" w14:textId="5FF073D0" w:rsidR="006A0C34" w:rsidRPr="0058443A" w:rsidRDefault="00EB31E1" w:rsidP="005A307B">
      <w:pPr>
        <w:spacing w:line="480" w:lineRule="auto"/>
        <w:ind w:left="567" w:hanging="567"/>
        <w:rPr>
          <w:color w:val="000000"/>
        </w:rPr>
      </w:pPr>
      <w:r w:rsidRPr="0058443A">
        <w:rPr>
          <w:color w:val="000000"/>
        </w:rPr>
        <w:t xml:space="preserve">Van </w:t>
      </w:r>
      <w:proofErr w:type="spellStart"/>
      <w:r w:rsidRPr="0058443A">
        <w:rPr>
          <w:color w:val="000000"/>
        </w:rPr>
        <w:t>Berkel</w:t>
      </w:r>
      <w:proofErr w:type="spellEnd"/>
      <w:r w:rsidRPr="0058443A">
        <w:rPr>
          <w:color w:val="000000"/>
        </w:rPr>
        <w:t xml:space="preserve">, N., Ferreira, D., &amp; </w:t>
      </w:r>
      <w:proofErr w:type="spellStart"/>
      <w:r w:rsidRPr="0058443A">
        <w:rPr>
          <w:color w:val="000000"/>
        </w:rPr>
        <w:t>Kostakos</w:t>
      </w:r>
      <w:proofErr w:type="spellEnd"/>
      <w:r w:rsidRPr="0058443A">
        <w:rPr>
          <w:color w:val="000000"/>
        </w:rPr>
        <w:t xml:space="preserve">, V. (2017). The experience sampling method on mobile devices. </w:t>
      </w:r>
      <w:r w:rsidRPr="0058443A">
        <w:rPr>
          <w:i/>
          <w:color w:val="000000"/>
        </w:rPr>
        <w:t>ACM Computing Surveys, 50</w:t>
      </w:r>
      <w:r w:rsidRPr="0058443A">
        <w:rPr>
          <w:color w:val="000000"/>
        </w:rPr>
        <w:t xml:space="preserve">(6). </w:t>
      </w:r>
      <w:hyperlink r:id="rId18">
        <w:r w:rsidRPr="0058443A">
          <w:rPr>
            <w:color w:val="0000FF"/>
            <w:u w:val="single"/>
          </w:rPr>
          <w:t>https://doi.org/10.1145/3123988</w:t>
        </w:r>
      </w:hyperlink>
      <w:r w:rsidRPr="0058443A">
        <w:rPr>
          <w:color w:val="000000"/>
        </w:rPr>
        <w:t xml:space="preserve"> </w:t>
      </w:r>
    </w:p>
    <w:p w14:paraId="11EB1CDB" w14:textId="77777777" w:rsidR="006A0C34" w:rsidRPr="0058443A" w:rsidRDefault="00EB31E1">
      <w:pPr>
        <w:spacing w:line="480" w:lineRule="auto"/>
        <w:ind w:left="567" w:hanging="567"/>
        <w:rPr>
          <w:color w:val="000000"/>
        </w:rPr>
      </w:pPr>
      <w:r w:rsidRPr="0058443A">
        <w:rPr>
          <w:color w:val="000000"/>
        </w:rPr>
        <w:lastRenderedPageBreak/>
        <w:t>Veganuary (2020, March). Veganuary 2020: Official Survey Results. Retrieved from https://veganuary.com/wp-content/uploads/2020/03/Survey-results-2020-abridged.pdf</w:t>
      </w:r>
    </w:p>
    <w:p w14:paraId="03BEC6FE" w14:textId="0467B65F" w:rsidR="006A0C34" w:rsidRPr="003704AC" w:rsidRDefault="00EB31E1">
      <w:pPr>
        <w:widowControl w:val="0"/>
        <w:spacing w:line="480" w:lineRule="auto"/>
        <w:ind w:left="567" w:hanging="567"/>
      </w:pPr>
      <w:r w:rsidRPr="003704AC">
        <w:t xml:space="preserve">Wang, T. E., &amp; </w:t>
      </w:r>
      <w:proofErr w:type="spellStart"/>
      <w:r w:rsidRPr="003704AC">
        <w:t>Katzev</w:t>
      </w:r>
      <w:proofErr w:type="spellEnd"/>
      <w:r w:rsidRPr="003704AC">
        <w:t xml:space="preserve">, R. D. (1990). Group commitment and resource conservation: Two field experiments on promoting recycling. </w:t>
      </w:r>
      <w:r w:rsidRPr="003704AC">
        <w:rPr>
          <w:i/>
        </w:rPr>
        <w:t>Journal of Applied Social Psychology, 20</w:t>
      </w:r>
      <w:r w:rsidRPr="003704AC">
        <w:t xml:space="preserve">, 265-275. </w:t>
      </w:r>
    </w:p>
    <w:p w14:paraId="48E4B20C" w14:textId="77777777" w:rsidR="006A0C34" w:rsidRPr="003704AC" w:rsidRDefault="00EB31E1">
      <w:pPr>
        <w:widowControl w:val="0"/>
        <w:spacing w:line="480" w:lineRule="auto"/>
        <w:ind w:left="567" w:hanging="567"/>
      </w:pPr>
      <w:r w:rsidRPr="003704AC">
        <w:t xml:space="preserve">Weingarten, H. P., &amp; </w:t>
      </w:r>
      <w:proofErr w:type="spellStart"/>
      <w:r w:rsidRPr="003704AC">
        <w:t>Elston</w:t>
      </w:r>
      <w:proofErr w:type="spellEnd"/>
      <w:r w:rsidRPr="003704AC">
        <w:t xml:space="preserve">, D. (1991). Food cravings in a college population. </w:t>
      </w:r>
      <w:r w:rsidRPr="003704AC">
        <w:rPr>
          <w:i/>
        </w:rPr>
        <w:t>Appetite, 17</w:t>
      </w:r>
      <w:r w:rsidRPr="003704AC">
        <w:t>(3), 167-175.</w:t>
      </w:r>
    </w:p>
    <w:p w14:paraId="7FF8842F" w14:textId="2697CDE7" w:rsidR="006A0C34" w:rsidRPr="003704AC" w:rsidRDefault="00EB31E1" w:rsidP="00660CDC">
      <w:pPr>
        <w:spacing w:line="480" w:lineRule="auto"/>
        <w:ind w:left="567" w:hanging="567"/>
      </w:pPr>
      <w:r w:rsidRPr="003704AC">
        <w:rPr>
          <w:color w:val="000000"/>
        </w:rPr>
        <w:t xml:space="preserve">Wellesley, L., </w:t>
      </w:r>
      <w:proofErr w:type="spellStart"/>
      <w:r w:rsidRPr="003704AC">
        <w:rPr>
          <w:color w:val="000000"/>
        </w:rPr>
        <w:t>Happer</w:t>
      </w:r>
      <w:proofErr w:type="spellEnd"/>
      <w:r w:rsidRPr="003704AC">
        <w:rPr>
          <w:color w:val="000000"/>
        </w:rPr>
        <w:t>, C., &amp; Froggatt, A. (2015). Changing climate, changing diets: Pathways to lower meat consumption. Chatham House Report: The Royal Institute of International Affairs.</w:t>
      </w:r>
    </w:p>
    <w:p w14:paraId="7BF3F528" w14:textId="77777777" w:rsidR="006A0C34" w:rsidRDefault="00EB31E1">
      <w:pPr>
        <w:widowControl w:val="0"/>
        <w:spacing w:line="480" w:lineRule="auto"/>
        <w:ind w:left="567" w:hanging="567"/>
      </w:pPr>
      <w:r w:rsidRPr="003704AC">
        <w:t xml:space="preserve">Willett, W., </w:t>
      </w:r>
      <w:proofErr w:type="spellStart"/>
      <w:r w:rsidRPr="003704AC">
        <w:t>Rockström</w:t>
      </w:r>
      <w:proofErr w:type="spellEnd"/>
      <w:r w:rsidRPr="003704AC">
        <w:t xml:space="preserve">, J., </w:t>
      </w:r>
      <w:proofErr w:type="spellStart"/>
      <w:r w:rsidRPr="003704AC">
        <w:t>Loken</w:t>
      </w:r>
      <w:proofErr w:type="spellEnd"/>
      <w:r w:rsidRPr="003704AC">
        <w:t xml:space="preserve">, B., </w:t>
      </w:r>
      <w:proofErr w:type="spellStart"/>
      <w:r w:rsidRPr="003704AC">
        <w:t>Springmann</w:t>
      </w:r>
      <w:proofErr w:type="spellEnd"/>
      <w:r w:rsidRPr="003704AC">
        <w:t xml:space="preserve">, M., Lang, T., Vermeulen, S., Garnett, T., Tilman, D., </w:t>
      </w:r>
      <w:proofErr w:type="spellStart"/>
      <w:r w:rsidRPr="003704AC">
        <w:t>DeClerck</w:t>
      </w:r>
      <w:proofErr w:type="spellEnd"/>
      <w:r w:rsidRPr="003704AC">
        <w:t xml:space="preserve">, F., Wood, A., Jonell, M., Clark, M., Gordon, L., </w:t>
      </w:r>
      <w:proofErr w:type="spellStart"/>
      <w:r w:rsidRPr="003704AC">
        <w:t>Fanzo</w:t>
      </w:r>
      <w:proofErr w:type="spellEnd"/>
      <w:r w:rsidRPr="003704AC">
        <w:t xml:space="preserve">, J., Hawkes, C., </w:t>
      </w:r>
      <w:proofErr w:type="spellStart"/>
      <w:r w:rsidRPr="003704AC">
        <w:t>Zurayk</w:t>
      </w:r>
      <w:proofErr w:type="spellEnd"/>
      <w:r w:rsidRPr="003704AC">
        <w:t xml:space="preserve">, R., Rivera, J., De Vries, W., </w:t>
      </w:r>
      <w:proofErr w:type="spellStart"/>
      <w:r w:rsidRPr="003704AC">
        <w:t>Majele</w:t>
      </w:r>
      <w:proofErr w:type="spellEnd"/>
      <w:r w:rsidRPr="003704AC">
        <w:t xml:space="preserve"> Sibanda, L., Afshin, A., Chaudhary, A., Herrero, M., Agustina, R., </w:t>
      </w:r>
      <w:proofErr w:type="spellStart"/>
      <w:r w:rsidRPr="003704AC">
        <w:t>Branca</w:t>
      </w:r>
      <w:proofErr w:type="spellEnd"/>
      <w:r w:rsidRPr="003704AC">
        <w:t xml:space="preserve">, F., Lartey, A., Fan, S., </w:t>
      </w:r>
      <w:proofErr w:type="spellStart"/>
      <w:r w:rsidRPr="003704AC">
        <w:t>Crona</w:t>
      </w:r>
      <w:proofErr w:type="spellEnd"/>
      <w:r w:rsidRPr="003704AC">
        <w:t xml:space="preserve">, B., Fox, E., </w:t>
      </w:r>
      <w:proofErr w:type="spellStart"/>
      <w:r w:rsidRPr="003704AC">
        <w:t>Bignet</w:t>
      </w:r>
      <w:proofErr w:type="spellEnd"/>
      <w:r w:rsidRPr="003704AC">
        <w:t xml:space="preserve">, V., </w:t>
      </w:r>
      <w:proofErr w:type="spellStart"/>
      <w:r w:rsidRPr="003704AC">
        <w:t>Troell</w:t>
      </w:r>
      <w:proofErr w:type="spellEnd"/>
      <w:r w:rsidRPr="003704AC">
        <w:t xml:space="preserve">, M., Lindahl, T., Singh, S., Cornell, S., Srinath Reddy, K., </w:t>
      </w:r>
      <w:proofErr w:type="spellStart"/>
      <w:r w:rsidRPr="003704AC">
        <w:t>Narain</w:t>
      </w:r>
      <w:proofErr w:type="spellEnd"/>
      <w:r w:rsidRPr="003704AC">
        <w:t xml:space="preserve">, S., Nishtar, S. &amp; Murray, C. (2019). Food in the Anthropocene: the EAT–Lancet Commission on healthy diets from sustainable food systems. </w:t>
      </w:r>
      <w:r w:rsidRPr="003704AC">
        <w:rPr>
          <w:i/>
        </w:rPr>
        <w:t>The Lancet,</w:t>
      </w:r>
      <w:r w:rsidRPr="003704AC">
        <w:t xml:space="preserve"> </w:t>
      </w:r>
      <w:r w:rsidRPr="003704AC">
        <w:rPr>
          <w:i/>
        </w:rPr>
        <w:t>393</w:t>
      </w:r>
      <w:r w:rsidRPr="003704AC">
        <w:t>(10170), 447-492.</w:t>
      </w:r>
    </w:p>
    <w:p w14:paraId="591109EC" w14:textId="77777777" w:rsidR="006A0C34" w:rsidRDefault="006A0C34">
      <w:pPr>
        <w:widowControl w:val="0"/>
        <w:spacing w:line="480" w:lineRule="auto"/>
        <w:ind w:left="567" w:hanging="567"/>
      </w:pPr>
    </w:p>
    <w:p w14:paraId="7DB68F74" w14:textId="77777777" w:rsidR="006A0C34" w:rsidRDefault="006A0C34"/>
    <w:p w14:paraId="6A89F173" w14:textId="7943BE22" w:rsidR="006A0C34" w:rsidRDefault="006A0C34">
      <w:bookmarkStart w:id="12" w:name="_3dy6vkm" w:colFirst="0" w:colLast="0"/>
      <w:bookmarkEnd w:id="12"/>
    </w:p>
    <w:sectPr w:rsidR="006A0C34" w:rsidSect="00260B90">
      <w:headerReference w:type="even" r:id="rId19"/>
      <w:headerReference w:type="default" r:id="rId20"/>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FC11" w14:textId="77777777" w:rsidR="00A81CFF" w:rsidRDefault="00A81CFF">
      <w:r>
        <w:separator/>
      </w:r>
    </w:p>
  </w:endnote>
  <w:endnote w:type="continuationSeparator" w:id="0">
    <w:p w14:paraId="3BFBB16E" w14:textId="77777777" w:rsidR="00A81CFF" w:rsidRDefault="00A8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6648" w14:textId="77777777" w:rsidR="00A81CFF" w:rsidRDefault="00A81CFF">
      <w:r>
        <w:separator/>
      </w:r>
    </w:p>
  </w:footnote>
  <w:footnote w:type="continuationSeparator" w:id="0">
    <w:p w14:paraId="1BE6C94D" w14:textId="77777777" w:rsidR="00A81CFF" w:rsidRDefault="00A81CFF">
      <w:r>
        <w:continuationSeparator/>
      </w:r>
    </w:p>
  </w:footnote>
  <w:footnote w:id="1">
    <w:p w14:paraId="395B3633" w14:textId="77777777" w:rsidR="00C4484A" w:rsidRDefault="00C448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preregistration also contains one hypothesis about the effect of pledging on attitudes towards the treatment of farmed animals. However, due to experimenter error, items intended to measure this outcome were not included in the study. </w:t>
      </w:r>
    </w:p>
  </w:footnote>
  <w:footnote w:id="2">
    <w:p w14:paraId="7B3B08BB" w14:textId="77777777" w:rsidR="00C4484A" w:rsidRDefault="00C448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Participants who completed fewer than one-third of the daily surveys were paid per survey rather than the flat fee.</w:t>
      </w:r>
    </w:p>
  </w:footnote>
  <w:footnote w:id="3">
    <w:p w14:paraId="22CAF5B5" w14:textId="77777777" w:rsidR="00C4484A" w:rsidRDefault="00C448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We originally planned 30 days, but logistically we found it easier to coordinate a four-week schedule, as opposed to a period of four weeks plus two days.  </w:t>
      </w:r>
    </w:p>
  </w:footnote>
  <w:footnote w:id="4">
    <w:p w14:paraId="5F40D953" w14:textId="77777777" w:rsidR="00C4484A" w:rsidRDefault="00C4484A">
      <w:pPr>
        <w:rPr>
          <w:color w:val="000000"/>
        </w:rPr>
      </w:pPr>
      <w:r>
        <w:rPr>
          <w:vertAlign w:val="superscript"/>
        </w:rPr>
        <w:footnoteRef/>
      </w:r>
      <w:r>
        <w:rPr>
          <w:color w:val="000000"/>
        </w:rPr>
        <w:t xml:space="preserve"> </w:t>
      </w:r>
      <w:r w:rsidRPr="00660CDC">
        <w:rPr>
          <w:color w:val="000000"/>
          <w:sz w:val="20"/>
          <w:szCs w:val="20"/>
        </w:rPr>
        <w:t>At Lancaster, no participants declined to take up the pledge or withdrew from the study. At La Trobe/ Melbourne, two participants declined to take part and withdrew after being briefed about the pledge; three further participants withdrew after spending some time in the pledge condition. At Johannes Gutenberg, one person declined to pledge, but expressed a desire to continue with the study. Their data was omitted from the analysis to avoid exposure bias.</w:t>
      </w:r>
    </w:p>
  </w:footnote>
  <w:footnote w:id="5">
    <w:p w14:paraId="7AB0743A" w14:textId="0E869B88" w:rsidR="00C4484A" w:rsidRDefault="00C4484A" w:rsidP="000459ED">
      <w:r w:rsidRPr="00660CDC">
        <w:rPr>
          <w:rStyle w:val="FootnoteReference"/>
          <w:highlight w:val="lightGray"/>
        </w:rPr>
        <w:footnoteRef/>
      </w:r>
      <w:r w:rsidRPr="00660CDC">
        <w:rPr>
          <w:highlight w:val="lightGray"/>
        </w:rPr>
        <w:t xml:space="preserve"> </w:t>
      </w:r>
      <w:r w:rsidRPr="00660CDC">
        <w:rPr>
          <w:sz w:val="20"/>
          <w:szCs w:val="20"/>
          <w:highlight w:val="lightGray"/>
        </w:rPr>
        <w:t xml:space="preserve">We performed additional diagnostic tests on the best fit model, which showed no existence of outliers in the output and no multicollinearity issues related to the Pledge x Country interaction. </w:t>
      </w:r>
      <w:r w:rsidRPr="00E74C2E">
        <w:rPr>
          <w:color w:val="000000"/>
          <w:sz w:val="20"/>
          <w:szCs w:val="20"/>
          <w:highlight w:val="lightGray"/>
        </w:rPr>
        <w:t>Additionally, although</w:t>
      </w:r>
      <w:r w:rsidRPr="00660CDC">
        <w:rPr>
          <w:color w:val="000000"/>
          <w:sz w:val="20"/>
          <w:szCs w:val="20"/>
          <w:highlight w:val="lightGray"/>
        </w:rPr>
        <w:t xml:space="preserve"> we had an excess of zeros (days with no meat consumption) for daily meat consumption, a zero-inflation test suggested zero-inflated models were not needed</w:t>
      </w:r>
      <w:r w:rsidRPr="00660CDC">
        <w:rPr>
          <w:sz w:val="20"/>
          <w:szCs w:val="20"/>
          <w:highlight w:val="lightGray"/>
        </w:rPr>
        <w:t xml:space="preserve"> (see Supplementary Materials for details).</w:t>
      </w:r>
      <w:r>
        <w:t xml:space="preserve"> </w:t>
      </w:r>
    </w:p>
    <w:p w14:paraId="5E67D280" w14:textId="77777777" w:rsidR="00C4484A" w:rsidRDefault="00C4484A" w:rsidP="000459ED">
      <w:pPr>
        <w:pStyle w:val="FootnoteText"/>
      </w:pPr>
    </w:p>
  </w:footnote>
  <w:footnote w:id="6">
    <w:p w14:paraId="03734216" w14:textId="77777777" w:rsidR="00C4484A" w:rsidRPr="00434FAA" w:rsidRDefault="00C4484A" w:rsidP="00466609">
      <w:pPr>
        <w:pStyle w:val="FootnoteText"/>
        <w:rPr>
          <w:rFonts w:ascii="Times New Roman" w:hAnsi="Times New Roman" w:cs="Times New Roman"/>
        </w:rPr>
      </w:pPr>
      <w:r w:rsidRPr="00434FAA">
        <w:rPr>
          <w:rStyle w:val="FootnoteReference"/>
          <w:rFonts w:ascii="Times New Roman" w:hAnsi="Times New Roman" w:cs="Times New Roman"/>
          <w:highlight w:val="lightGray"/>
        </w:rPr>
        <w:footnoteRef/>
      </w:r>
      <w:r w:rsidRPr="00434FAA">
        <w:rPr>
          <w:rFonts w:ascii="Times New Roman" w:hAnsi="Times New Roman" w:cs="Times New Roman"/>
          <w:highlight w:val="lightGray"/>
        </w:rPr>
        <w:t xml:space="preserve"> The interaction of Pledge x CO did improve model fit and was significant when including </w:t>
      </w:r>
      <w:r w:rsidRPr="00434FAA">
        <w:rPr>
          <w:rFonts w:ascii="Times New Roman" w:hAnsi="Times New Roman" w:cs="Times New Roman"/>
          <w:i/>
          <w:highlight w:val="lightGray"/>
        </w:rPr>
        <w:t>fish</w:t>
      </w:r>
      <w:r w:rsidRPr="00434FAA">
        <w:rPr>
          <w:rFonts w:ascii="Times New Roman" w:hAnsi="Times New Roman" w:cs="Times New Roman"/>
          <w:highlight w:val="lightGray"/>
        </w:rPr>
        <w:t xml:space="preserve"> and </w:t>
      </w:r>
      <w:r w:rsidRPr="00434FAA">
        <w:rPr>
          <w:rFonts w:ascii="Times New Roman" w:hAnsi="Times New Roman" w:cs="Times New Roman"/>
          <w:i/>
          <w:highlight w:val="lightGray"/>
        </w:rPr>
        <w:t>seafood</w:t>
      </w:r>
      <w:r w:rsidRPr="00434FAA">
        <w:rPr>
          <w:rFonts w:ascii="Times New Roman" w:hAnsi="Times New Roman" w:cs="Times New Roman"/>
          <w:highlight w:val="lightGray"/>
        </w:rPr>
        <w:t xml:space="preserve"> in the measure of daily meat consumption (see Supplementa</w:t>
      </w:r>
      <w:r>
        <w:rPr>
          <w:rFonts w:ascii="Times New Roman" w:hAnsi="Times New Roman" w:cs="Times New Roman"/>
          <w:highlight w:val="lightGray"/>
        </w:rPr>
        <w:t>ry Materials</w:t>
      </w:r>
      <w:r w:rsidRPr="00434FAA">
        <w:rPr>
          <w:rFonts w:ascii="Times New Roman" w:hAnsi="Times New Roman" w:cs="Times New Roman"/>
          <w:highlight w:val="lightGray"/>
        </w:rPr>
        <w:t xml:space="preserve"> Table S1).</w:t>
      </w:r>
      <w:r w:rsidRPr="00434FAA">
        <w:rPr>
          <w:rFonts w:ascii="Times New Roman" w:hAnsi="Times New Roman" w:cs="Times New Roman"/>
        </w:rPr>
        <w:t xml:space="preserve"> </w:t>
      </w:r>
    </w:p>
  </w:footnote>
  <w:footnote w:id="7">
    <w:p w14:paraId="50035509" w14:textId="77777777" w:rsidR="00C4484A" w:rsidRDefault="00C4484A" w:rsidP="000459ED">
      <w:pPr>
        <w:pStyle w:val="FootnoteText"/>
      </w:pPr>
      <w:r w:rsidRPr="00660CDC">
        <w:rPr>
          <w:rStyle w:val="FootnoteReference"/>
          <w:rFonts w:ascii="Times New Roman" w:hAnsi="Times New Roman" w:cs="Times New Roman"/>
        </w:rPr>
        <w:footnoteRef/>
      </w:r>
      <w:r>
        <w:t xml:space="preserve"> </w:t>
      </w:r>
      <w:r>
        <w:rPr>
          <w:rFonts w:ascii="Times New Roman" w:eastAsia="Times New Roman" w:hAnsi="Times New Roman" w:cs="Times New Roman"/>
          <w:color w:val="000000"/>
        </w:rPr>
        <w:t>D</w:t>
      </w:r>
      <w:r w:rsidRPr="004D0FC4">
        <w:rPr>
          <w:rFonts w:ascii="Times New Roman" w:eastAsia="Times New Roman" w:hAnsi="Times New Roman" w:cs="Times New Roman"/>
          <w:color w:val="000000"/>
        </w:rPr>
        <w:t>ue to experimenter error, the Meat Commitment scale was omitted from the surveys run in Germany. Thus, the factor Country only contained two levels for the analysis of meat commitment.</w:t>
      </w:r>
    </w:p>
  </w:footnote>
  <w:footnote w:id="8">
    <w:p w14:paraId="0A54B7EB" w14:textId="64B452CE" w:rsidR="00C4484A" w:rsidRPr="00660CDC" w:rsidRDefault="00C4484A">
      <w:pPr>
        <w:pStyle w:val="FootnoteText"/>
        <w:rPr>
          <w:rFonts w:ascii="Times New Roman" w:hAnsi="Times New Roman" w:cs="Times New Roman"/>
        </w:rPr>
      </w:pPr>
      <w:r w:rsidRPr="00660CDC">
        <w:rPr>
          <w:rStyle w:val="FootnoteReference"/>
          <w:rFonts w:ascii="Times New Roman" w:hAnsi="Times New Roman" w:cs="Times New Roman"/>
        </w:rPr>
        <w:footnoteRef/>
      </w:r>
      <w:r w:rsidRPr="00660CDC">
        <w:rPr>
          <w:rFonts w:ascii="Times New Roman" w:hAnsi="Times New Roman" w:cs="Times New Roman"/>
        </w:rPr>
        <w:t xml:space="preserve"> </w:t>
      </w:r>
      <w:r>
        <w:rPr>
          <w:rFonts w:ascii="Times New Roman" w:hAnsi="Times New Roman" w:cs="Times New Roman"/>
        </w:rPr>
        <w:t>We</w:t>
      </w:r>
      <w:r w:rsidRPr="00660CDC">
        <w:rPr>
          <w:rFonts w:ascii="Times New Roman" w:hAnsi="Times New Roman" w:cs="Times New Roman"/>
        </w:rPr>
        <w:t xml:space="preserve"> also compared the final model with a model that includes the Pledge x CO and Pledge x Country interactions, which did not show any improvement, </w:t>
      </w:r>
      <w:r w:rsidRPr="00660CDC">
        <w:rPr>
          <w:rFonts w:ascii="Times New Roman" w:hAnsi="Times New Roman" w:cs="Times New Roman"/>
          <w:i/>
          <w:iCs/>
          <w:lang w:val="el-GR"/>
        </w:rPr>
        <w:t>χ</w:t>
      </w:r>
      <w:r w:rsidRPr="00660CDC">
        <w:rPr>
          <w:rFonts w:ascii="Times New Roman" w:hAnsi="Times New Roman" w:cs="Times New Roman"/>
          <w:vertAlign w:val="superscript"/>
        </w:rPr>
        <w:t>2</w:t>
      </w:r>
      <w:r w:rsidRPr="00660CDC">
        <w:rPr>
          <w:rFonts w:ascii="Times New Roman" w:hAnsi="Times New Roman" w:cs="Times New Roman"/>
        </w:rPr>
        <w:t xml:space="preserve"> (8) = 3.32, </w:t>
      </w:r>
      <w:r w:rsidRPr="00660CDC">
        <w:rPr>
          <w:rFonts w:ascii="Times New Roman" w:hAnsi="Times New Roman" w:cs="Times New Roman"/>
          <w:i/>
          <w:iCs/>
        </w:rPr>
        <w:t>p</w:t>
      </w:r>
      <w:r w:rsidRPr="00660CDC">
        <w:rPr>
          <w:rFonts w:ascii="Times New Roman" w:hAnsi="Times New Roman" w:cs="Times New Roman"/>
        </w:rPr>
        <w:t xml:space="preserve"> = .91.</w:t>
      </w:r>
    </w:p>
  </w:footnote>
  <w:footnote w:id="9">
    <w:p w14:paraId="2AE220A0" w14:textId="77777777" w:rsidR="00C4484A" w:rsidRDefault="00C4484A" w:rsidP="000459ED">
      <w:pPr>
        <w:pStyle w:val="FootnoteText"/>
      </w:pPr>
      <w:r w:rsidRPr="00660CDC">
        <w:rPr>
          <w:rStyle w:val="FootnoteReference"/>
          <w:rFonts w:ascii="Times New Roman" w:hAnsi="Times New Roman" w:cs="Times New Roman"/>
        </w:rPr>
        <w:footnoteRef/>
      </w:r>
      <w:r w:rsidRPr="00660CDC">
        <w:rPr>
          <w:rFonts w:ascii="Times New Roman" w:hAnsi="Times New Roman" w:cs="Times New Roman"/>
        </w:rPr>
        <w:t xml:space="preserve"> </w:t>
      </w:r>
      <w:r w:rsidRPr="00E91097">
        <w:rPr>
          <w:rFonts w:ascii="Times New Roman" w:hAnsi="Times New Roman" w:cs="Times New Roman"/>
        </w:rPr>
        <w:t>This final model was corrected for normality (</w:t>
      </w:r>
      <w:r w:rsidRPr="00E91097">
        <w:rPr>
          <w:rFonts w:ascii="Times New Roman" w:hAnsi="Times New Roman" w:cs="Times New Roman"/>
          <w:i/>
        </w:rPr>
        <w:t>p</w:t>
      </w:r>
      <w:r w:rsidRPr="00E91097">
        <w:rPr>
          <w:rFonts w:ascii="Times New Roman" w:hAnsi="Times New Roman" w:cs="Times New Roman"/>
        </w:rPr>
        <w:t xml:space="preserve"> = .</w:t>
      </w:r>
      <w:r>
        <w:rPr>
          <w:rFonts w:ascii="Times New Roman" w:hAnsi="Times New Roman" w:cs="Times New Roman"/>
        </w:rPr>
        <w:t>13</w:t>
      </w:r>
      <w:r w:rsidRPr="00E91097">
        <w:rPr>
          <w:rFonts w:ascii="Times New Roman" w:hAnsi="Times New Roman" w:cs="Times New Roman"/>
        </w:rPr>
        <w:t xml:space="preserve">) by excluding scores below </w:t>
      </w:r>
      <w:r>
        <w:rPr>
          <w:rFonts w:ascii="Times New Roman" w:hAnsi="Times New Roman" w:cs="Times New Roman"/>
        </w:rPr>
        <w:t>10</w:t>
      </w:r>
      <w:r w:rsidRPr="00E91097">
        <w:rPr>
          <w:rFonts w:ascii="Times New Roman" w:hAnsi="Times New Roman" w:cs="Times New Roman"/>
        </w:rPr>
        <w:t xml:space="preserve"> and above </w:t>
      </w:r>
      <w:r>
        <w:rPr>
          <w:rFonts w:ascii="Times New Roman" w:hAnsi="Times New Roman" w:cs="Times New Roman"/>
        </w:rPr>
        <w:t>45</w:t>
      </w:r>
      <w:r w:rsidRPr="00E91097">
        <w:rPr>
          <w:rFonts w:ascii="Times New Roman" w:hAnsi="Times New Roman" w:cs="Times New Roman"/>
        </w:rPr>
        <w:t xml:space="preserve"> (range </w:t>
      </w:r>
      <w:r>
        <w:rPr>
          <w:rFonts w:ascii="Times New Roman" w:hAnsi="Times New Roman" w:cs="Times New Roman"/>
        </w:rPr>
        <w:t>7</w:t>
      </w:r>
      <w:r w:rsidRPr="00E91097">
        <w:rPr>
          <w:rFonts w:ascii="Times New Roman" w:hAnsi="Times New Roman" w:cs="Times New Roman"/>
        </w:rPr>
        <w:t>-</w:t>
      </w:r>
      <w:r>
        <w:rPr>
          <w:rFonts w:ascii="Times New Roman" w:hAnsi="Times New Roman" w:cs="Times New Roman"/>
        </w:rPr>
        <w:t>49</w:t>
      </w:r>
      <w:r w:rsidRPr="00E91097">
        <w:rPr>
          <w:rFonts w:ascii="Times New Roman" w:hAnsi="Times New Roman" w:cs="Times New Roman"/>
        </w:rPr>
        <w:t>), which were identified as outliers.</w:t>
      </w:r>
    </w:p>
  </w:footnote>
  <w:footnote w:id="10">
    <w:p w14:paraId="400A523F" w14:textId="77777777" w:rsidR="00C4484A" w:rsidRDefault="00C4484A" w:rsidP="000459ED">
      <w:pPr>
        <w:pStyle w:val="FootnoteText"/>
      </w:pPr>
      <w:r w:rsidRPr="00660CDC">
        <w:rPr>
          <w:rStyle w:val="FootnoteReference"/>
          <w:rFonts w:ascii="Times New Roman" w:hAnsi="Times New Roman" w:cs="Times New Roman"/>
        </w:rPr>
        <w:footnoteRef/>
      </w:r>
      <w:r>
        <w:t xml:space="preserve"> </w:t>
      </w:r>
      <w:r w:rsidRPr="00E91097">
        <w:rPr>
          <w:rFonts w:ascii="Times New Roman" w:hAnsi="Times New Roman" w:cs="Times New Roman"/>
        </w:rPr>
        <w:t>This final model was corrected for normality (</w:t>
      </w:r>
      <w:r w:rsidRPr="00E91097">
        <w:rPr>
          <w:rFonts w:ascii="Times New Roman" w:hAnsi="Times New Roman" w:cs="Times New Roman"/>
          <w:i/>
        </w:rPr>
        <w:t>p</w:t>
      </w:r>
      <w:r w:rsidRPr="00E91097">
        <w:rPr>
          <w:rFonts w:ascii="Times New Roman" w:hAnsi="Times New Roman" w:cs="Times New Roman"/>
        </w:rPr>
        <w:t xml:space="preserve"> = .68) by excluding scores below 40 and above 70 (range 16-111), which were identified as outliers.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203410"/>
      <w:docPartObj>
        <w:docPartGallery w:val="Page Numbers (Top of Page)"/>
        <w:docPartUnique/>
      </w:docPartObj>
    </w:sdtPr>
    <w:sdtEndPr>
      <w:rPr>
        <w:rStyle w:val="PageNumber"/>
      </w:rPr>
    </w:sdtEndPr>
    <w:sdtContent>
      <w:p w14:paraId="4E956BE7" w14:textId="5E9EAAF1" w:rsidR="00C4484A" w:rsidRDefault="00C4484A" w:rsidP="00E90F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C5C0F" w14:textId="77777777" w:rsidR="00C4484A" w:rsidRDefault="00C4484A" w:rsidP="00660C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163434"/>
      <w:docPartObj>
        <w:docPartGallery w:val="Page Numbers (Top of Page)"/>
        <w:docPartUnique/>
      </w:docPartObj>
    </w:sdtPr>
    <w:sdtEndPr>
      <w:rPr>
        <w:rStyle w:val="PageNumber"/>
      </w:rPr>
    </w:sdtEndPr>
    <w:sdtContent>
      <w:p w14:paraId="69223E2F" w14:textId="31AD326B" w:rsidR="00C4484A" w:rsidRDefault="00C4484A" w:rsidP="00E90F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10039C3" w14:textId="6C27876F" w:rsidR="00C4484A" w:rsidRDefault="00C4484A" w:rsidP="00660CDC">
    <w:pPr>
      <w:pStyle w:val="Header"/>
      <w:ind w:right="360"/>
    </w:pPr>
    <w:r>
      <w:t>MEAT-FREE PLEDGE WITH SMARTPHONES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3A9F" w14:textId="77777777" w:rsidR="00C4484A" w:rsidRDefault="00C4484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416AC9CB" w14:textId="77777777" w:rsidR="00C4484A" w:rsidRDefault="00C4484A">
    <w:pPr>
      <w:pBdr>
        <w:top w:val="nil"/>
        <w:left w:val="nil"/>
        <w:bottom w:val="nil"/>
        <w:right w:val="nil"/>
        <w:between w:val="nil"/>
      </w:pBdr>
      <w:tabs>
        <w:tab w:val="center" w:pos="4513"/>
        <w:tab w:val="right" w:pos="9026"/>
      </w:tabs>
      <w:ind w:right="36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FCB" w14:textId="77777777" w:rsidR="00C4484A" w:rsidRDefault="00C4484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B24F13" w14:textId="77777777" w:rsidR="00C4484A" w:rsidRDefault="00C4484A">
    <w:pPr>
      <w:pBdr>
        <w:top w:val="nil"/>
        <w:left w:val="nil"/>
        <w:bottom w:val="nil"/>
        <w:right w:val="nil"/>
        <w:between w:val="nil"/>
      </w:pBdr>
      <w:tabs>
        <w:tab w:val="center" w:pos="4513"/>
        <w:tab w:val="right" w:pos="9026"/>
      </w:tabs>
      <w:ind w:right="360"/>
      <w:rPr>
        <w:color w:val="000000"/>
      </w:rPr>
    </w:pPr>
    <w:r>
      <w:rPr>
        <w:color w:val="000000"/>
      </w:rPr>
      <w:t>MEAT-FREE PLEDGE WITH SMARTPHONES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7076"/>
    <w:multiLevelType w:val="multilevel"/>
    <w:tmpl w:val="4822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1B3748"/>
    <w:multiLevelType w:val="multilevel"/>
    <w:tmpl w:val="0F604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34"/>
    <w:rsid w:val="00003046"/>
    <w:rsid w:val="00012BDA"/>
    <w:rsid w:val="000229F6"/>
    <w:rsid w:val="00023579"/>
    <w:rsid w:val="000267C3"/>
    <w:rsid w:val="000319F4"/>
    <w:rsid w:val="00041450"/>
    <w:rsid w:val="000459ED"/>
    <w:rsid w:val="00055CB1"/>
    <w:rsid w:val="00076C85"/>
    <w:rsid w:val="000864B7"/>
    <w:rsid w:val="000A0F03"/>
    <w:rsid w:val="000A31B8"/>
    <w:rsid w:val="000A4098"/>
    <w:rsid w:val="000B2627"/>
    <w:rsid w:val="000C25BC"/>
    <w:rsid w:val="000C59B4"/>
    <w:rsid w:val="000F45D2"/>
    <w:rsid w:val="000F60EF"/>
    <w:rsid w:val="00101D87"/>
    <w:rsid w:val="001158CF"/>
    <w:rsid w:val="00117DD0"/>
    <w:rsid w:val="0012498A"/>
    <w:rsid w:val="00125703"/>
    <w:rsid w:val="001509FF"/>
    <w:rsid w:val="001554D2"/>
    <w:rsid w:val="0016748B"/>
    <w:rsid w:val="0019704E"/>
    <w:rsid w:val="001A7BFB"/>
    <w:rsid w:val="001B6B11"/>
    <w:rsid w:val="001C514A"/>
    <w:rsid w:val="001D3603"/>
    <w:rsid w:val="001E6F86"/>
    <w:rsid w:val="001F68FD"/>
    <w:rsid w:val="00220EA2"/>
    <w:rsid w:val="0022412C"/>
    <w:rsid w:val="00237287"/>
    <w:rsid w:val="00247C37"/>
    <w:rsid w:val="00254E2C"/>
    <w:rsid w:val="00260B90"/>
    <w:rsid w:val="00271AF7"/>
    <w:rsid w:val="00285C88"/>
    <w:rsid w:val="00290092"/>
    <w:rsid w:val="002900C3"/>
    <w:rsid w:val="00294FAC"/>
    <w:rsid w:val="002A14A1"/>
    <w:rsid w:val="002A4620"/>
    <w:rsid w:val="002A702B"/>
    <w:rsid w:val="002E4CA3"/>
    <w:rsid w:val="002E59DD"/>
    <w:rsid w:val="002E7DAF"/>
    <w:rsid w:val="002F6B21"/>
    <w:rsid w:val="00303271"/>
    <w:rsid w:val="00315293"/>
    <w:rsid w:val="003202E4"/>
    <w:rsid w:val="00332583"/>
    <w:rsid w:val="00337576"/>
    <w:rsid w:val="00345F8D"/>
    <w:rsid w:val="00346353"/>
    <w:rsid w:val="0035408D"/>
    <w:rsid w:val="00356816"/>
    <w:rsid w:val="00356A35"/>
    <w:rsid w:val="003653EF"/>
    <w:rsid w:val="003704AC"/>
    <w:rsid w:val="00371319"/>
    <w:rsid w:val="00374258"/>
    <w:rsid w:val="00383A15"/>
    <w:rsid w:val="00392C2F"/>
    <w:rsid w:val="003A0D6F"/>
    <w:rsid w:val="003A1564"/>
    <w:rsid w:val="003A765B"/>
    <w:rsid w:val="003A792F"/>
    <w:rsid w:val="003C1A83"/>
    <w:rsid w:val="003C49D8"/>
    <w:rsid w:val="003E0F62"/>
    <w:rsid w:val="003E6449"/>
    <w:rsid w:val="0040678D"/>
    <w:rsid w:val="0041125D"/>
    <w:rsid w:val="0041426B"/>
    <w:rsid w:val="00430A37"/>
    <w:rsid w:val="00435CB6"/>
    <w:rsid w:val="0043780E"/>
    <w:rsid w:val="00457BCF"/>
    <w:rsid w:val="00466609"/>
    <w:rsid w:val="00481611"/>
    <w:rsid w:val="004858DA"/>
    <w:rsid w:val="004979E9"/>
    <w:rsid w:val="004A2539"/>
    <w:rsid w:val="004A4BC4"/>
    <w:rsid w:val="004B0C99"/>
    <w:rsid w:val="004B2001"/>
    <w:rsid w:val="004B51E3"/>
    <w:rsid w:val="004B63B1"/>
    <w:rsid w:val="004C116A"/>
    <w:rsid w:val="004C73EE"/>
    <w:rsid w:val="004D1E8E"/>
    <w:rsid w:val="004E015B"/>
    <w:rsid w:val="004F240C"/>
    <w:rsid w:val="004F5130"/>
    <w:rsid w:val="00505758"/>
    <w:rsid w:val="005226C6"/>
    <w:rsid w:val="00524965"/>
    <w:rsid w:val="00540575"/>
    <w:rsid w:val="00546FB9"/>
    <w:rsid w:val="00562E83"/>
    <w:rsid w:val="00582C4A"/>
    <w:rsid w:val="0058443A"/>
    <w:rsid w:val="005844C3"/>
    <w:rsid w:val="00591C3F"/>
    <w:rsid w:val="005938FF"/>
    <w:rsid w:val="00596FC5"/>
    <w:rsid w:val="00597BF6"/>
    <w:rsid w:val="005A307B"/>
    <w:rsid w:val="005B0679"/>
    <w:rsid w:val="005B0DCE"/>
    <w:rsid w:val="005B3D29"/>
    <w:rsid w:val="005B49E6"/>
    <w:rsid w:val="005C26F4"/>
    <w:rsid w:val="00604211"/>
    <w:rsid w:val="006127E2"/>
    <w:rsid w:val="00627B25"/>
    <w:rsid w:val="00652A90"/>
    <w:rsid w:val="00652D77"/>
    <w:rsid w:val="00655F0C"/>
    <w:rsid w:val="00660CDC"/>
    <w:rsid w:val="006704F7"/>
    <w:rsid w:val="006769F1"/>
    <w:rsid w:val="00683FFF"/>
    <w:rsid w:val="00692CBE"/>
    <w:rsid w:val="00693F02"/>
    <w:rsid w:val="006A0C34"/>
    <w:rsid w:val="006B31D7"/>
    <w:rsid w:val="006C4096"/>
    <w:rsid w:val="006D2EE7"/>
    <w:rsid w:val="006D5E18"/>
    <w:rsid w:val="006E73C7"/>
    <w:rsid w:val="006F279A"/>
    <w:rsid w:val="006F50AD"/>
    <w:rsid w:val="007007E1"/>
    <w:rsid w:val="00702219"/>
    <w:rsid w:val="007149C3"/>
    <w:rsid w:val="00722078"/>
    <w:rsid w:val="0072505C"/>
    <w:rsid w:val="00734028"/>
    <w:rsid w:val="007578C4"/>
    <w:rsid w:val="007768EA"/>
    <w:rsid w:val="00781167"/>
    <w:rsid w:val="00785D35"/>
    <w:rsid w:val="00791BFB"/>
    <w:rsid w:val="00797887"/>
    <w:rsid w:val="007B71E2"/>
    <w:rsid w:val="007C0846"/>
    <w:rsid w:val="007D0A36"/>
    <w:rsid w:val="007D15BA"/>
    <w:rsid w:val="007D1D8F"/>
    <w:rsid w:val="007D26E3"/>
    <w:rsid w:val="007E4DB7"/>
    <w:rsid w:val="008049DC"/>
    <w:rsid w:val="008058C9"/>
    <w:rsid w:val="008319EA"/>
    <w:rsid w:val="00842FA0"/>
    <w:rsid w:val="00843157"/>
    <w:rsid w:val="00861A11"/>
    <w:rsid w:val="00866533"/>
    <w:rsid w:val="008742D8"/>
    <w:rsid w:val="00876EC0"/>
    <w:rsid w:val="0089492B"/>
    <w:rsid w:val="00897D6C"/>
    <w:rsid w:val="008A3379"/>
    <w:rsid w:val="008C4766"/>
    <w:rsid w:val="008C47F6"/>
    <w:rsid w:val="008C64F2"/>
    <w:rsid w:val="008D54C6"/>
    <w:rsid w:val="008D6316"/>
    <w:rsid w:val="008D7448"/>
    <w:rsid w:val="008E4E69"/>
    <w:rsid w:val="0092195B"/>
    <w:rsid w:val="00926B95"/>
    <w:rsid w:val="009318F4"/>
    <w:rsid w:val="0096348D"/>
    <w:rsid w:val="00963715"/>
    <w:rsid w:val="00965C48"/>
    <w:rsid w:val="009746B2"/>
    <w:rsid w:val="00976AAD"/>
    <w:rsid w:val="009A69B1"/>
    <w:rsid w:val="009B4996"/>
    <w:rsid w:val="009B5DEB"/>
    <w:rsid w:val="009C5C89"/>
    <w:rsid w:val="009C767B"/>
    <w:rsid w:val="009D5342"/>
    <w:rsid w:val="009D5D8A"/>
    <w:rsid w:val="009D7564"/>
    <w:rsid w:val="009E79B6"/>
    <w:rsid w:val="009F42AC"/>
    <w:rsid w:val="00A03654"/>
    <w:rsid w:val="00A145D9"/>
    <w:rsid w:val="00A369B4"/>
    <w:rsid w:val="00A4345A"/>
    <w:rsid w:val="00A435D4"/>
    <w:rsid w:val="00A43C67"/>
    <w:rsid w:val="00A57D60"/>
    <w:rsid w:val="00A6029F"/>
    <w:rsid w:val="00A71116"/>
    <w:rsid w:val="00A7476A"/>
    <w:rsid w:val="00A81CFF"/>
    <w:rsid w:val="00A838D9"/>
    <w:rsid w:val="00A84A5F"/>
    <w:rsid w:val="00A904BC"/>
    <w:rsid w:val="00A9257A"/>
    <w:rsid w:val="00A95E60"/>
    <w:rsid w:val="00AA133B"/>
    <w:rsid w:val="00AA5898"/>
    <w:rsid w:val="00AA71A8"/>
    <w:rsid w:val="00AB33D3"/>
    <w:rsid w:val="00AC3250"/>
    <w:rsid w:val="00AD7BD1"/>
    <w:rsid w:val="00AE27D7"/>
    <w:rsid w:val="00AE6410"/>
    <w:rsid w:val="00AF1A15"/>
    <w:rsid w:val="00B02588"/>
    <w:rsid w:val="00B15833"/>
    <w:rsid w:val="00B21CDC"/>
    <w:rsid w:val="00B250F3"/>
    <w:rsid w:val="00B269A1"/>
    <w:rsid w:val="00B339C3"/>
    <w:rsid w:val="00B4381A"/>
    <w:rsid w:val="00B47D47"/>
    <w:rsid w:val="00B77344"/>
    <w:rsid w:val="00BA0255"/>
    <w:rsid w:val="00BA4D22"/>
    <w:rsid w:val="00BB1928"/>
    <w:rsid w:val="00BB2F64"/>
    <w:rsid w:val="00BD2BCE"/>
    <w:rsid w:val="00BE0568"/>
    <w:rsid w:val="00BE3E0F"/>
    <w:rsid w:val="00BE4618"/>
    <w:rsid w:val="00BF01E0"/>
    <w:rsid w:val="00BF0256"/>
    <w:rsid w:val="00BF6371"/>
    <w:rsid w:val="00C006D8"/>
    <w:rsid w:val="00C01970"/>
    <w:rsid w:val="00C02D61"/>
    <w:rsid w:val="00C13DC4"/>
    <w:rsid w:val="00C17294"/>
    <w:rsid w:val="00C20ABA"/>
    <w:rsid w:val="00C2295C"/>
    <w:rsid w:val="00C22F07"/>
    <w:rsid w:val="00C35CA8"/>
    <w:rsid w:val="00C4484A"/>
    <w:rsid w:val="00C65357"/>
    <w:rsid w:val="00C772AA"/>
    <w:rsid w:val="00C82B23"/>
    <w:rsid w:val="00C84982"/>
    <w:rsid w:val="00C937C8"/>
    <w:rsid w:val="00CB5EEF"/>
    <w:rsid w:val="00CB638B"/>
    <w:rsid w:val="00CE567B"/>
    <w:rsid w:val="00CF0FD6"/>
    <w:rsid w:val="00D005FF"/>
    <w:rsid w:val="00D00D88"/>
    <w:rsid w:val="00D06998"/>
    <w:rsid w:val="00D0788E"/>
    <w:rsid w:val="00D14CA4"/>
    <w:rsid w:val="00D14D44"/>
    <w:rsid w:val="00D1728D"/>
    <w:rsid w:val="00D2686C"/>
    <w:rsid w:val="00D30872"/>
    <w:rsid w:val="00D33632"/>
    <w:rsid w:val="00D40004"/>
    <w:rsid w:val="00D428D3"/>
    <w:rsid w:val="00D43D35"/>
    <w:rsid w:val="00D45E07"/>
    <w:rsid w:val="00D460D3"/>
    <w:rsid w:val="00D4667A"/>
    <w:rsid w:val="00D50492"/>
    <w:rsid w:val="00D56F0E"/>
    <w:rsid w:val="00D62CD1"/>
    <w:rsid w:val="00D76F46"/>
    <w:rsid w:val="00D954C2"/>
    <w:rsid w:val="00DA11FE"/>
    <w:rsid w:val="00DA624F"/>
    <w:rsid w:val="00DA7728"/>
    <w:rsid w:val="00DB2ED8"/>
    <w:rsid w:val="00DC4F94"/>
    <w:rsid w:val="00DE23D6"/>
    <w:rsid w:val="00DE5760"/>
    <w:rsid w:val="00DE6985"/>
    <w:rsid w:val="00E21DDE"/>
    <w:rsid w:val="00E31166"/>
    <w:rsid w:val="00E36EED"/>
    <w:rsid w:val="00E418AF"/>
    <w:rsid w:val="00E42ABF"/>
    <w:rsid w:val="00E43406"/>
    <w:rsid w:val="00E43CA3"/>
    <w:rsid w:val="00E517A1"/>
    <w:rsid w:val="00E57893"/>
    <w:rsid w:val="00E60FF9"/>
    <w:rsid w:val="00E74C2E"/>
    <w:rsid w:val="00E90F05"/>
    <w:rsid w:val="00EB31E1"/>
    <w:rsid w:val="00EB4473"/>
    <w:rsid w:val="00EC5812"/>
    <w:rsid w:val="00ED0190"/>
    <w:rsid w:val="00ED6EF6"/>
    <w:rsid w:val="00EE3287"/>
    <w:rsid w:val="00EF2BCE"/>
    <w:rsid w:val="00EF4E4C"/>
    <w:rsid w:val="00EF7789"/>
    <w:rsid w:val="00F032B8"/>
    <w:rsid w:val="00F0574B"/>
    <w:rsid w:val="00F103A4"/>
    <w:rsid w:val="00F15CB3"/>
    <w:rsid w:val="00F163A1"/>
    <w:rsid w:val="00F1788D"/>
    <w:rsid w:val="00F6202A"/>
    <w:rsid w:val="00F6790E"/>
    <w:rsid w:val="00F84695"/>
    <w:rsid w:val="00F923DF"/>
    <w:rsid w:val="00FB07C3"/>
    <w:rsid w:val="00FB19F4"/>
    <w:rsid w:val="00FC7302"/>
    <w:rsid w:val="00FD69BD"/>
    <w:rsid w:val="00FD799B"/>
    <w:rsid w:val="00FF2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FC9B"/>
  <w15:docId w15:val="{975DC51F-B671-274F-92CE-AB474B38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69BD"/>
    <w:rPr>
      <w:sz w:val="18"/>
      <w:szCs w:val="18"/>
    </w:rPr>
  </w:style>
  <w:style w:type="character" w:customStyle="1" w:styleId="BalloonTextChar">
    <w:name w:val="Balloon Text Char"/>
    <w:basedOn w:val="DefaultParagraphFont"/>
    <w:link w:val="BalloonText"/>
    <w:uiPriority w:val="99"/>
    <w:semiHidden/>
    <w:rsid w:val="00FD69BD"/>
    <w:rPr>
      <w:sz w:val="18"/>
      <w:szCs w:val="18"/>
    </w:rPr>
  </w:style>
  <w:style w:type="paragraph" w:styleId="CommentSubject">
    <w:name w:val="annotation subject"/>
    <w:basedOn w:val="CommentText"/>
    <w:next w:val="CommentText"/>
    <w:link w:val="CommentSubjectChar"/>
    <w:uiPriority w:val="99"/>
    <w:semiHidden/>
    <w:unhideWhenUsed/>
    <w:rsid w:val="002F6B21"/>
    <w:rPr>
      <w:b/>
      <w:bCs/>
    </w:rPr>
  </w:style>
  <w:style w:type="character" w:customStyle="1" w:styleId="CommentSubjectChar">
    <w:name w:val="Comment Subject Char"/>
    <w:basedOn w:val="CommentTextChar"/>
    <w:link w:val="CommentSubject"/>
    <w:uiPriority w:val="99"/>
    <w:semiHidden/>
    <w:rsid w:val="002F6B21"/>
    <w:rPr>
      <w:b/>
      <w:bCs/>
      <w:sz w:val="20"/>
      <w:szCs w:val="20"/>
    </w:rPr>
  </w:style>
  <w:style w:type="table" w:styleId="TableGrid">
    <w:name w:val="Table Grid"/>
    <w:basedOn w:val="TableNormal"/>
    <w:uiPriority w:val="39"/>
    <w:rsid w:val="000459E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59ED"/>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0459ED"/>
    <w:rPr>
      <w:rFonts w:asciiTheme="minorHAnsi" w:eastAsiaTheme="minorEastAsia" w:hAnsiTheme="minorHAnsi" w:cstheme="minorBidi"/>
      <w:sz w:val="20"/>
      <w:szCs w:val="20"/>
      <w:lang w:val="en-GB"/>
    </w:rPr>
  </w:style>
  <w:style w:type="character" w:styleId="FootnoteReference">
    <w:name w:val="footnote reference"/>
    <w:basedOn w:val="DefaultParagraphFont"/>
    <w:uiPriority w:val="99"/>
    <w:semiHidden/>
    <w:unhideWhenUsed/>
    <w:rsid w:val="000459ED"/>
    <w:rPr>
      <w:vertAlign w:val="superscript"/>
    </w:rPr>
  </w:style>
  <w:style w:type="paragraph" w:styleId="Header">
    <w:name w:val="header"/>
    <w:basedOn w:val="Normal"/>
    <w:link w:val="HeaderChar"/>
    <w:uiPriority w:val="99"/>
    <w:unhideWhenUsed/>
    <w:rsid w:val="00C20ABA"/>
    <w:pPr>
      <w:tabs>
        <w:tab w:val="center" w:pos="4680"/>
        <w:tab w:val="right" w:pos="9360"/>
      </w:tabs>
    </w:pPr>
  </w:style>
  <w:style w:type="character" w:customStyle="1" w:styleId="HeaderChar">
    <w:name w:val="Header Char"/>
    <w:basedOn w:val="DefaultParagraphFont"/>
    <w:link w:val="Header"/>
    <w:uiPriority w:val="99"/>
    <w:rsid w:val="00C20ABA"/>
  </w:style>
  <w:style w:type="paragraph" w:styleId="Footer">
    <w:name w:val="footer"/>
    <w:basedOn w:val="Normal"/>
    <w:link w:val="FooterChar"/>
    <w:uiPriority w:val="99"/>
    <w:unhideWhenUsed/>
    <w:rsid w:val="00C20ABA"/>
    <w:pPr>
      <w:tabs>
        <w:tab w:val="center" w:pos="4680"/>
        <w:tab w:val="right" w:pos="9360"/>
      </w:tabs>
    </w:pPr>
  </w:style>
  <w:style w:type="character" w:customStyle="1" w:styleId="FooterChar">
    <w:name w:val="Footer Char"/>
    <w:basedOn w:val="DefaultParagraphFont"/>
    <w:link w:val="Footer"/>
    <w:uiPriority w:val="99"/>
    <w:rsid w:val="00C20ABA"/>
  </w:style>
  <w:style w:type="character" w:styleId="PageNumber">
    <w:name w:val="page number"/>
    <w:basedOn w:val="DefaultParagraphFont"/>
    <w:uiPriority w:val="99"/>
    <w:semiHidden/>
    <w:unhideWhenUsed/>
    <w:rsid w:val="00C20ABA"/>
  </w:style>
  <w:style w:type="character" w:styleId="Hyperlink">
    <w:name w:val="Hyperlink"/>
    <w:basedOn w:val="DefaultParagraphFont"/>
    <w:uiPriority w:val="99"/>
    <w:unhideWhenUsed/>
    <w:rsid w:val="00AD7BD1"/>
    <w:rPr>
      <w:color w:val="0000FF" w:themeColor="hyperlink"/>
      <w:u w:val="single"/>
    </w:rPr>
  </w:style>
  <w:style w:type="character" w:styleId="UnresolvedMention">
    <w:name w:val="Unresolved Mention"/>
    <w:basedOn w:val="DefaultParagraphFont"/>
    <w:uiPriority w:val="99"/>
    <w:semiHidden/>
    <w:unhideWhenUsed/>
    <w:rsid w:val="00AD7BD1"/>
    <w:rPr>
      <w:color w:val="605E5C"/>
      <w:shd w:val="clear" w:color="auto" w:fill="E1DFDD"/>
    </w:rPr>
  </w:style>
  <w:style w:type="paragraph" w:styleId="Revision">
    <w:name w:val="Revision"/>
    <w:hidden/>
    <w:uiPriority w:val="99"/>
    <w:semiHidden/>
    <w:rsid w:val="00FF2EB6"/>
  </w:style>
  <w:style w:type="character" w:customStyle="1" w:styleId="hlfld-contribauthor">
    <w:name w:val="hlfld-contribauthor"/>
    <w:basedOn w:val="DefaultParagraphFont"/>
    <w:rsid w:val="00AB33D3"/>
  </w:style>
  <w:style w:type="character" w:customStyle="1" w:styleId="nlmgiven-names">
    <w:name w:val="nlm_given-names"/>
    <w:basedOn w:val="DefaultParagraphFont"/>
    <w:rsid w:val="00AB33D3"/>
  </w:style>
  <w:style w:type="character" w:customStyle="1" w:styleId="nlmyear">
    <w:name w:val="nlm_year"/>
    <w:basedOn w:val="DefaultParagraphFont"/>
    <w:rsid w:val="00AB33D3"/>
  </w:style>
  <w:style w:type="character" w:customStyle="1" w:styleId="nlmarticle-title">
    <w:name w:val="nlm_article-title"/>
    <w:basedOn w:val="DefaultParagraphFont"/>
    <w:rsid w:val="00AB33D3"/>
  </w:style>
  <w:style w:type="character" w:customStyle="1" w:styleId="nlmfpage">
    <w:name w:val="nlm_fpage"/>
    <w:basedOn w:val="DefaultParagraphFont"/>
    <w:rsid w:val="00AB33D3"/>
  </w:style>
  <w:style w:type="character" w:customStyle="1" w:styleId="nlmlpage">
    <w:name w:val="nlm_lpage"/>
    <w:basedOn w:val="DefaultParagraphFont"/>
    <w:rsid w:val="00AB33D3"/>
  </w:style>
  <w:style w:type="character" w:customStyle="1" w:styleId="reflink-block">
    <w:name w:val="reflink-block"/>
    <w:basedOn w:val="DefaultParagraphFont"/>
    <w:rsid w:val="00652A90"/>
  </w:style>
  <w:style w:type="character" w:customStyle="1" w:styleId="googlescholar-container">
    <w:name w:val="googlescholar-container"/>
    <w:basedOn w:val="DefaultParagraphFont"/>
    <w:rsid w:val="00652A90"/>
  </w:style>
  <w:style w:type="character" w:styleId="FollowedHyperlink">
    <w:name w:val="FollowedHyperlink"/>
    <w:basedOn w:val="DefaultParagraphFont"/>
    <w:uiPriority w:val="99"/>
    <w:semiHidden/>
    <w:unhideWhenUsed/>
    <w:rsid w:val="00652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104">
      <w:bodyDiv w:val="1"/>
      <w:marLeft w:val="0"/>
      <w:marRight w:val="0"/>
      <w:marTop w:val="0"/>
      <w:marBottom w:val="0"/>
      <w:divBdr>
        <w:top w:val="none" w:sz="0" w:space="0" w:color="auto"/>
        <w:left w:val="none" w:sz="0" w:space="0" w:color="auto"/>
        <w:bottom w:val="none" w:sz="0" w:space="0" w:color="auto"/>
        <w:right w:val="none" w:sz="0" w:space="0" w:color="auto"/>
      </w:divBdr>
    </w:div>
    <w:div w:id="453139192">
      <w:bodyDiv w:val="1"/>
      <w:marLeft w:val="0"/>
      <w:marRight w:val="0"/>
      <w:marTop w:val="0"/>
      <w:marBottom w:val="0"/>
      <w:divBdr>
        <w:top w:val="none" w:sz="0" w:space="0" w:color="auto"/>
        <w:left w:val="none" w:sz="0" w:space="0" w:color="auto"/>
        <w:bottom w:val="none" w:sz="0" w:space="0" w:color="auto"/>
        <w:right w:val="none" w:sz="0" w:space="0" w:color="auto"/>
      </w:divBdr>
    </w:div>
    <w:div w:id="869613609">
      <w:bodyDiv w:val="1"/>
      <w:marLeft w:val="0"/>
      <w:marRight w:val="0"/>
      <w:marTop w:val="0"/>
      <w:marBottom w:val="0"/>
      <w:divBdr>
        <w:top w:val="none" w:sz="0" w:space="0" w:color="auto"/>
        <w:left w:val="none" w:sz="0" w:space="0" w:color="auto"/>
        <w:bottom w:val="none" w:sz="0" w:space="0" w:color="auto"/>
        <w:right w:val="none" w:sz="0" w:space="0" w:color="auto"/>
      </w:divBdr>
      <w:divsChild>
        <w:div w:id="1485588753">
          <w:marLeft w:val="0"/>
          <w:marRight w:val="0"/>
          <w:marTop w:val="0"/>
          <w:marBottom w:val="0"/>
          <w:divBdr>
            <w:top w:val="none" w:sz="0" w:space="0" w:color="auto"/>
            <w:left w:val="none" w:sz="0" w:space="0" w:color="auto"/>
            <w:bottom w:val="none" w:sz="0" w:space="0" w:color="auto"/>
            <w:right w:val="none" w:sz="0" w:space="0" w:color="auto"/>
          </w:divBdr>
        </w:div>
        <w:div w:id="829368401">
          <w:marLeft w:val="0"/>
          <w:marRight w:val="0"/>
          <w:marTop w:val="0"/>
          <w:marBottom w:val="0"/>
          <w:divBdr>
            <w:top w:val="none" w:sz="0" w:space="0" w:color="auto"/>
            <w:left w:val="none" w:sz="0" w:space="0" w:color="auto"/>
            <w:bottom w:val="none" w:sz="0" w:space="0" w:color="auto"/>
            <w:right w:val="none" w:sz="0" w:space="0" w:color="auto"/>
          </w:divBdr>
        </w:div>
      </w:divsChild>
    </w:div>
    <w:div w:id="908542795">
      <w:bodyDiv w:val="1"/>
      <w:marLeft w:val="0"/>
      <w:marRight w:val="0"/>
      <w:marTop w:val="0"/>
      <w:marBottom w:val="0"/>
      <w:divBdr>
        <w:top w:val="none" w:sz="0" w:space="0" w:color="auto"/>
        <w:left w:val="none" w:sz="0" w:space="0" w:color="auto"/>
        <w:bottom w:val="none" w:sz="0" w:space="0" w:color="auto"/>
        <w:right w:val="none" w:sz="0" w:space="0" w:color="auto"/>
      </w:divBdr>
      <w:divsChild>
        <w:div w:id="997153951">
          <w:marLeft w:val="0"/>
          <w:marRight w:val="0"/>
          <w:marTop w:val="0"/>
          <w:marBottom w:val="0"/>
          <w:divBdr>
            <w:top w:val="none" w:sz="0" w:space="0" w:color="auto"/>
            <w:left w:val="none" w:sz="0" w:space="0" w:color="auto"/>
            <w:bottom w:val="none" w:sz="0" w:space="0" w:color="auto"/>
            <w:right w:val="none" w:sz="0" w:space="0" w:color="auto"/>
          </w:divBdr>
        </w:div>
        <w:div w:id="1606571719">
          <w:marLeft w:val="0"/>
          <w:marRight w:val="0"/>
          <w:marTop w:val="0"/>
          <w:marBottom w:val="0"/>
          <w:divBdr>
            <w:top w:val="none" w:sz="0" w:space="0" w:color="auto"/>
            <w:left w:val="none" w:sz="0" w:space="0" w:color="auto"/>
            <w:bottom w:val="none" w:sz="0" w:space="0" w:color="auto"/>
            <w:right w:val="none" w:sz="0" w:space="0" w:color="auto"/>
          </w:divBdr>
        </w:div>
      </w:divsChild>
    </w:div>
    <w:div w:id="977994154">
      <w:bodyDiv w:val="1"/>
      <w:marLeft w:val="0"/>
      <w:marRight w:val="0"/>
      <w:marTop w:val="0"/>
      <w:marBottom w:val="0"/>
      <w:divBdr>
        <w:top w:val="none" w:sz="0" w:space="0" w:color="auto"/>
        <w:left w:val="none" w:sz="0" w:space="0" w:color="auto"/>
        <w:bottom w:val="none" w:sz="0" w:space="0" w:color="auto"/>
        <w:right w:val="none" w:sz="0" w:space="0" w:color="auto"/>
      </w:divBdr>
    </w:div>
    <w:div w:id="1214733274">
      <w:bodyDiv w:val="1"/>
      <w:marLeft w:val="0"/>
      <w:marRight w:val="0"/>
      <w:marTop w:val="0"/>
      <w:marBottom w:val="0"/>
      <w:divBdr>
        <w:top w:val="none" w:sz="0" w:space="0" w:color="auto"/>
        <w:left w:val="none" w:sz="0" w:space="0" w:color="auto"/>
        <w:bottom w:val="none" w:sz="0" w:space="0" w:color="auto"/>
        <w:right w:val="none" w:sz="0" w:space="0" w:color="auto"/>
      </w:divBdr>
    </w:div>
    <w:div w:id="1590195969">
      <w:bodyDiv w:val="1"/>
      <w:marLeft w:val="0"/>
      <w:marRight w:val="0"/>
      <w:marTop w:val="0"/>
      <w:marBottom w:val="0"/>
      <w:divBdr>
        <w:top w:val="none" w:sz="0" w:space="0" w:color="auto"/>
        <w:left w:val="none" w:sz="0" w:space="0" w:color="auto"/>
        <w:bottom w:val="none" w:sz="0" w:space="0" w:color="auto"/>
        <w:right w:val="none" w:sz="0" w:space="0" w:color="auto"/>
      </w:divBdr>
    </w:div>
    <w:div w:id="1942832501">
      <w:bodyDiv w:val="1"/>
      <w:marLeft w:val="0"/>
      <w:marRight w:val="0"/>
      <w:marTop w:val="0"/>
      <w:marBottom w:val="0"/>
      <w:divBdr>
        <w:top w:val="none" w:sz="0" w:space="0" w:color="auto"/>
        <w:left w:val="none" w:sz="0" w:space="0" w:color="auto"/>
        <w:bottom w:val="none" w:sz="0" w:space="0" w:color="auto"/>
        <w:right w:val="none" w:sz="0" w:space="0" w:color="auto"/>
      </w:divBdr>
    </w:div>
    <w:div w:id="2079789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aunalytics.org/feature-article/hrc-study-of-current-and-former-vegetarians-and-vegans/" TargetMode="External"/><Relationship Id="rId18" Type="http://schemas.openxmlformats.org/officeDocument/2006/relationships/hyperlink" Target="https://doi.org/10.1145/31239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piazza@lancaster.ac.uk" TargetMode="External"/><Relationship Id="rId12" Type="http://schemas.openxmlformats.org/officeDocument/2006/relationships/hyperlink" Target="https://animalcharityevaluators.org/advocacy-interventions/interventions/" TargetMode="External"/><Relationship Id="rId17" Type="http://schemas.openxmlformats.org/officeDocument/2006/relationships/hyperlink" Target="https://doi.org/10.1016/B978-0-12-803377-7.00003-X" TargetMode="External"/><Relationship Id="rId2" Type="http://schemas.openxmlformats.org/officeDocument/2006/relationships/styles" Target="styles.xml"/><Relationship Id="rId16" Type="http://schemas.openxmlformats.org/officeDocument/2006/relationships/hyperlink" Target="http://doi.org/10.1016/j.foodqual.2020.104018"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imalcharityevaluators.org/for-charities/develop-a-survey/dietary-assessment/" TargetMode="External"/><Relationship Id="rId5" Type="http://schemas.openxmlformats.org/officeDocument/2006/relationships/footnotes" Target="footnotes.xml"/><Relationship Id="rId15" Type="http://schemas.openxmlformats.org/officeDocument/2006/relationships/hyperlink" Target="http://www.implementationscience.com/content/6/1/42"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RAN.R-project.org/package&#160;=&#160;lme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12107</Words>
  <Characters>69015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Piazza, Jared</cp:lastModifiedBy>
  <cp:revision>3</cp:revision>
  <dcterms:created xsi:type="dcterms:W3CDTF">2021-10-12T07:48:00Z</dcterms:created>
  <dcterms:modified xsi:type="dcterms:W3CDTF">2021-10-12T07:49:00Z</dcterms:modified>
</cp:coreProperties>
</file>